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highlight w:val="yellow"/>
          <w:lang w:val="zh-CN"/>
        </w:rPr>
      </w:pPr>
      <w:bookmarkStart w:id="0" w:name="_Toc451499552"/>
      <w:bookmarkStart w:id="1" w:name="_Toc289344509"/>
      <w:bookmarkStart w:id="2" w:name="_Toc451499683"/>
    </w:p>
    <w:p>
      <w:pPr>
        <w:spacing w:before="62"/>
        <w:ind w:firstLine="480"/>
        <w:rPr>
          <w:highlight w:val="yellow"/>
        </w:rPr>
      </w:pPr>
      <w:r>
        <mc:AlternateContent>
          <mc:Choice Requires="wps">
            <w:drawing>
              <wp:anchor distT="0" distB="0" distL="114300" distR="114300" simplePos="0" relativeHeight="251680768" behindDoc="0" locked="0" layoutInCell="1" allowOverlap="1">
                <wp:simplePos x="0" y="0"/>
                <wp:positionH relativeFrom="column">
                  <wp:posOffset>221615</wp:posOffset>
                </wp:positionH>
                <wp:positionV relativeFrom="paragraph">
                  <wp:posOffset>31750</wp:posOffset>
                </wp:positionV>
                <wp:extent cx="1181100" cy="421005"/>
                <wp:effectExtent l="0" t="0" r="0" b="0"/>
                <wp:wrapNone/>
                <wp:docPr id="360"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1181100" cy="421005"/>
                        </a:xfrm>
                        <a:prstGeom prst="rect">
                          <a:avLst/>
                        </a:prstGeom>
                        <a:noFill/>
                        <a:ln>
                          <a:noFill/>
                        </a:ln>
                      </wps:spPr>
                      <wps:txbx>
                        <w:txbxContent>
                          <w:p>
                            <w:pPr>
                              <w:spacing w:before="62"/>
                              <w:ind w:firstLine="0" w:firstLineChars="0"/>
                              <w:rPr>
                                <w:b/>
                              </w:rPr>
                            </w:pPr>
                            <w:r>
                              <w:rPr>
                                <w:rFonts w:hint="eastAsia"/>
                                <w:b/>
                              </w:rPr>
                              <w:t>湖南景玺环保</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45pt;margin-top:2.5pt;height:33.15pt;width:93pt;z-index:251680768;mso-width-relative:page;mso-height-relative:page;" filled="f" stroked="f" coordsize="21600,21600" o:gfxdata="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NSl81AAAAAcBAAAPAAAAAAAA&#10;AAEAIAAAACIAAABkcnMvZG93bnJldi54bWxQSwECFAAUAAAACACHTuJAptTg9xYCAAAZBAAADgAA&#10;AAAAAAABACAAAAAjAQAAZHJzL2Uyb0RvYy54bWxQSwUGAAAAAAYABgBZAQAAqwUAAAAA&#10;">
                <v:fill on="f" focussize="0,0"/>
                <v:stroke on="f"/>
                <v:imagedata o:title=""/>
                <o:lock v:ext="edit" aspectratio="f"/>
                <v:textbox>
                  <w:txbxContent>
                    <w:p>
                      <w:pPr>
                        <w:spacing w:before="62"/>
                        <w:ind w:firstLine="0" w:firstLineChars="0"/>
                        <w:rPr>
                          <w:b/>
                        </w:rPr>
                      </w:pPr>
                      <w:r>
                        <w:rPr>
                          <w:rFonts w:hint="eastAsia"/>
                          <w:b/>
                        </w:rPr>
                        <w:t>湖南景玺环保</w:t>
                      </w:r>
                    </w:p>
                  </w:txbxContent>
                </v:textbox>
              </v:shape>
            </w:pict>
          </mc:Fallback>
        </mc:AlternateContent>
      </w:r>
    </w:p>
    <w:p>
      <w:pPr>
        <w:spacing w:before="62"/>
        <w:ind w:firstLine="480"/>
        <w:rPr>
          <w:color w:val="000000"/>
        </w:rPr>
      </w:pPr>
      <w:r>
        <w:drawing>
          <wp:anchor distT="0" distB="0" distL="114300" distR="114300" simplePos="0" relativeHeight="251679744" behindDoc="0" locked="0" layoutInCell="1" allowOverlap="1">
            <wp:simplePos x="0" y="0"/>
            <wp:positionH relativeFrom="column">
              <wp:posOffset>104775</wp:posOffset>
            </wp:positionH>
            <wp:positionV relativeFrom="paragraph">
              <wp:posOffset>88265</wp:posOffset>
            </wp:positionV>
            <wp:extent cx="1495425" cy="38100"/>
            <wp:effectExtent l="0" t="0" r="9525" b="0"/>
            <wp:wrapNone/>
            <wp:docPr id="353" name="图片 362" descr="说明: 说明: C:\DOCUME~1\ADMINI~1\LOCALS~1\Temp\ksohtml\wps_clip_image-4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62" descr="说明: 说明: C:\DOCUME~1\ADMINI~1\LOCALS~1\Temp\ksohtml\wps_clip_image-4427.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a:xfrm>
                      <a:off x="0" y="0"/>
                      <a:ext cx="1495425" cy="38100"/>
                    </a:xfrm>
                    <a:prstGeom prst="rect">
                      <a:avLst/>
                    </a:prstGeom>
                    <a:noFill/>
                    <a:ln>
                      <a:noFill/>
                    </a:ln>
                  </pic:spPr>
                </pic:pic>
              </a:graphicData>
            </a:graphic>
          </wp:anchor>
        </w:drawing>
      </w:r>
    </w:p>
    <w:p>
      <w:pPr>
        <w:widowControl/>
        <w:spacing w:line="240" w:lineRule="auto"/>
        <w:ind w:firstLine="482"/>
        <w:rPr>
          <w:b/>
          <w:bCs/>
          <w:color w:val="000000"/>
        </w:rPr>
      </w:pPr>
      <w:r>
        <w:rPr>
          <w:b/>
          <w:bCs/>
          <w:color w:val="000000"/>
        </w:rPr>
        <w:t xml:space="preserve">Hunan Jingxi Environmental Protection </w:t>
      </w:r>
    </w:p>
    <w:p>
      <w:pPr>
        <w:widowControl/>
        <w:spacing w:line="240" w:lineRule="auto"/>
        <w:ind w:firstLine="482"/>
      </w:pPr>
      <w:r>
        <w:rPr>
          <w:b/>
          <w:bCs/>
          <w:color w:val="000000"/>
        </w:rPr>
        <w:t>Science ＆ Technology CO., LTD.</w:t>
      </w:r>
    </w:p>
    <w:p>
      <w:pPr>
        <w:spacing w:before="62" w:line="480" w:lineRule="auto"/>
        <w:ind w:firstLine="720"/>
        <w:jc w:val="center"/>
        <w:outlineLvl w:val="0"/>
        <w:rPr>
          <w:rFonts w:eastAsia="黑体"/>
          <w:bCs/>
          <w:sz w:val="36"/>
          <w:szCs w:val="36"/>
        </w:rPr>
      </w:pPr>
    </w:p>
    <w:p>
      <w:pPr>
        <w:ind w:firstLine="480"/>
      </w:pPr>
    </w:p>
    <w:p>
      <w:pPr>
        <w:ind w:firstLine="480"/>
      </w:pPr>
    </w:p>
    <w:p>
      <w:pPr>
        <w:spacing w:before="240" w:beforeLines="100" w:after="240" w:afterLines="100" w:line="240" w:lineRule="auto"/>
        <w:ind w:firstLine="0" w:firstLineChars="0"/>
        <w:jc w:val="center"/>
        <w:rPr>
          <w:b/>
          <w:sz w:val="44"/>
          <w:szCs w:val="44"/>
        </w:rPr>
      </w:pPr>
      <w:r>
        <w:rPr>
          <w:rFonts w:hint="eastAsia"/>
          <w:b/>
          <w:sz w:val="44"/>
          <w:szCs w:val="44"/>
        </w:rPr>
        <w:t>澧县鸣怡牧业有限公司生猪养殖场</w:t>
      </w:r>
      <w:r>
        <w:rPr>
          <w:b/>
          <w:sz w:val="44"/>
          <w:szCs w:val="44"/>
        </w:rPr>
        <w:t>建设项目</w:t>
      </w:r>
    </w:p>
    <w:p>
      <w:pPr>
        <w:spacing w:before="240" w:beforeLines="100" w:after="240" w:afterLines="100" w:line="240" w:lineRule="auto"/>
        <w:ind w:firstLine="0" w:firstLineChars="0"/>
        <w:jc w:val="center"/>
        <w:rPr>
          <w:rFonts w:eastAsia="黑体"/>
          <w:b/>
          <w:spacing w:val="52"/>
          <w:sz w:val="52"/>
          <w:szCs w:val="52"/>
        </w:rPr>
      </w:pPr>
      <w:r>
        <w:rPr>
          <w:b/>
          <w:sz w:val="52"/>
          <w:szCs w:val="52"/>
        </w:rPr>
        <w:t>环境影响报告书</w:t>
      </w:r>
    </w:p>
    <w:p>
      <w:pPr>
        <w:spacing w:before="62"/>
        <w:ind w:firstLine="600"/>
        <w:rPr>
          <w:rFonts w:eastAsia="隶书"/>
          <w:sz w:val="30"/>
          <w:highlight w:val="yellow"/>
        </w:rPr>
      </w:pPr>
    </w:p>
    <w:p>
      <w:pPr>
        <w:spacing w:before="62"/>
        <w:ind w:firstLine="600"/>
        <w:rPr>
          <w:rFonts w:eastAsia="隶书"/>
          <w:sz w:val="30"/>
          <w:highlight w:val="yellow"/>
        </w:rPr>
      </w:pPr>
    </w:p>
    <w:p>
      <w:pPr>
        <w:spacing w:before="62"/>
        <w:ind w:firstLine="600"/>
        <w:rPr>
          <w:rFonts w:eastAsia="隶书"/>
          <w:sz w:val="30"/>
          <w:highlight w:val="yellow"/>
        </w:rPr>
      </w:pPr>
    </w:p>
    <w:p>
      <w:pPr>
        <w:spacing w:before="62"/>
        <w:ind w:firstLine="600"/>
        <w:rPr>
          <w:rFonts w:eastAsia="隶书"/>
          <w:sz w:val="30"/>
          <w:highlight w:val="yellow"/>
        </w:rPr>
      </w:pPr>
    </w:p>
    <w:p>
      <w:pPr>
        <w:pStyle w:val="31"/>
        <w:rPr>
          <w:rFonts w:hint="default" w:ascii="Times New Roman" w:hAnsi="Times New Roman" w:eastAsia="隶书"/>
          <w:sz w:val="30"/>
          <w:highlight w:val="yellow"/>
        </w:rPr>
      </w:pPr>
    </w:p>
    <w:p>
      <w:pPr>
        <w:pStyle w:val="31"/>
        <w:rPr>
          <w:rFonts w:hint="default" w:ascii="Times New Roman" w:hAnsi="Times New Roman" w:eastAsia="隶书"/>
          <w:sz w:val="30"/>
          <w:highlight w:val="yellow"/>
        </w:rPr>
      </w:pPr>
    </w:p>
    <w:p>
      <w:pPr>
        <w:spacing w:before="62"/>
        <w:ind w:firstLine="600"/>
        <w:rPr>
          <w:rFonts w:eastAsia="隶书"/>
          <w:sz w:val="30"/>
          <w:highlight w:val="yellow"/>
        </w:rPr>
      </w:pPr>
    </w:p>
    <w:p>
      <w:pPr>
        <w:spacing w:before="62"/>
        <w:ind w:firstLine="600"/>
        <w:rPr>
          <w:rFonts w:eastAsia="隶书"/>
          <w:sz w:val="30"/>
          <w:highlight w:val="yellow"/>
        </w:rPr>
      </w:pPr>
    </w:p>
    <w:p>
      <w:pPr>
        <w:spacing w:line="276" w:lineRule="auto"/>
        <w:ind w:firstLine="1446" w:firstLineChars="450"/>
        <w:rPr>
          <w:b/>
          <w:bCs/>
          <w:sz w:val="32"/>
          <w:szCs w:val="32"/>
          <w:highlight w:val="yellow"/>
        </w:rPr>
      </w:pPr>
    </w:p>
    <w:p>
      <w:pPr>
        <w:ind w:firstLine="480"/>
        <w:rPr>
          <w:highlight w:val="yellow"/>
        </w:rPr>
      </w:pPr>
    </w:p>
    <w:p>
      <w:pPr>
        <w:ind w:firstLine="480"/>
      </w:pPr>
    </w:p>
    <w:p>
      <w:pPr>
        <w:spacing w:line="276" w:lineRule="auto"/>
        <w:ind w:firstLine="1355" w:firstLineChars="450"/>
        <w:rPr>
          <w:b/>
          <w:bCs/>
          <w:sz w:val="30"/>
          <w:szCs w:val="30"/>
        </w:rPr>
      </w:pPr>
      <w:r>
        <w:rPr>
          <w:b/>
          <w:bCs/>
          <w:sz w:val="30"/>
          <w:szCs w:val="30"/>
        </w:rPr>
        <w:t>编制单位：湖南景</w:t>
      </w:r>
      <w:r>
        <w:rPr>
          <w:rFonts w:hint="eastAsia"/>
          <w:b/>
          <w:bCs/>
          <w:sz w:val="30"/>
          <w:szCs w:val="30"/>
        </w:rPr>
        <w:t>玺</w:t>
      </w:r>
      <w:r>
        <w:rPr>
          <w:b/>
          <w:bCs/>
          <w:sz w:val="30"/>
          <w:szCs w:val="30"/>
        </w:rPr>
        <w:t>环保科技有限公司</w:t>
      </w:r>
      <w:bookmarkStart w:id="3" w:name="_Toc454520502"/>
      <w:bookmarkStart w:id="4" w:name="_Toc454025349"/>
      <w:bookmarkStart w:id="5" w:name="_Toc458619165"/>
    </w:p>
    <w:p>
      <w:pPr>
        <w:spacing w:line="276" w:lineRule="auto"/>
        <w:ind w:firstLine="1355" w:firstLineChars="450"/>
        <w:rPr>
          <w:b/>
          <w:bCs/>
          <w:sz w:val="30"/>
          <w:szCs w:val="30"/>
        </w:rPr>
      </w:pPr>
      <w:r>
        <w:rPr>
          <w:b/>
          <w:bCs/>
          <w:sz w:val="30"/>
          <w:szCs w:val="30"/>
        </w:rPr>
        <w:t>建设单位：</w:t>
      </w:r>
      <w:bookmarkEnd w:id="3"/>
      <w:bookmarkEnd w:id="4"/>
      <w:bookmarkEnd w:id="5"/>
      <w:r>
        <w:rPr>
          <w:rFonts w:hint="eastAsia"/>
          <w:b/>
          <w:bCs/>
          <w:sz w:val="30"/>
          <w:szCs w:val="30"/>
        </w:rPr>
        <w:t>澧县鸣怡牧业有限公司</w:t>
      </w:r>
    </w:p>
    <w:p>
      <w:pPr>
        <w:spacing w:line="276" w:lineRule="auto"/>
        <w:ind w:firstLine="602"/>
        <w:jc w:val="center"/>
        <w:rPr>
          <w:b/>
          <w:bCs/>
          <w:sz w:val="30"/>
          <w:szCs w:val="30"/>
        </w:rPr>
      </w:pPr>
      <w:r>
        <w:rPr>
          <w:b/>
          <w:bCs/>
          <w:sz w:val="30"/>
          <w:szCs w:val="30"/>
        </w:rPr>
        <w:t>2020年</w:t>
      </w:r>
      <w:r>
        <w:rPr>
          <w:rFonts w:hint="eastAsia"/>
          <w:b/>
          <w:bCs/>
          <w:sz w:val="30"/>
          <w:szCs w:val="30"/>
        </w:rPr>
        <w:t>10</w:t>
      </w:r>
      <w:r>
        <w:rPr>
          <w:b/>
          <w:bCs/>
          <w:sz w:val="30"/>
          <w:szCs w:val="30"/>
        </w:rPr>
        <w:t>月</w:t>
      </w:r>
    </w:p>
    <w:p>
      <w:pPr>
        <w:ind w:firstLine="480"/>
        <w:rPr>
          <w:highlight w:val="yellow"/>
          <w:lang w:val="zh-CN"/>
        </w:rPr>
        <w:sectPr>
          <w:headerReference r:id="rId7" w:type="first"/>
          <w:footerReference r:id="rId10" w:type="first"/>
          <w:headerReference r:id="rId5" w:type="default"/>
          <w:footerReference r:id="rId8" w:type="default"/>
          <w:headerReference r:id="rId6" w:type="even"/>
          <w:footerReference r:id="rId9" w:type="even"/>
          <w:pgSz w:w="11907" w:h="16840"/>
          <w:pgMar w:top="1417" w:right="1587" w:bottom="1417" w:left="1587" w:header="851" w:footer="992" w:gutter="0"/>
          <w:pgNumType w:start="1"/>
          <w:cols w:space="720" w:num="1"/>
          <w:docGrid w:linePitch="312" w:charSpace="0"/>
        </w:sectPr>
      </w:pPr>
    </w:p>
    <w:p>
      <w:pPr>
        <w:ind w:firstLine="480"/>
        <w:rPr>
          <w:lang w:val="zh-CN"/>
        </w:rPr>
      </w:pPr>
      <w:bookmarkStart w:id="6" w:name="_Toc11230"/>
      <w:bookmarkStart w:id="7" w:name="_Toc26653"/>
      <w:bookmarkStart w:id="8" w:name="_Toc485"/>
      <w:r>
        <w:rPr>
          <w:rFonts w:hint="eastAsia"/>
          <w:lang w:val="zh-CN"/>
        </w:rPr>
        <w:br w:type="page"/>
      </w:r>
    </w:p>
    <w:p>
      <w:pPr>
        <w:pStyle w:val="3"/>
        <w:ind w:firstLine="643"/>
        <w:rPr>
          <w:lang w:val="zh-CN"/>
        </w:rPr>
      </w:pPr>
      <w:r>
        <w:rPr>
          <w:rFonts w:hint="eastAsia"/>
          <w:lang w:val="zh-CN"/>
        </w:rPr>
        <w:t>目录</w:t>
      </w:r>
      <w:bookmarkEnd w:id="6"/>
      <w:bookmarkEnd w:id="7"/>
      <w:bookmarkEnd w:id="8"/>
    </w:p>
    <w:p>
      <w:pPr>
        <w:ind w:firstLine="480"/>
        <w:rPr>
          <w:highlight w:val="yellow"/>
        </w:rPr>
      </w:pPr>
    </w:p>
    <w:p>
      <w:pPr>
        <w:pStyle w:val="17"/>
        <w:tabs>
          <w:tab w:val="right" w:leader="dot" w:pos="8733"/>
        </w:tabs>
        <w:ind w:firstLine="480"/>
      </w:pPr>
      <w:r>
        <w:rPr>
          <w:highlight w:val="yellow"/>
        </w:rPr>
        <w:fldChar w:fldCharType="begin"/>
      </w:r>
      <w:r>
        <w:rPr>
          <w:highlight w:val="yellow"/>
        </w:rPr>
        <w:instrText xml:space="preserve"> TOC \o "1-2" \h \z \u </w:instrText>
      </w:r>
      <w:r>
        <w:rPr>
          <w:highlight w:val="yellow"/>
        </w:rPr>
        <w:fldChar w:fldCharType="separate"/>
      </w:r>
      <w:r>
        <w:fldChar w:fldCharType="begin"/>
      </w:r>
      <w:r>
        <w:instrText xml:space="preserve"> HYPERLINK \l "_Toc485" </w:instrText>
      </w:r>
      <w:r>
        <w:fldChar w:fldCharType="separate"/>
      </w:r>
      <w:r>
        <w:rPr>
          <w:rFonts w:hint="eastAsia"/>
          <w:lang w:val="zh-CN"/>
        </w:rPr>
        <w:t>目录</w:t>
      </w:r>
      <w:r>
        <w:tab/>
      </w:r>
      <w:r>
        <w:fldChar w:fldCharType="begin"/>
      </w:r>
      <w:r>
        <w:instrText xml:space="preserve"> PAGEREF _Toc485 </w:instrText>
      </w:r>
      <w:r>
        <w:fldChar w:fldCharType="separate"/>
      </w:r>
      <w:r>
        <w:t>II</w:t>
      </w:r>
      <w:r>
        <w:fldChar w:fldCharType="end"/>
      </w:r>
      <w:r>
        <w:fldChar w:fldCharType="end"/>
      </w:r>
    </w:p>
    <w:p>
      <w:pPr>
        <w:pStyle w:val="17"/>
        <w:tabs>
          <w:tab w:val="right" w:leader="dot" w:pos="8733"/>
        </w:tabs>
        <w:ind w:firstLine="480"/>
      </w:pPr>
      <w:r>
        <w:fldChar w:fldCharType="begin"/>
      </w:r>
      <w:r>
        <w:instrText xml:space="preserve"> HYPERLINK \l "_Toc29936" </w:instrText>
      </w:r>
      <w:r>
        <w:fldChar w:fldCharType="separate"/>
      </w:r>
      <w:r>
        <w:t>概述</w:t>
      </w:r>
      <w:r>
        <w:tab/>
      </w:r>
      <w:r>
        <w:fldChar w:fldCharType="begin"/>
      </w:r>
      <w:r>
        <w:instrText xml:space="preserve"> PAGEREF _Toc29936 </w:instrText>
      </w:r>
      <w:r>
        <w:fldChar w:fldCharType="separate"/>
      </w:r>
      <w:r>
        <w:t>2</w:t>
      </w:r>
      <w:r>
        <w:fldChar w:fldCharType="end"/>
      </w:r>
      <w:r>
        <w:fldChar w:fldCharType="end"/>
      </w:r>
    </w:p>
    <w:p>
      <w:pPr>
        <w:pStyle w:val="17"/>
        <w:tabs>
          <w:tab w:val="right" w:leader="dot" w:pos="8733"/>
        </w:tabs>
        <w:ind w:firstLine="480"/>
      </w:pPr>
      <w:r>
        <w:fldChar w:fldCharType="begin"/>
      </w:r>
      <w:r>
        <w:instrText xml:space="preserve"> HYPERLINK \l "_Toc23774" </w:instrText>
      </w:r>
      <w:r>
        <w:fldChar w:fldCharType="separate"/>
      </w:r>
      <w:r>
        <w:rPr>
          <w:rFonts w:cs="微软雅黑"/>
        </w:rPr>
        <w:t xml:space="preserve">第1章 </w:t>
      </w:r>
      <w:r>
        <w:rPr>
          <w:rFonts w:hint="eastAsia"/>
        </w:rPr>
        <w:t>总则</w:t>
      </w:r>
      <w:r>
        <w:tab/>
      </w:r>
      <w:r>
        <w:fldChar w:fldCharType="begin"/>
      </w:r>
      <w:r>
        <w:instrText xml:space="preserve"> PAGEREF _Toc23774 </w:instrText>
      </w:r>
      <w:r>
        <w:fldChar w:fldCharType="separate"/>
      </w:r>
      <w:r>
        <w:t>7</w:t>
      </w:r>
      <w:r>
        <w:fldChar w:fldCharType="end"/>
      </w:r>
      <w:r>
        <w:fldChar w:fldCharType="end"/>
      </w:r>
    </w:p>
    <w:p>
      <w:pPr>
        <w:pStyle w:val="18"/>
        <w:tabs>
          <w:tab w:val="right" w:leader="dot" w:pos="8733"/>
        </w:tabs>
        <w:ind w:left="480" w:firstLine="480"/>
      </w:pPr>
      <w:r>
        <w:fldChar w:fldCharType="begin"/>
      </w:r>
      <w:r>
        <w:instrText xml:space="preserve"> HYPERLINK \l "_Toc6676" </w:instrText>
      </w:r>
      <w:r>
        <w:fldChar w:fldCharType="separate"/>
      </w:r>
      <w:r>
        <w:rPr>
          <w:rFonts w:hint="eastAsia"/>
        </w:rPr>
        <w:t>1.1 评价原则</w:t>
      </w:r>
      <w:r>
        <w:tab/>
      </w:r>
      <w:r>
        <w:fldChar w:fldCharType="begin"/>
      </w:r>
      <w:r>
        <w:instrText xml:space="preserve"> PAGEREF _Toc6676 </w:instrText>
      </w:r>
      <w:r>
        <w:fldChar w:fldCharType="separate"/>
      </w:r>
      <w:r>
        <w:t>7</w:t>
      </w:r>
      <w:r>
        <w:fldChar w:fldCharType="end"/>
      </w:r>
      <w:r>
        <w:fldChar w:fldCharType="end"/>
      </w:r>
    </w:p>
    <w:p>
      <w:pPr>
        <w:pStyle w:val="18"/>
        <w:tabs>
          <w:tab w:val="right" w:leader="dot" w:pos="8733"/>
        </w:tabs>
        <w:ind w:left="480" w:firstLine="480"/>
      </w:pPr>
      <w:r>
        <w:fldChar w:fldCharType="begin"/>
      </w:r>
      <w:r>
        <w:instrText xml:space="preserve"> HYPERLINK \l "_Toc6884" </w:instrText>
      </w:r>
      <w:r>
        <w:fldChar w:fldCharType="separate"/>
      </w:r>
      <w:r>
        <w:rPr>
          <w:rFonts w:hint="eastAsia"/>
        </w:rPr>
        <w:t>1.2 编制依据</w:t>
      </w:r>
      <w:r>
        <w:tab/>
      </w:r>
      <w:r>
        <w:fldChar w:fldCharType="begin"/>
      </w:r>
      <w:r>
        <w:instrText xml:space="preserve"> PAGEREF _Toc6884 </w:instrText>
      </w:r>
      <w:r>
        <w:fldChar w:fldCharType="separate"/>
      </w:r>
      <w:r>
        <w:t>7</w:t>
      </w:r>
      <w:r>
        <w:fldChar w:fldCharType="end"/>
      </w:r>
      <w:r>
        <w:fldChar w:fldCharType="end"/>
      </w:r>
    </w:p>
    <w:p>
      <w:pPr>
        <w:pStyle w:val="18"/>
        <w:tabs>
          <w:tab w:val="right" w:leader="dot" w:pos="8733"/>
        </w:tabs>
        <w:ind w:left="480" w:firstLine="480"/>
      </w:pPr>
      <w:r>
        <w:fldChar w:fldCharType="begin"/>
      </w:r>
      <w:r>
        <w:instrText xml:space="preserve"> HYPERLINK \l "_Toc26828" </w:instrText>
      </w:r>
      <w:r>
        <w:fldChar w:fldCharType="separate"/>
      </w:r>
      <w:r>
        <w:rPr>
          <w:rFonts w:hint="eastAsia"/>
        </w:rPr>
        <w:t>1.3 评价因子筛选及评价标准</w:t>
      </w:r>
      <w:r>
        <w:tab/>
      </w:r>
      <w:r>
        <w:fldChar w:fldCharType="begin"/>
      </w:r>
      <w:r>
        <w:instrText xml:space="preserve"> PAGEREF _Toc26828 </w:instrText>
      </w:r>
      <w:r>
        <w:fldChar w:fldCharType="separate"/>
      </w:r>
      <w:r>
        <w:t>11</w:t>
      </w:r>
      <w:r>
        <w:fldChar w:fldCharType="end"/>
      </w:r>
      <w:r>
        <w:fldChar w:fldCharType="end"/>
      </w:r>
    </w:p>
    <w:p>
      <w:pPr>
        <w:pStyle w:val="18"/>
        <w:tabs>
          <w:tab w:val="right" w:leader="dot" w:pos="8733"/>
        </w:tabs>
        <w:ind w:left="480" w:firstLine="480"/>
      </w:pPr>
      <w:r>
        <w:fldChar w:fldCharType="begin"/>
      </w:r>
      <w:r>
        <w:instrText xml:space="preserve"> HYPERLINK \l "_Toc24827" </w:instrText>
      </w:r>
      <w:r>
        <w:fldChar w:fldCharType="separate"/>
      </w:r>
      <w:r>
        <w:rPr>
          <w:rFonts w:hint="eastAsia"/>
        </w:rPr>
        <w:t>1.4 评价工作等级及评价范围</w:t>
      </w:r>
      <w:r>
        <w:tab/>
      </w:r>
      <w:r>
        <w:fldChar w:fldCharType="begin"/>
      </w:r>
      <w:r>
        <w:instrText xml:space="preserve"> PAGEREF _Toc24827 </w:instrText>
      </w:r>
      <w:r>
        <w:fldChar w:fldCharType="separate"/>
      </w:r>
      <w:r>
        <w:t>14</w:t>
      </w:r>
      <w:r>
        <w:fldChar w:fldCharType="end"/>
      </w:r>
      <w:r>
        <w:fldChar w:fldCharType="end"/>
      </w:r>
    </w:p>
    <w:p>
      <w:pPr>
        <w:pStyle w:val="18"/>
        <w:tabs>
          <w:tab w:val="right" w:leader="dot" w:pos="8733"/>
        </w:tabs>
        <w:ind w:left="480" w:firstLine="480"/>
      </w:pPr>
      <w:r>
        <w:fldChar w:fldCharType="begin"/>
      </w:r>
      <w:r>
        <w:instrText xml:space="preserve"> HYPERLINK \l "_Toc6630" </w:instrText>
      </w:r>
      <w:r>
        <w:fldChar w:fldCharType="separate"/>
      </w:r>
      <w:r>
        <w:rPr>
          <w:rFonts w:hint="eastAsia"/>
        </w:rPr>
        <w:t>1.5 环境保护目标</w:t>
      </w:r>
      <w:r>
        <w:tab/>
      </w:r>
      <w:r>
        <w:fldChar w:fldCharType="begin"/>
      </w:r>
      <w:r>
        <w:instrText xml:space="preserve"> PAGEREF _Toc6630 </w:instrText>
      </w:r>
      <w:r>
        <w:fldChar w:fldCharType="separate"/>
      </w:r>
      <w:r>
        <w:t>18</w:t>
      </w:r>
      <w:r>
        <w:fldChar w:fldCharType="end"/>
      </w:r>
      <w:r>
        <w:fldChar w:fldCharType="end"/>
      </w:r>
    </w:p>
    <w:p>
      <w:pPr>
        <w:pStyle w:val="18"/>
        <w:tabs>
          <w:tab w:val="right" w:leader="dot" w:pos="8733"/>
        </w:tabs>
        <w:ind w:left="480" w:firstLine="480"/>
      </w:pPr>
      <w:r>
        <w:fldChar w:fldCharType="begin"/>
      </w:r>
      <w:r>
        <w:instrText xml:space="preserve"> HYPERLINK \l "_Toc29997" </w:instrText>
      </w:r>
      <w:r>
        <w:fldChar w:fldCharType="separate"/>
      </w:r>
      <w:r>
        <w:rPr>
          <w:rFonts w:hint="eastAsia"/>
        </w:rPr>
        <w:t xml:space="preserve">1.6 </w:t>
      </w:r>
      <w:r>
        <w:t>相关规划</w:t>
      </w:r>
      <w:r>
        <w:tab/>
      </w:r>
      <w:r>
        <w:fldChar w:fldCharType="begin"/>
      </w:r>
      <w:r>
        <w:instrText xml:space="preserve"> PAGEREF _Toc29997 </w:instrText>
      </w:r>
      <w:r>
        <w:fldChar w:fldCharType="separate"/>
      </w:r>
      <w:r>
        <w:t>18</w:t>
      </w:r>
      <w:r>
        <w:fldChar w:fldCharType="end"/>
      </w:r>
      <w:r>
        <w:fldChar w:fldCharType="end"/>
      </w:r>
    </w:p>
    <w:p>
      <w:pPr>
        <w:pStyle w:val="17"/>
        <w:tabs>
          <w:tab w:val="right" w:leader="dot" w:pos="8733"/>
        </w:tabs>
        <w:ind w:firstLine="480"/>
      </w:pPr>
      <w:r>
        <w:fldChar w:fldCharType="begin"/>
      </w:r>
      <w:r>
        <w:instrText xml:space="preserve"> HYPERLINK \l "_Toc20975" </w:instrText>
      </w:r>
      <w:r>
        <w:fldChar w:fldCharType="separate"/>
      </w:r>
      <w:r>
        <w:rPr>
          <w:rFonts w:cs="微软雅黑"/>
        </w:rPr>
        <w:t xml:space="preserve">第2章 </w:t>
      </w:r>
      <w:r>
        <w:t>建设项目工程分析</w:t>
      </w:r>
      <w:r>
        <w:tab/>
      </w:r>
      <w:r>
        <w:fldChar w:fldCharType="begin"/>
      </w:r>
      <w:r>
        <w:instrText xml:space="preserve"> PAGEREF _Toc20975 </w:instrText>
      </w:r>
      <w:r>
        <w:fldChar w:fldCharType="separate"/>
      </w:r>
      <w:r>
        <w:t>25</w:t>
      </w:r>
      <w:r>
        <w:fldChar w:fldCharType="end"/>
      </w:r>
      <w:r>
        <w:fldChar w:fldCharType="end"/>
      </w:r>
    </w:p>
    <w:p>
      <w:pPr>
        <w:pStyle w:val="18"/>
        <w:tabs>
          <w:tab w:val="right" w:leader="dot" w:pos="8733"/>
        </w:tabs>
        <w:ind w:left="480" w:firstLine="480"/>
      </w:pPr>
      <w:r>
        <w:fldChar w:fldCharType="begin"/>
      </w:r>
      <w:r>
        <w:instrText xml:space="preserve"> HYPERLINK \l "_Toc11733" </w:instrText>
      </w:r>
      <w:r>
        <w:fldChar w:fldCharType="separate"/>
      </w:r>
      <w:r>
        <w:rPr>
          <w:rFonts w:hint="eastAsia"/>
        </w:rPr>
        <w:t>2.1 项目概况</w:t>
      </w:r>
      <w:r>
        <w:tab/>
      </w:r>
      <w:r>
        <w:fldChar w:fldCharType="begin"/>
      </w:r>
      <w:r>
        <w:instrText xml:space="preserve"> PAGEREF _Toc11733 </w:instrText>
      </w:r>
      <w:r>
        <w:fldChar w:fldCharType="separate"/>
      </w:r>
      <w:r>
        <w:t>25</w:t>
      </w:r>
      <w:r>
        <w:fldChar w:fldCharType="end"/>
      </w:r>
      <w:r>
        <w:fldChar w:fldCharType="end"/>
      </w:r>
    </w:p>
    <w:p>
      <w:pPr>
        <w:pStyle w:val="18"/>
        <w:tabs>
          <w:tab w:val="right" w:leader="dot" w:pos="8733"/>
        </w:tabs>
        <w:ind w:left="480" w:firstLine="480"/>
      </w:pPr>
      <w:r>
        <w:fldChar w:fldCharType="begin"/>
      </w:r>
      <w:r>
        <w:instrText xml:space="preserve"> HYPERLINK \l "_Toc18897" </w:instrText>
      </w:r>
      <w:r>
        <w:fldChar w:fldCharType="separate"/>
      </w:r>
      <w:r>
        <w:rPr>
          <w:rFonts w:hint="eastAsia"/>
        </w:rPr>
        <w:t xml:space="preserve">2.2 </w:t>
      </w:r>
      <w:r>
        <w:t>生产工艺流程及产污环节</w:t>
      </w:r>
      <w:r>
        <w:tab/>
      </w:r>
      <w:r>
        <w:fldChar w:fldCharType="begin"/>
      </w:r>
      <w:r>
        <w:instrText xml:space="preserve"> PAGEREF _Toc18897 </w:instrText>
      </w:r>
      <w:r>
        <w:fldChar w:fldCharType="separate"/>
      </w:r>
      <w:r>
        <w:t>30</w:t>
      </w:r>
      <w:r>
        <w:fldChar w:fldCharType="end"/>
      </w:r>
      <w:r>
        <w:fldChar w:fldCharType="end"/>
      </w:r>
    </w:p>
    <w:p>
      <w:pPr>
        <w:pStyle w:val="18"/>
        <w:tabs>
          <w:tab w:val="right" w:leader="dot" w:pos="8733"/>
        </w:tabs>
        <w:ind w:left="480" w:firstLine="480"/>
      </w:pPr>
      <w:r>
        <w:fldChar w:fldCharType="begin"/>
      </w:r>
      <w:r>
        <w:instrText xml:space="preserve"> HYPERLINK \l "_Toc5190" </w:instrText>
      </w:r>
      <w:r>
        <w:fldChar w:fldCharType="separate"/>
      </w:r>
      <w:r>
        <w:rPr>
          <w:rFonts w:hint="eastAsia"/>
        </w:rPr>
        <w:t xml:space="preserve">2.3 </w:t>
      </w:r>
      <w:r>
        <w:t>物料平衡与水平衡分析</w:t>
      </w:r>
      <w:r>
        <w:tab/>
      </w:r>
      <w:r>
        <w:fldChar w:fldCharType="begin"/>
      </w:r>
      <w:r>
        <w:instrText xml:space="preserve"> PAGEREF _Toc5190 </w:instrText>
      </w:r>
      <w:r>
        <w:fldChar w:fldCharType="separate"/>
      </w:r>
      <w:r>
        <w:t>35</w:t>
      </w:r>
      <w:r>
        <w:fldChar w:fldCharType="end"/>
      </w:r>
      <w:r>
        <w:fldChar w:fldCharType="end"/>
      </w:r>
    </w:p>
    <w:p>
      <w:pPr>
        <w:pStyle w:val="18"/>
        <w:tabs>
          <w:tab w:val="right" w:leader="dot" w:pos="8733"/>
        </w:tabs>
        <w:ind w:left="480" w:firstLine="480"/>
      </w:pPr>
      <w:r>
        <w:fldChar w:fldCharType="begin"/>
      </w:r>
      <w:r>
        <w:instrText xml:space="preserve"> HYPERLINK \l "_Toc4440" </w:instrText>
      </w:r>
      <w:r>
        <w:fldChar w:fldCharType="separate"/>
      </w:r>
      <w:r>
        <w:rPr>
          <w:rFonts w:hint="eastAsia"/>
        </w:rPr>
        <w:t xml:space="preserve">2.4 </w:t>
      </w:r>
      <w:r>
        <w:t>污染源强分析</w:t>
      </w:r>
      <w:r>
        <w:tab/>
      </w:r>
      <w:r>
        <w:fldChar w:fldCharType="begin"/>
      </w:r>
      <w:r>
        <w:instrText xml:space="preserve"> PAGEREF _Toc4440 </w:instrText>
      </w:r>
      <w:r>
        <w:fldChar w:fldCharType="separate"/>
      </w:r>
      <w:r>
        <w:t>37</w:t>
      </w:r>
      <w:r>
        <w:fldChar w:fldCharType="end"/>
      </w:r>
      <w:r>
        <w:fldChar w:fldCharType="end"/>
      </w:r>
    </w:p>
    <w:p>
      <w:pPr>
        <w:pStyle w:val="18"/>
        <w:tabs>
          <w:tab w:val="right" w:leader="dot" w:pos="8733"/>
        </w:tabs>
        <w:ind w:left="480" w:firstLine="480"/>
      </w:pPr>
      <w:r>
        <w:fldChar w:fldCharType="begin"/>
      </w:r>
      <w:r>
        <w:instrText xml:space="preserve"> HYPERLINK \l "_Toc7613" </w:instrText>
      </w:r>
      <w:r>
        <w:fldChar w:fldCharType="separate"/>
      </w:r>
      <w:r>
        <w:rPr>
          <w:rFonts w:hint="eastAsia"/>
        </w:rPr>
        <w:t xml:space="preserve">2.5 </w:t>
      </w:r>
      <w:r>
        <w:t>项目污染物产排情况汇总</w:t>
      </w:r>
      <w:r>
        <w:tab/>
      </w:r>
      <w:r>
        <w:fldChar w:fldCharType="begin"/>
      </w:r>
      <w:r>
        <w:instrText xml:space="preserve"> PAGEREF _Toc7613 </w:instrText>
      </w:r>
      <w:r>
        <w:fldChar w:fldCharType="separate"/>
      </w:r>
      <w:r>
        <w:t>48</w:t>
      </w:r>
      <w:r>
        <w:fldChar w:fldCharType="end"/>
      </w:r>
      <w:r>
        <w:fldChar w:fldCharType="end"/>
      </w:r>
    </w:p>
    <w:p>
      <w:pPr>
        <w:pStyle w:val="17"/>
        <w:tabs>
          <w:tab w:val="right" w:leader="dot" w:pos="8733"/>
        </w:tabs>
        <w:ind w:firstLine="480"/>
      </w:pPr>
      <w:r>
        <w:fldChar w:fldCharType="begin"/>
      </w:r>
      <w:r>
        <w:instrText xml:space="preserve"> HYPERLINK \l "_Toc25324" </w:instrText>
      </w:r>
      <w:r>
        <w:fldChar w:fldCharType="separate"/>
      </w:r>
      <w:r>
        <w:rPr>
          <w:rFonts w:cs="微软雅黑"/>
        </w:rPr>
        <w:t xml:space="preserve">第3章 </w:t>
      </w:r>
      <w:r>
        <w:rPr>
          <w:rFonts w:hint="eastAsia"/>
        </w:rPr>
        <w:t>环境现状调查与评价</w:t>
      </w:r>
      <w:r>
        <w:tab/>
      </w:r>
      <w:r>
        <w:fldChar w:fldCharType="begin"/>
      </w:r>
      <w:r>
        <w:instrText xml:space="preserve"> PAGEREF _Toc25324 </w:instrText>
      </w:r>
      <w:r>
        <w:fldChar w:fldCharType="separate"/>
      </w:r>
      <w:r>
        <w:t>50</w:t>
      </w:r>
      <w:r>
        <w:fldChar w:fldCharType="end"/>
      </w:r>
      <w:r>
        <w:fldChar w:fldCharType="end"/>
      </w:r>
    </w:p>
    <w:p>
      <w:pPr>
        <w:pStyle w:val="18"/>
        <w:tabs>
          <w:tab w:val="right" w:leader="dot" w:pos="8733"/>
        </w:tabs>
        <w:ind w:left="480" w:firstLine="480"/>
      </w:pPr>
      <w:r>
        <w:fldChar w:fldCharType="begin"/>
      </w:r>
      <w:r>
        <w:instrText xml:space="preserve"> HYPERLINK \l "_Toc13496" </w:instrText>
      </w:r>
      <w:r>
        <w:fldChar w:fldCharType="separate"/>
      </w:r>
      <w:r>
        <w:rPr>
          <w:rFonts w:hint="eastAsia"/>
        </w:rPr>
        <w:t>3.1 自然环境调查与评价</w:t>
      </w:r>
      <w:r>
        <w:tab/>
      </w:r>
      <w:r>
        <w:fldChar w:fldCharType="begin"/>
      </w:r>
      <w:r>
        <w:instrText xml:space="preserve"> PAGEREF _Toc13496 </w:instrText>
      </w:r>
      <w:r>
        <w:fldChar w:fldCharType="separate"/>
      </w:r>
      <w:r>
        <w:t>50</w:t>
      </w:r>
      <w:r>
        <w:fldChar w:fldCharType="end"/>
      </w:r>
      <w:r>
        <w:fldChar w:fldCharType="end"/>
      </w:r>
    </w:p>
    <w:p>
      <w:pPr>
        <w:pStyle w:val="18"/>
        <w:tabs>
          <w:tab w:val="right" w:leader="dot" w:pos="8733"/>
        </w:tabs>
        <w:ind w:left="480" w:firstLine="480"/>
      </w:pPr>
      <w:r>
        <w:fldChar w:fldCharType="begin"/>
      </w:r>
      <w:r>
        <w:instrText xml:space="preserve"> HYPERLINK \l "_Toc31229" </w:instrText>
      </w:r>
      <w:r>
        <w:fldChar w:fldCharType="separate"/>
      </w:r>
      <w:r>
        <w:rPr>
          <w:rFonts w:hint="eastAsia"/>
        </w:rPr>
        <w:t xml:space="preserve">3.2 </w:t>
      </w:r>
      <w:r>
        <w:t>环境质量现状监测与评价</w:t>
      </w:r>
      <w:r>
        <w:tab/>
      </w:r>
      <w:r>
        <w:fldChar w:fldCharType="begin"/>
      </w:r>
      <w:r>
        <w:instrText xml:space="preserve"> PAGEREF _Toc31229 </w:instrText>
      </w:r>
      <w:r>
        <w:fldChar w:fldCharType="separate"/>
      </w:r>
      <w:r>
        <w:t>54</w:t>
      </w:r>
      <w:r>
        <w:fldChar w:fldCharType="end"/>
      </w:r>
      <w:r>
        <w:fldChar w:fldCharType="end"/>
      </w:r>
    </w:p>
    <w:p>
      <w:pPr>
        <w:pStyle w:val="18"/>
        <w:tabs>
          <w:tab w:val="right" w:leader="dot" w:pos="8733"/>
        </w:tabs>
        <w:ind w:left="480" w:firstLine="480"/>
      </w:pPr>
      <w:r>
        <w:fldChar w:fldCharType="begin"/>
      </w:r>
      <w:r>
        <w:instrText xml:space="preserve"> HYPERLINK \l "_Toc24101" </w:instrText>
      </w:r>
      <w:r>
        <w:fldChar w:fldCharType="separate"/>
      </w:r>
      <w:r>
        <w:rPr>
          <w:rFonts w:hint="eastAsia"/>
        </w:rPr>
        <w:t xml:space="preserve">3.3 </w:t>
      </w:r>
      <w:r>
        <w:t>区域面源污染状况调查</w:t>
      </w:r>
      <w:r>
        <w:tab/>
      </w:r>
      <w:r>
        <w:fldChar w:fldCharType="begin"/>
      </w:r>
      <w:r>
        <w:instrText xml:space="preserve"> PAGEREF _Toc24101 </w:instrText>
      </w:r>
      <w:r>
        <w:fldChar w:fldCharType="separate"/>
      </w:r>
      <w:r>
        <w:t>61</w:t>
      </w:r>
      <w:r>
        <w:fldChar w:fldCharType="end"/>
      </w:r>
      <w:r>
        <w:fldChar w:fldCharType="end"/>
      </w:r>
    </w:p>
    <w:p>
      <w:pPr>
        <w:pStyle w:val="17"/>
        <w:tabs>
          <w:tab w:val="right" w:leader="dot" w:pos="8733"/>
        </w:tabs>
        <w:ind w:firstLine="480"/>
      </w:pPr>
      <w:r>
        <w:fldChar w:fldCharType="begin"/>
      </w:r>
      <w:r>
        <w:instrText xml:space="preserve"> HYPERLINK \l "_Toc10743" </w:instrText>
      </w:r>
      <w:r>
        <w:fldChar w:fldCharType="separate"/>
      </w:r>
      <w:r>
        <w:rPr>
          <w:rFonts w:cs="微软雅黑"/>
        </w:rPr>
        <w:t xml:space="preserve">第4章 </w:t>
      </w:r>
      <w:r>
        <w:t>环境影响预测与评价</w:t>
      </w:r>
      <w:r>
        <w:tab/>
      </w:r>
      <w:r>
        <w:fldChar w:fldCharType="begin"/>
      </w:r>
      <w:r>
        <w:instrText xml:space="preserve"> PAGEREF _Toc10743 </w:instrText>
      </w:r>
      <w:r>
        <w:fldChar w:fldCharType="separate"/>
      </w:r>
      <w:r>
        <w:t>63</w:t>
      </w:r>
      <w:r>
        <w:fldChar w:fldCharType="end"/>
      </w:r>
      <w:r>
        <w:fldChar w:fldCharType="end"/>
      </w:r>
    </w:p>
    <w:p>
      <w:pPr>
        <w:pStyle w:val="18"/>
        <w:tabs>
          <w:tab w:val="right" w:leader="dot" w:pos="8733"/>
        </w:tabs>
        <w:ind w:left="480" w:firstLine="480"/>
      </w:pPr>
      <w:r>
        <w:fldChar w:fldCharType="begin"/>
      </w:r>
      <w:r>
        <w:instrText xml:space="preserve"> HYPERLINK \l "_Toc24850" </w:instrText>
      </w:r>
      <w:r>
        <w:fldChar w:fldCharType="separate"/>
      </w:r>
      <w:r>
        <w:rPr>
          <w:rFonts w:hint="eastAsia"/>
        </w:rPr>
        <w:t xml:space="preserve">4.1 </w:t>
      </w:r>
      <w:r>
        <w:t>施工期环境影响分析</w:t>
      </w:r>
      <w:r>
        <w:tab/>
      </w:r>
      <w:r>
        <w:fldChar w:fldCharType="begin"/>
      </w:r>
      <w:r>
        <w:instrText xml:space="preserve"> PAGEREF _Toc24850 </w:instrText>
      </w:r>
      <w:r>
        <w:fldChar w:fldCharType="separate"/>
      </w:r>
      <w:r>
        <w:t>63</w:t>
      </w:r>
      <w:r>
        <w:fldChar w:fldCharType="end"/>
      </w:r>
      <w:r>
        <w:fldChar w:fldCharType="end"/>
      </w:r>
    </w:p>
    <w:p>
      <w:pPr>
        <w:pStyle w:val="18"/>
        <w:tabs>
          <w:tab w:val="right" w:leader="dot" w:pos="8733"/>
        </w:tabs>
        <w:ind w:left="480" w:firstLine="480"/>
      </w:pPr>
      <w:r>
        <w:fldChar w:fldCharType="begin"/>
      </w:r>
      <w:r>
        <w:instrText xml:space="preserve"> HYPERLINK \l "_Toc8636" </w:instrText>
      </w:r>
      <w:r>
        <w:fldChar w:fldCharType="separate"/>
      </w:r>
      <w:r>
        <w:rPr>
          <w:rFonts w:hint="eastAsia"/>
        </w:rPr>
        <w:t xml:space="preserve">4.2 </w:t>
      </w:r>
      <w:r>
        <w:t>营运期环境影响预测与分析</w:t>
      </w:r>
      <w:r>
        <w:tab/>
      </w:r>
      <w:r>
        <w:fldChar w:fldCharType="begin"/>
      </w:r>
      <w:r>
        <w:instrText xml:space="preserve"> PAGEREF _Toc8636 </w:instrText>
      </w:r>
      <w:r>
        <w:fldChar w:fldCharType="separate"/>
      </w:r>
      <w:r>
        <w:t>70</w:t>
      </w:r>
      <w:r>
        <w:fldChar w:fldCharType="end"/>
      </w:r>
      <w:r>
        <w:fldChar w:fldCharType="end"/>
      </w:r>
    </w:p>
    <w:p>
      <w:pPr>
        <w:pStyle w:val="18"/>
        <w:tabs>
          <w:tab w:val="right" w:leader="dot" w:pos="8733"/>
        </w:tabs>
        <w:ind w:left="480" w:firstLine="480"/>
      </w:pPr>
      <w:r>
        <w:fldChar w:fldCharType="begin"/>
      </w:r>
      <w:r>
        <w:instrText xml:space="preserve"> HYPERLINK \l "_Toc19645" </w:instrText>
      </w:r>
      <w:r>
        <w:fldChar w:fldCharType="separate"/>
      </w:r>
      <w:r>
        <w:rPr>
          <w:rFonts w:hint="eastAsia"/>
        </w:rPr>
        <w:t>4.3 环境风险评价</w:t>
      </w:r>
      <w:r>
        <w:tab/>
      </w:r>
      <w:r>
        <w:fldChar w:fldCharType="begin"/>
      </w:r>
      <w:r>
        <w:instrText xml:space="preserve"> PAGEREF _Toc19645 </w:instrText>
      </w:r>
      <w:r>
        <w:fldChar w:fldCharType="separate"/>
      </w:r>
      <w:r>
        <w:t>82</w:t>
      </w:r>
      <w:r>
        <w:fldChar w:fldCharType="end"/>
      </w:r>
      <w:r>
        <w:fldChar w:fldCharType="end"/>
      </w:r>
    </w:p>
    <w:p>
      <w:pPr>
        <w:pStyle w:val="17"/>
        <w:tabs>
          <w:tab w:val="right" w:leader="dot" w:pos="8733"/>
        </w:tabs>
        <w:ind w:firstLine="480"/>
      </w:pPr>
      <w:r>
        <w:fldChar w:fldCharType="begin"/>
      </w:r>
      <w:r>
        <w:instrText xml:space="preserve"> HYPERLINK \l "_Toc26606" </w:instrText>
      </w:r>
      <w:r>
        <w:fldChar w:fldCharType="separate"/>
      </w:r>
      <w:r>
        <w:rPr>
          <w:rFonts w:cs="微软雅黑"/>
        </w:rPr>
        <w:t xml:space="preserve">第5章 </w:t>
      </w:r>
      <w:r>
        <w:t>环境保护措施及经济技术论证</w:t>
      </w:r>
      <w:r>
        <w:tab/>
      </w:r>
      <w:r>
        <w:fldChar w:fldCharType="begin"/>
      </w:r>
      <w:r>
        <w:instrText xml:space="preserve"> PAGEREF _Toc26606 </w:instrText>
      </w:r>
      <w:r>
        <w:fldChar w:fldCharType="separate"/>
      </w:r>
      <w:r>
        <w:t>86</w:t>
      </w:r>
      <w:r>
        <w:fldChar w:fldCharType="end"/>
      </w:r>
      <w:r>
        <w:fldChar w:fldCharType="end"/>
      </w:r>
    </w:p>
    <w:p>
      <w:pPr>
        <w:pStyle w:val="18"/>
        <w:tabs>
          <w:tab w:val="right" w:leader="dot" w:pos="8733"/>
        </w:tabs>
        <w:ind w:left="480" w:firstLine="480"/>
      </w:pPr>
      <w:r>
        <w:fldChar w:fldCharType="begin"/>
      </w:r>
      <w:r>
        <w:instrText xml:space="preserve"> HYPERLINK \l "_Toc22576" </w:instrText>
      </w:r>
      <w:r>
        <w:fldChar w:fldCharType="separate"/>
      </w:r>
      <w:r>
        <w:rPr>
          <w:rFonts w:hint="eastAsia"/>
        </w:rPr>
        <w:t xml:space="preserve">5.1 </w:t>
      </w:r>
      <w:r>
        <w:t>施工期污染防治措施及可行性论证</w:t>
      </w:r>
      <w:r>
        <w:tab/>
      </w:r>
      <w:r>
        <w:fldChar w:fldCharType="begin"/>
      </w:r>
      <w:r>
        <w:instrText xml:space="preserve"> PAGEREF _Toc22576 </w:instrText>
      </w:r>
      <w:r>
        <w:fldChar w:fldCharType="separate"/>
      </w:r>
      <w:r>
        <w:t>86</w:t>
      </w:r>
      <w:r>
        <w:fldChar w:fldCharType="end"/>
      </w:r>
      <w:r>
        <w:fldChar w:fldCharType="end"/>
      </w:r>
    </w:p>
    <w:p>
      <w:pPr>
        <w:pStyle w:val="18"/>
        <w:tabs>
          <w:tab w:val="right" w:leader="dot" w:pos="8733"/>
        </w:tabs>
        <w:ind w:left="480" w:firstLine="480"/>
      </w:pPr>
      <w:r>
        <w:fldChar w:fldCharType="begin"/>
      </w:r>
      <w:r>
        <w:instrText xml:space="preserve"> HYPERLINK \l "_Toc16020" </w:instrText>
      </w:r>
      <w:r>
        <w:fldChar w:fldCharType="separate"/>
      </w:r>
      <w:r>
        <w:rPr>
          <w:rFonts w:hint="eastAsia"/>
        </w:rPr>
        <w:t xml:space="preserve">5.2 </w:t>
      </w:r>
      <w:r>
        <w:t>营运期污染防治措施</w:t>
      </w:r>
      <w:r>
        <w:rPr>
          <w:rFonts w:hint="eastAsia"/>
        </w:rPr>
        <w:t>及可行性论证</w:t>
      </w:r>
      <w:r>
        <w:tab/>
      </w:r>
      <w:r>
        <w:fldChar w:fldCharType="begin"/>
      </w:r>
      <w:r>
        <w:instrText xml:space="preserve"> PAGEREF _Toc16020 </w:instrText>
      </w:r>
      <w:r>
        <w:fldChar w:fldCharType="separate"/>
      </w:r>
      <w:r>
        <w:t>90</w:t>
      </w:r>
      <w:r>
        <w:fldChar w:fldCharType="end"/>
      </w:r>
      <w:r>
        <w:fldChar w:fldCharType="end"/>
      </w:r>
    </w:p>
    <w:p>
      <w:pPr>
        <w:pStyle w:val="18"/>
        <w:tabs>
          <w:tab w:val="right" w:leader="dot" w:pos="8733"/>
        </w:tabs>
        <w:ind w:left="480" w:firstLine="480"/>
      </w:pPr>
      <w:r>
        <w:fldChar w:fldCharType="begin"/>
      </w:r>
      <w:r>
        <w:instrText xml:space="preserve"> HYPERLINK \l "_Toc12251" </w:instrText>
      </w:r>
      <w:r>
        <w:fldChar w:fldCharType="separate"/>
      </w:r>
      <w:r>
        <w:rPr>
          <w:rFonts w:hint="eastAsia"/>
        </w:rPr>
        <w:t xml:space="preserve">5.3 </w:t>
      </w:r>
      <w:r>
        <w:t>污染防治措施汇总</w:t>
      </w:r>
      <w:r>
        <w:tab/>
      </w:r>
      <w:r>
        <w:fldChar w:fldCharType="begin"/>
      </w:r>
      <w:r>
        <w:instrText xml:space="preserve"> PAGEREF _Toc12251 </w:instrText>
      </w:r>
      <w:r>
        <w:fldChar w:fldCharType="separate"/>
      </w:r>
      <w:r>
        <w:t>101</w:t>
      </w:r>
      <w:r>
        <w:fldChar w:fldCharType="end"/>
      </w:r>
      <w:r>
        <w:fldChar w:fldCharType="end"/>
      </w:r>
    </w:p>
    <w:p>
      <w:pPr>
        <w:pStyle w:val="17"/>
        <w:tabs>
          <w:tab w:val="right" w:leader="dot" w:pos="8733"/>
        </w:tabs>
        <w:ind w:firstLine="480"/>
      </w:pPr>
      <w:r>
        <w:fldChar w:fldCharType="begin"/>
      </w:r>
      <w:r>
        <w:instrText xml:space="preserve"> HYPERLINK \l "_Toc20702" </w:instrText>
      </w:r>
      <w:r>
        <w:fldChar w:fldCharType="separate"/>
      </w:r>
      <w:r>
        <w:rPr>
          <w:rFonts w:cs="微软雅黑"/>
        </w:rPr>
        <w:t xml:space="preserve">第6章 </w:t>
      </w:r>
      <w:r>
        <w:rPr>
          <w:rFonts w:hint="eastAsia"/>
        </w:rPr>
        <w:t>环境经济损益分析</w:t>
      </w:r>
      <w:r>
        <w:tab/>
      </w:r>
      <w:r>
        <w:fldChar w:fldCharType="begin"/>
      </w:r>
      <w:r>
        <w:instrText xml:space="preserve"> PAGEREF _Toc20702 </w:instrText>
      </w:r>
      <w:r>
        <w:fldChar w:fldCharType="separate"/>
      </w:r>
      <w:r>
        <w:t>103</w:t>
      </w:r>
      <w:r>
        <w:fldChar w:fldCharType="end"/>
      </w:r>
      <w:r>
        <w:fldChar w:fldCharType="end"/>
      </w:r>
    </w:p>
    <w:p>
      <w:pPr>
        <w:pStyle w:val="18"/>
        <w:tabs>
          <w:tab w:val="right" w:leader="dot" w:pos="8733"/>
        </w:tabs>
        <w:ind w:left="480" w:firstLine="480"/>
      </w:pPr>
      <w:r>
        <w:fldChar w:fldCharType="begin"/>
      </w:r>
      <w:r>
        <w:instrText xml:space="preserve"> HYPERLINK \l "_Toc10429" </w:instrText>
      </w:r>
      <w:r>
        <w:fldChar w:fldCharType="separate"/>
      </w:r>
      <w:r>
        <w:rPr>
          <w:rFonts w:hint="eastAsia"/>
        </w:rPr>
        <w:t>6.1 环保投资估算</w:t>
      </w:r>
      <w:r>
        <w:tab/>
      </w:r>
      <w:r>
        <w:fldChar w:fldCharType="begin"/>
      </w:r>
      <w:r>
        <w:instrText xml:space="preserve"> PAGEREF _Toc10429 </w:instrText>
      </w:r>
      <w:r>
        <w:fldChar w:fldCharType="separate"/>
      </w:r>
      <w:r>
        <w:t>103</w:t>
      </w:r>
      <w:r>
        <w:fldChar w:fldCharType="end"/>
      </w:r>
      <w:r>
        <w:fldChar w:fldCharType="end"/>
      </w:r>
    </w:p>
    <w:p>
      <w:pPr>
        <w:pStyle w:val="18"/>
        <w:tabs>
          <w:tab w:val="right" w:leader="dot" w:pos="8733"/>
        </w:tabs>
        <w:ind w:left="480" w:firstLine="480"/>
      </w:pPr>
      <w:r>
        <w:fldChar w:fldCharType="begin"/>
      </w:r>
      <w:r>
        <w:instrText xml:space="preserve"> HYPERLINK \l "_Toc25621" </w:instrText>
      </w:r>
      <w:r>
        <w:fldChar w:fldCharType="separate"/>
      </w:r>
      <w:r>
        <w:rPr>
          <w:rFonts w:hint="eastAsia"/>
        </w:rPr>
        <w:t>6.2 环境效益分析</w:t>
      </w:r>
      <w:r>
        <w:tab/>
      </w:r>
      <w:r>
        <w:fldChar w:fldCharType="begin"/>
      </w:r>
      <w:r>
        <w:instrText xml:space="preserve"> PAGEREF _Toc25621 </w:instrText>
      </w:r>
      <w:r>
        <w:fldChar w:fldCharType="separate"/>
      </w:r>
      <w:r>
        <w:t>104</w:t>
      </w:r>
      <w:r>
        <w:fldChar w:fldCharType="end"/>
      </w:r>
      <w:r>
        <w:fldChar w:fldCharType="end"/>
      </w:r>
    </w:p>
    <w:p>
      <w:pPr>
        <w:pStyle w:val="18"/>
        <w:tabs>
          <w:tab w:val="right" w:leader="dot" w:pos="8733"/>
        </w:tabs>
        <w:ind w:left="480" w:firstLine="480"/>
      </w:pPr>
      <w:r>
        <w:fldChar w:fldCharType="begin"/>
      </w:r>
      <w:r>
        <w:instrText xml:space="preserve"> HYPERLINK \l "_Toc20000" </w:instrText>
      </w:r>
      <w:r>
        <w:fldChar w:fldCharType="separate"/>
      </w:r>
      <w:r>
        <w:rPr>
          <w:rFonts w:hint="eastAsia"/>
        </w:rPr>
        <w:t>6.3 结论</w:t>
      </w:r>
      <w:r>
        <w:tab/>
      </w:r>
      <w:r>
        <w:fldChar w:fldCharType="begin"/>
      </w:r>
      <w:r>
        <w:instrText xml:space="preserve"> PAGEREF _Toc20000 </w:instrText>
      </w:r>
      <w:r>
        <w:fldChar w:fldCharType="separate"/>
      </w:r>
      <w:r>
        <w:t>104</w:t>
      </w:r>
      <w:r>
        <w:fldChar w:fldCharType="end"/>
      </w:r>
      <w:r>
        <w:fldChar w:fldCharType="end"/>
      </w:r>
    </w:p>
    <w:p>
      <w:pPr>
        <w:pStyle w:val="17"/>
        <w:tabs>
          <w:tab w:val="right" w:leader="dot" w:pos="8733"/>
        </w:tabs>
        <w:ind w:firstLine="480"/>
      </w:pPr>
      <w:r>
        <w:fldChar w:fldCharType="begin"/>
      </w:r>
      <w:r>
        <w:instrText xml:space="preserve"> HYPERLINK \l "_Toc19704" </w:instrText>
      </w:r>
      <w:r>
        <w:fldChar w:fldCharType="separate"/>
      </w:r>
      <w:r>
        <w:rPr>
          <w:rFonts w:cs="微软雅黑"/>
        </w:rPr>
        <w:t xml:space="preserve">第7章 </w:t>
      </w:r>
      <w:r>
        <w:t>环境管理与环境监测</w:t>
      </w:r>
      <w:r>
        <w:tab/>
      </w:r>
      <w:r>
        <w:fldChar w:fldCharType="begin"/>
      </w:r>
      <w:r>
        <w:instrText xml:space="preserve"> PAGEREF _Toc19704 </w:instrText>
      </w:r>
      <w:r>
        <w:fldChar w:fldCharType="separate"/>
      </w:r>
      <w:r>
        <w:t>105</w:t>
      </w:r>
      <w:r>
        <w:fldChar w:fldCharType="end"/>
      </w:r>
      <w:r>
        <w:fldChar w:fldCharType="end"/>
      </w:r>
    </w:p>
    <w:p>
      <w:pPr>
        <w:pStyle w:val="18"/>
        <w:tabs>
          <w:tab w:val="right" w:leader="dot" w:pos="8733"/>
        </w:tabs>
        <w:ind w:left="480" w:firstLine="480"/>
      </w:pPr>
      <w:r>
        <w:fldChar w:fldCharType="begin"/>
      </w:r>
      <w:r>
        <w:instrText xml:space="preserve"> HYPERLINK \l "_Toc9719" </w:instrText>
      </w:r>
      <w:r>
        <w:fldChar w:fldCharType="separate"/>
      </w:r>
      <w:r>
        <w:rPr>
          <w:rFonts w:hint="eastAsia"/>
        </w:rPr>
        <w:t xml:space="preserve">7.1 </w:t>
      </w:r>
      <w:r>
        <w:t>环境管理</w:t>
      </w:r>
      <w:r>
        <w:tab/>
      </w:r>
      <w:r>
        <w:fldChar w:fldCharType="begin"/>
      </w:r>
      <w:r>
        <w:instrText xml:space="preserve"> PAGEREF _Toc9719 </w:instrText>
      </w:r>
      <w:r>
        <w:fldChar w:fldCharType="separate"/>
      </w:r>
      <w:r>
        <w:t>105</w:t>
      </w:r>
      <w:r>
        <w:fldChar w:fldCharType="end"/>
      </w:r>
      <w:r>
        <w:fldChar w:fldCharType="end"/>
      </w:r>
    </w:p>
    <w:p>
      <w:pPr>
        <w:pStyle w:val="18"/>
        <w:tabs>
          <w:tab w:val="right" w:leader="dot" w:pos="8733"/>
        </w:tabs>
        <w:ind w:left="480" w:firstLine="480"/>
      </w:pPr>
      <w:r>
        <w:fldChar w:fldCharType="begin"/>
      </w:r>
      <w:r>
        <w:instrText xml:space="preserve"> HYPERLINK \l "_Toc13589" </w:instrText>
      </w:r>
      <w:r>
        <w:fldChar w:fldCharType="separate"/>
      </w:r>
      <w:r>
        <w:rPr>
          <w:rFonts w:hint="eastAsia"/>
        </w:rPr>
        <w:t xml:space="preserve">7.2 </w:t>
      </w:r>
      <w:r>
        <w:t>环境监测</w:t>
      </w:r>
      <w:r>
        <w:tab/>
      </w:r>
      <w:r>
        <w:fldChar w:fldCharType="begin"/>
      </w:r>
      <w:r>
        <w:instrText xml:space="preserve"> PAGEREF _Toc13589 </w:instrText>
      </w:r>
      <w:r>
        <w:fldChar w:fldCharType="separate"/>
      </w:r>
      <w:r>
        <w:t>108</w:t>
      </w:r>
      <w:r>
        <w:fldChar w:fldCharType="end"/>
      </w:r>
      <w:r>
        <w:fldChar w:fldCharType="end"/>
      </w:r>
    </w:p>
    <w:p>
      <w:pPr>
        <w:pStyle w:val="18"/>
        <w:tabs>
          <w:tab w:val="right" w:leader="dot" w:pos="8733"/>
        </w:tabs>
        <w:ind w:left="480" w:firstLine="480"/>
      </w:pPr>
      <w:r>
        <w:fldChar w:fldCharType="begin"/>
      </w:r>
      <w:r>
        <w:instrText xml:space="preserve"> HYPERLINK \l "_Toc10585" </w:instrText>
      </w:r>
      <w:r>
        <w:fldChar w:fldCharType="separate"/>
      </w:r>
      <w:r>
        <w:rPr>
          <w:rFonts w:hint="eastAsia"/>
        </w:rPr>
        <w:t xml:space="preserve">7.3 </w:t>
      </w:r>
      <w:r>
        <w:t>环保设施“三同时”竣工验收计划</w:t>
      </w:r>
      <w:r>
        <w:tab/>
      </w:r>
      <w:r>
        <w:fldChar w:fldCharType="begin"/>
      </w:r>
      <w:r>
        <w:instrText xml:space="preserve"> PAGEREF _Toc10585 </w:instrText>
      </w:r>
      <w:r>
        <w:fldChar w:fldCharType="separate"/>
      </w:r>
      <w:r>
        <w:t>109</w:t>
      </w:r>
      <w:r>
        <w:fldChar w:fldCharType="end"/>
      </w:r>
      <w:r>
        <w:fldChar w:fldCharType="end"/>
      </w:r>
    </w:p>
    <w:p>
      <w:pPr>
        <w:pStyle w:val="17"/>
        <w:tabs>
          <w:tab w:val="right" w:leader="dot" w:pos="8733"/>
        </w:tabs>
        <w:ind w:firstLine="480"/>
      </w:pPr>
      <w:r>
        <w:fldChar w:fldCharType="begin"/>
      </w:r>
      <w:r>
        <w:instrText xml:space="preserve"> HYPERLINK \l "_Toc22500" </w:instrText>
      </w:r>
      <w:r>
        <w:fldChar w:fldCharType="separate"/>
      </w:r>
      <w:r>
        <w:rPr>
          <w:rFonts w:cs="微软雅黑"/>
        </w:rPr>
        <w:t xml:space="preserve">第8章 </w:t>
      </w:r>
      <w:r>
        <w:t>项目可行性分析</w:t>
      </w:r>
      <w:r>
        <w:tab/>
      </w:r>
      <w:r>
        <w:fldChar w:fldCharType="begin"/>
      </w:r>
      <w:r>
        <w:instrText xml:space="preserve"> PAGEREF _Toc22500 </w:instrText>
      </w:r>
      <w:r>
        <w:fldChar w:fldCharType="separate"/>
      </w:r>
      <w:r>
        <w:t>113</w:t>
      </w:r>
      <w:r>
        <w:fldChar w:fldCharType="end"/>
      </w:r>
      <w:r>
        <w:fldChar w:fldCharType="end"/>
      </w:r>
    </w:p>
    <w:p>
      <w:pPr>
        <w:pStyle w:val="18"/>
        <w:tabs>
          <w:tab w:val="right" w:leader="dot" w:pos="8733"/>
        </w:tabs>
        <w:ind w:left="480" w:firstLine="480"/>
      </w:pPr>
      <w:r>
        <w:fldChar w:fldCharType="begin"/>
      </w:r>
      <w:r>
        <w:instrText xml:space="preserve"> HYPERLINK \l "_Toc6578" </w:instrText>
      </w:r>
      <w:r>
        <w:fldChar w:fldCharType="separate"/>
      </w:r>
      <w:r>
        <w:rPr>
          <w:rFonts w:hint="eastAsia"/>
        </w:rPr>
        <w:t xml:space="preserve">8.1 </w:t>
      </w:r>
      <w:r>
        <w:t>相关政策符合性分析</w:t>
      </w:r>
      <w:r>
        <w:tab/>
      </w:r>
      <w:r>
        <w:fldChar w:fldCharType="begin"/>
      </w:r>
      <w:r>
        <w:instrText xml:space="preserve"> PAGEREF _Toc6578 </w:instrText>
      </w:r>
      <w:r>
        <w:fldChar w:fldCharType="separate"/>
      </w:r>
      <w:r>
        <w:t>113</w:t>
      </w:r>
      <w:r>
        <w:fldChar w:fldCharType="end"/>
      </w:r>
      <w:r>
        <w:fldChar w:fldCharType="end"/>
      </w:r>
    </w:p>
    <w:p>
      <w:pPr>
        <w:pStyle w:val="18"/>
        <w:tabs>
          <w:tab w:val="right" w:leader="dot" w:pos="8733"/>
        </w:tabs>
        <w:ind w:left="480" w:firstLine="480"/>
      </w:pPr>
      <w:r>
        <w:fldChar w:fldCharType="begin"/>
      </w:r>
      <w:r>
        <w:instrText xml:space="preserve"> HYPERLINK \l "_Toc23973" </w:instrText>
      </w:r>
      <w:r>
        <w:fldChar w:fldCharType="separate"/>
      </w:r>
      <w:r>
        <w:rPr>
          <w:rFonts w:hint="eastAsia"/>
        </w:rPr>
        <w:t>8.2 项目选址合理性分析</w:t>
      </w:r>
      <w:r>
        <w:tab/>
      </w:r>
      <w:r>
        <w:fldChar w:fldCharType="begin"/>
      </w:r>
      <w:r>
        <w:instrText xml:space="preserve"> PAGEREF _Toc23973 </w:instrText>
      </w:r>
      <w:r>
        <w:fldChar w:fldCharType="separate"/>
      </w:r>
      <w:r>
        <w:t>117</w:t>
      </w:r>
      <w:r>
        <w:fldChar w:fldCharType="end"/>
      </w:r>
      <w:r>
        <w:fldChar w:fldCharType="end"/>
      </w:r>
    </w:p>
    <w:p>
      <w:pPr>
        <w:pStyle w:val="18"/>
        <w:tabs>
          <w:tab w:val="right" w:leader="dot" w:pos="8733"/>
        </w:tabs>
        <w:ind w:left="480" w:firstLine="480"/>
      </w:pPr>
      <w:r>
        <w:fldChar w:fldCharType="begin"/>
      </w:r>
      <w:r>
        <w:instrText xml:space="preserve"> HYPERLINK \l "_Toc24739" </w:instrText>
      </w:r>
      <w:r>
        <w:fldChar w:fldCharType="separate"/>
      </w:r>
      <w:r>
        <w:rPr>
          <w:rFonts w:hint="eastAsia"/>
        </w:rPr>
        <w:t xml:space="preserve">8.3 </w:t>
      </w:r>
      <w:r>
        <w:t>总平面布置可行性分析</w:t>
      </w:r>
      <w:r>
        <w:tab/>
      </w:r>
      <w:r>
        <w:fldChar w:fldCharType="begin"/>
      </w:r>
      <w:r>
        <w:instrText xml:space="preserve"> PAGEREF _Toc24739 </w:instrText>
      </w:r>
      <w:r>
        <w:fldChar w:fldCharType="separate"/>
      </w:r>
      <w:r>
        <w:t>121</w:t>
      </w:r>
      <w:r>
        <w:fldChar w:fldCharType="end"/>
      </w:r>
      <w:r>
        <w:fldChar w:fldCharType="end"/>
      </w:r>
    </w:p>
    <w:p>
      <w:pPr>
        <w:pStyle w:val="18"/>
        <w:tabs>
          <w:tab w:val="right" w:leader="dot" w:pos="8733"/>
        </w:tabs>
        <w:ind w:left="480" w:firstLine="480"/>
      </w:pPr>
      <w:r>
        <w:fldChar w:fldCharType="begin"/>
      </w:r>
      <w:r>
        <w:instrText xml:space="preserve"> HYPERLINK \l "_Toc27224" </w:instrText>
      </w:r>
      <w:r>
        <w:fldChar w:fldCharType="separate"/>
      </w:r>
      <w:r>
        <w:rPr>
          <w:rFonts w:hint="eastAsia"/>
        </w:rPr>
        <w:t>8.4 污染物排放总量控制分析</w:t>
      </w:r>
      <w:r>
        <w:tab/>
      </w:r>
      <w:r>
        <w:fldChar w:fldCharType="begin"/>
      </w:r>
      <w:r>
        <w:instrText xml:space="preserve"> PAGEREF _Toc27224 </w:instrText>
      </w:r>
      <w:r>
        <w:fldChar w:fldCharType="separate"/>
      </w:r>
      <w:r>
        <w:t>122</w:t>
      </w:r>
      <w:r>
        <w:fldChar w:fldCharType="end"/>
      </w:r>
      <w:r>
        <w:fldChar w:fldCharType="end"/>
      </w:r>
    </w:p>
    <w:p>
      <w:pPr>
        <w:pStyle w:val="18"/>
        <w:tabs>
          <w:tab w:val="right" w:leader="dot" w:pos="8733"/>
        </w:tabs>
        <w:ind w:left="480" w:firstLine="480"/>
      </w:pPr>
      <w:r>
        <w:fldChar w:fldCharType="begin"/>
      </w:r>
      <w:r>
        <w:instrText xml:space="preserve"> HYPERLINK \l "_Toc22432" </w:instrText>
      </w:r>
      <w:r>
        <w:fldChar w:fldCharType="separate"/>
      </w:r>
      <w:r>
        <w:rPr>
          <w:rFonts w:hint="eastAsia"/>
        </w:rPr>
        <w:t>8.5 项目环评文件不予审批情况判断</w:t>
      </w:r>
      <w:r>
        <w:tab/>
      </w:r>
      <w:r>
        <w:fldChar w:fldCharType="begin"/>
      </w:r>
      <w:r>
        <w:instrText xml:space="preserve"> PAGEREF _Toc22432 </w:instrText>
      </w:r>
      <w:r>
        <w:fldChar w:fldCharType="separate"/>
      </w:r>
      <w:r>
        <w:t>122</w:t>
      </w:r>
      <w:r>
        <w:fldChar w:fldCharType="end"/>
      </w:r>
      <w:r>
        <w:fldChar w:fldCharType="end"/>
      </w:r>
    </w:p>
    <w:p>
      <w:pPr>
        <w:pStyle w:val="17"/>
        <w:tabs>
          <w:tab w:val="right" w:leader="dot" w:pos="8733"/>
        </w:tabs>
        <w:ind w:firstLine="480"/>
      </w:pPr>
      <w:r>
        <w:fldChar w:fldCharType="begin"/>
      </w:r>
      <w:r>
        <w:instrText xml:space="preserve"> HYPERLINK \l "_Toc26948" </w:instrText>
      </w:r>
      <w:r>
        <w:fldChar w:fldCharType="separate"/>
      </w:r>
      <w:r>
        <w:rPr>
          <w:rFonts w:cs="微软雅黑"/>
        </w:rPr>
        <w:t xml:space="preserve">第9章 </w:t>
      </w:r>
      <w:r>
        <w:t>结论与建议</w:t>
      </w:r>
      <w:r>
        <w:tab/>
      </w:r>
      <w:r>
        <w:fldChar w:fldCharType="begin"/>
      </w:r>
      <w:r>
        <w:instrText xml:space="preserve"> PAGEREF _Toc26948 </w:instrText>
      </w:r>
      <w:r>
        <w:fldChar w:fldCharType="separate"/>
      </w:r>
      <w:r>
        <w:t>124</w:t>
      </w:r>
      <w:r>
        <w:fldChar w:fldCharType="end"/>
      </w:r>
      <w:r>
        <w:fldChar w:fldCharType="end"/>
      </w:r>
    </w:p>
    <w:p>
      <w:pPr>
        <w:pStyle w:val="18"/>
        <w:tabs>
          <w:tab w:val="right" w:leader="dot" w:pos="8733"/>
        </w:tabs>
        <w:ind w:left="480" w:firstLine="480"/>
      </w:pPr>
      <w:r>
        <w:fldChar w:fldCharType="begin"/>
      </w:r>
      <w:r>
        <w:instrText xml:space="preserve"> HYPERLINK \l "_Toc32211" </w:instrText>
      </w:r>
      <w:r>
        <w:fldChar w:fldCharType="separate"/>
      </w:r>
      <w:r>
        <w:rPr>
          <w:rFonts w:hint="eastAsia"/>
        </w:rPr>
        <w:t xml:space="preserve">9.1 </w:t>
      </w:r>
      <w:r>
        <w:t>建设项目概况</w:t>
      </w:r>
      <w:r>
        <w:tab/>
      </w:r>
      <w:r>
        <w:fldChar w:fldCharType="begin"/>
      </w:r>
      <w:r>
        <w:instrText xml:space="preserve"> PAGEREF _Toc32211 </w:instrText>
      </w:r>
      <w:r>
        <w:fldChar w:fldCharType="separate"/>
      </w:r>
      <w:r>
        <w:t>124</w:t>
      </w:r>
      <w:r>
        <w:fldChar w:fldCharType="end"/>
      </w:r>
      <w:r>
        <w:fldChar w:fldCharType="end"/>
      </w:r>
    </w:p>
    <w:p>
      <w:pPr>
        <w:pStyle w:val="18"/>
        <w:tabs>
          <w:tab w:val="right" w:leader="dot" w:pos="8733"/>
        </w:tabs>
        <w:ind w:left="480" w:firstLine="480"/>
      </w:pPr>
      <w:r>
        <w:fldChar w:fldCharType="begin"/>
      </w:r>
      <w:r>
        <w:instrText xml:space="preserve"> HYPERLINK \l "_Toc8680" </w:instrText>
      </w:r>
      <w:r>
        <w:fldChar w:fldCharType="separate"/>
      </w:r>
      <w:r>
        <w:rPr>
          <w:rFonts w:hint="eastAsia"/>
        </w:rPr>
        <w:t>9.2 环境质量现状评价结论</w:t>
      </w:r>
      <w:r>
        <w:tab/>
      </w:r>
      <w:r>
        <w:fldChar w:fldCharType="begin"/>
      </w:r>
      <w:r>
        <w:instrText xml:space="preserve"> PAGEREF _Toc8680 </w:instrText>
      </w:r>
      <w:r>
        <w:fldChar w:fldCharType="separate"/>
      </w:r>
      <w:r>
        <w:t>124</w:t>
      </w:r>
      <w:r>
        <w:fldChar w:fldCharType="end"/>
      </w:r>
      <w:r>
        <w:fldChar w:fldCharType="end"/>
      </w:r>
    </w:p>
    <w:p>
      <w:pPr>
        <w:pStyle w:val="18"/>
        <w:tabs>
          <w:tab w:val="right" w:leader="dot" w:pos="8733"/>
        </w:tabs>
        <w:ind w:left="480" w:firstLine="480"/>
      </w:pPr>
      <w:r>
        <w:fldChar w:fldCharType="begin"/>
      </w:r>
      <w:r>
        <w:instrText xml:space="preserve"> HYPERLINK \l "_Toc5583" </w:instrText>
      </w:r>
      <w:r>
        <w:fldChar w:fldCharType="separate"/>
      </w:r>
      <w:r>
        <w:rPr>
          <w:rFonts w:hint="eastAsia"/>
        </w:rPr>
        <w:t>9.3 环境影响预测与评价结论</w:t>
      </w:r>
      <w:r>
        <w:tab/>
      </w:r>
      <w:r>
        <w:fldChar w:fldCharType="begin"/>
      </w:r>
      <w:r>
        <w:instrText xml:space="preserve"> PAGEREF _Toc5583 </w:instrText>
      </w:r>
      <w:r>
        <w:fldChar w:fldCharType="separate"/>
      </w:r>
      <w:r>
        <w:t>125</w:t>
      </w:r>
      <w:r>
        <w:fldChar w:fldCharType="end"/>
      </w:r>
      <w:r>
        <w:fldChar w:fldCharType="end"/>
      </w:r>
    </w:p>
    <w:p>
      <w:pPr>
        <w:pStyle w:val="18"/>
        <w:tabs>
          <w:tab w:val="right" w:leader="dot" w:pos="8733"/>
        </w:tabs>
        <w:ind w:left="480" w:firstLine="480"/>
      </w:pPr>
      <w:r>
        <w:fldChar w:fldCharType="begin"/>
      </w:r>
      <w:r>
        <w:instrText xml:space="preserve"> HYPERLINK \l "_Toc18770" </w:instrText>
      </w:r>
      <w:r>
        <w:fldChar w:fldCharType="separate"/>
      </w:r>
      <w:r>
        <w:rPr>
          <w:rFonts w:hint="eastAsia"/>
        </w:rPr>
        <w:t xml:space="preserve">9.4 </w:t>
      </w:r>
      <w:r>
        <w:t>项目建设可行性评价结论</w:t>
      </w:r>
      <w:r>
        <w:tab/>
      </w:r>
      <w:r>
        <w:fldChar w:fldCharType="begin"/>
      </w:r>
      <w:r>
        <w:instrText xml:space="preserve"> PAGEREF _Toc18770 </w:instrText>
      </w:r>
      <w:r>
        <w:fldChar w:fldCharType="separate"/>
      </w:r>
      <w:r>
        <w:t>127</w:t>
      </w:r>
      <w:r>
        <w:fldChar w:fldCharType="end"/>
      </w:r>
      <w:r>
        <w:fldChar w:fldCharType="end"/>
      </w:r>
    </w:p>
    <w:p>
      <w:pPr>
        <w:pStyle w:val="18"/>
        <w:tabs>
          <w:tab w:val="right" w:leader="dot" w:pos="8733"/>
        </w:tabs>
        <w:ind w:left="480" w:firstLine="480"/>
      </w:pPr>
      <w:r>
        <w:fldChar w:fldCharType="begin"/>
      </w:r>
      <w:r>
        <w:instrText xml:space="preserve"> HYPERLINK \l "_Toc12820" </w:instrText>
      </w:r>
      <w:r>
        <w:fldChar w:fldCharType="separate"/>
      </w:r>
      <w:r>
        <w:rPr>
          <w:rFonts w:hint="eastAsia"/>
        </w:rPr>
        <w:t>9.5 公众参与结论</w:t>
      </w:r>
      <w:r>
        <w:tab/>
      </w:r>
      <w:r>
        <w:fldChar w:fldCharType="begin"/>
      </w:r>
      <w:r>
        <w:instrText xml:space="preserve"> PAGEREF _Toc12820 </w:instrText>
      </w:r>
      <w:r>
        <w:fldChar w:fldCharType="separate"/>
      </w:r>
      <w:r>
        <w:t>128</w:t>
      </w:r>
      <w:r>
        <w:fldChar w:fldCharType="end"/>
      </w:r>
      <w:r>
        <w:fldChar w:fldCharType="end"/>
      </w:r>
    </w:p>
    <w:p>
      <w:pPr>
        <w:pStyle w:val="18"/>
        <w:tabs>
          <w:tab w:val="right" w:leader="dot" w:pos="8733"/>
        </w:tabs>
        <w:ind w:left="480" w:firstLine="480"/>
      </w:pPr>
      <w:r>
        <w:fldChar w:fldCharType="begin"/>
      </w:r>
      <w:r>
        <w:instrText xml:space="preserve"> HYPERLINK \l "_Toc6944" </w:instrText>
      </w:r>
      <w:r>
        <w:fldChar w:fldCharType="separate"/>
      </w:r>
      <w:r>
        <w:rPr>
          <w:rFonts w:hint="eastAsia"/>
        </w:rPr>
        <w:t>9.6 综合结论</w:t>
      </w:r>
      <w:r>
        <w:tab/>
      </w:r>
      <w:r>
        <w:fldChar w:fldCharType="begin"/>
      </w:r>
      <w:r>
        <w:instrText xml:space="preserve"> PAGEREF _Toc6944 </w:instrText>
      </w:r>
      <w:r>
        <w:fldChar w:fldCharType="separate"/>
      </w:r>
      <w:r>
        <w:t>128</w:t>
      </w:r>
      <w:r>
        <w:fldChar w:fldCharType="end"/>
      </w:r>
      <w:r>
        <w:fldChar w:fldCharType="end"/>
      </w:r>
    </w:p>
    <w:p>
      <w:pPr>
        <w:pStyle w:val="18"/>
        <w:tabs>
          <w:tab w:val="right" w:leader="dot" w:pos="8733"/>
        </w:tabs>
        <w:ind w:left="480" w:firstLine="480"/>
      </w:pPr>
      <w:r>
        <w:fldChar w:fldCharType="begin"/>
      </w:r>
      <w:r>
        <w:instrText xml:space="preserve"> HYPERLINK \l "_Toc11891" </w:instrText>
      </w:r>
      <w:r>
        <w:fldChar w:fldCharType="separate"/>
      </w:r>
      <w:r>
        <w:rPr>
          <w:rFonts w:hint="eastAsia"/>
        </w:rPr>
        <w:t xml:space="preserve">9.7 </w:t>
      </w:r>
      <w:r>
        <w:t>建议</w:t>
      </w:r>
      <w:r>
        <w:tab/>
      </w:r>
      <w:r>
        <w:fldChar w:fldCharType="begin"/>
      </w:r>
      <w:r>
        <w:instrText xml:space="preserve"> PAGEREF _Toc11891 </w:instrText>
      </w:r>
      <w:r>
        <w:fldChar w:fldCharType="separate"/>
      </w:r>
      <w:r>
        <w:t>129</w:t>
      </w:r>
      <w:r>
        <w:fldChar w:fldCharType="end"/>
      </w:r>
      <w:r>
        <w:fldChar w:fldCharType="end"/>
      </w:r>
    </w:p>
    <w:p>
      <w:pPr>
        <w:ind w:firstLine="480"/>
        <w:rPr>
          <w:highlight w:val="yellow"/>
        </w:rPr>
      </w:pPr>
      <w:r>
        <w:rPr>
          <w:highlight w:val="yellow"/>
        </w:rPr>
        <w:fldChar w:fldCharType="end"/>
      </w: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rPr>
          <w:highlight w:val="yellow"/>
        </w:rPr>
      </w:pPr>
    </w:p>
    <w:p>
      <w:pPr>
        <w:ind w:firstLine="480"/>
      </w:pPr>
      <w:r>
        <w:rPr>
          <w:rFonts w:hint="eastAsia"/>
        </w:rPr>
        <w:t>附表</w:t>
      </w:r>
    </w:p>
    <w:p>
      <w:pPr>
        <w:ind w:firstLine="480"/>
      </w:pPr>
      <w:r>
        <w:rPr>
          <w:rFonts w:hint="eastAsia"/>
        </w:rPr>
        <w:t>附表</w:t>
      </w:r>
      <w:r>
        <w:t>1</w:t>
      </w:r>
      <w:r>
        <w:rPr>
          <w:rFonts w:hint="eastAsia"/>
        </w:rPr>
        <w:t>：建设项目环境保护审批登记表</w:t>
      </w:r>
    </w:p>
    <w:p>
      <w:pPr>
        <w:ind w:firstLine="480"/>
      </w:pPr>
      <w:r>
        <w:rPr>
          <w:rFonts w:hint="eastAsia"/>
        </w:rPr>
        <w:t>附表2：大气环境影响自查表</w:t>
      </w:r>
    </w:p>
    <w:p>
      <w:pPr>
        <w:ind w:firstLine="480"/>
      </w:pPr>
      <w:r>
        <w:rPr>
          <w:rFonts w:hint="eastAsia"/>
        </w:rPr>
        <w:t>附表3：地表水环境影响自查表</w:t>
      </w:r>
    </w:p>
    <w:p>
      <w:pPr>
        <w:ind w:firstLine="480"/>
      </w:pPr>
      <w:r>
        <w:rPr>
          <w:rFonts w:hint="eastAsia"/>
        </w:rPr>
        <w:t>附表4：土壤环境自查表</w:t>
      </w:r>
    </w:p>
    <w:p>
      <w:pPr>
        <w:ind w:firstLine="480"/>
      </w:pPr>
      <w:r>
        <w:rPr>
          <w:rFonts w:hint="eastAsia"/>
        </w:rPr>
        <w:t>附表5：环境风险自查表</w:t>
      </w:r>
    </w:p>
    <w:p>
      <w:pPr>
        <w:ind w:firstLine="480"/>
      </w:pPr>
    </w:p>
    <w:p>
      <w:pPr>
        <w:ind w:firstLine="480"/>
      </w:pPr>
      <w:r>
        <w:rPr>
          <w:rFonts w:hint="eastAsia"/>
        </w:rPr>
        <w:t>附件</w:t>
      </w:r>
    </w:p>
    <w:p>
      <w:pPr>
        <w:ind w:firstLine="480"/>
      </w:pPr>
      <w:r>
        <w:rPr>
          <w:rFonts w:hint="eastAsia"/>
        </w:rPr>
        <w:t>附件</w:t>
      </w:r>
      <w:r>
        <w:t>1</w:t>
      </w:r>
      <w:r>
        <w:rPr>
          <w:rFonts w:hint="eastAsia"/>
        </w:rPr>
        <w:t>：标准函</w:t>
      </w:r>
    </w:p>
    <w:p>
      <w:pPr>
        <w:ind w:firstLine="480"/>
      </w:pPr>
      <w:r>
        <w:rPr>
          <w:rFonts w:hint="eastAsia"/>
        </w:rPr>
        <w:t>附件</w:t>
      </w:r>
      <w:r>
        <w:t>2</w:t>
      </w:r>
      <w:r>
        <w:rPr>
          <w:rFonts w:hint="eastAsia"/>
        </w:rPr>
        <w:t>：委托函</w:t>
      </w:r>
    </w:p>
    <w:p>
      <w:pPr>
        <w:ind w:firstLine="480"/>
      </w:pPr>
      <w:r>
        <w:rPr>
          <w:rFonts w:hint="eastAsia"/>
        </w:rPr>
        <w:t>附件3：建设项目环境影响评价现状环境资料及质保单</w:t>
      </w:r>
    </w:p>
    <w:p>
      <w:pPr>
        <w:ind w:firstLine="480"/>
      </w:pPr>
      <w:r>
        <w:rPr>
          <w:rFonts w:hint="eastAsia"/>
        </w:rPr>
        <w:t>附件4：畜牧水产局备案文件</w:t>
      </w:r>
    </w:p>
    <w:p>
      <w:pPr>
        <w:ind w:firstLine="480"/>
      </w:pPr>
      <w:r>
        <w:rPr>
          <w:rFonts w:hint="eastAsia"/>
        </w:rPr>
        <w:t>附件5：生态环境局和自然资源局关于项目与三线一单的情况说明</w:t>
      </w:r>
    </w:p>
    <w:p>
      <w:pPr>
        <w:ind w:firstLine="480"/>
      </w:pPr>
      <w:r>
        <w:t>附件6：项目位于非禁养区的说明</w:t>
      </w:r>
    </w:p>
    <w:p>
      <w:pPr>
        <w:ind w:firstLine="480"/>
      </w:pPr>
      <w:r>
        <w:t>附件7：澧县林业局关于本项目的用地许可</w:t>
      </w:r>
    </w:p>
    <w:p>
      <w:pPr>
        <w:ind w:firstLine="480"/>
      </w:pPr>
      <w:r>
        <w:t>附件8：土地流转协议</w:t>
      </w:r>
    </w:p>
    <w:p>
      <w:pPr>
        <w:ind w:firstLine="480"/>
      </w:pPr>
    </w:p>
    <w:p>
      <w:pPr>
        <w:ind w:firstLine="480"/>
      </w:pPr>
      <w:r>
        <w:rPr>
          <w:rFonts w:hint="eastAsia"/>
        </w:rPr>
        <w:t>附图</w:t>
      </w:r>
    </w:p>
    <w:p>
      <w:pPr>
        <w:ind w:firstLine="480"/>
      </w:pPr>
      <w:r>
        <w:rPr>
          <w:rFonts w:hint="eastAsia"/>
        </w:rPr>
        <w:t>附图</w:t>
      </w:r>
      <w:r>
        <w:t>1</w:t>
      </w:r>
      <w:r>
        <w:rPr>
          <w:rFonts w:hint="eastAsia"/>
        </w:rPr>
        <w:t>：项目地理位置图</w:t>
      </w:r>
    </w:p>
    <w:p>
      <w:pPr>
        <w:ind w:firstLine="480"/>
      </w:pPr>
      <w:r>
        <w:rPr>
          <w:rFonts w:hint="eastAsia"/>
        </w:rPr>
        <w:t>附图</w:t>
      </w:r>
      <w:r>
        <w:t>2</w:t>
      </w:r>
      <w:r>
        <w:rPr>
          <w:rFonts w:hint="eastAsia"/>
        </w:rPr>
        <w:t>：项目平面布置示意图</w:t>
      </w:r>
    </w:p>
    <w:p>
      <w:pPr>
        <w:ind w:firstLine="480"/>
      </w:pPr>
      <w:r>
        <w:rPr>
          <w:rFonts w:hint="eastAsia"/>
        </w:rPr>
        <w:t>附图3：项目环保目标图</w:t>
      </w:r>
    </w:p>
    <w:p>
      <w:pPr>
        <w:ind w:firstLine="480"/>
      </w:pPr>
      <w:r>
        <w:rPr>
          <w:rFonts w:hint="eastAsia"/>
        </w:rPr>
        <w:t>附图4：项目用地红线图</w:t>
      </w:r>
    </w:p>
    <w:p>
      <w:pPr>
        <w:ind w:firstLine="480"/>
      </w:pPr>
      <w:r>
        <w:rPr>
          <w:rFonts w:hint="eastAsia"/>
        </w:rPr>
        <w:t>附图5：项目监测点位分布图</w:t>
      </w:r>
    </w:p>
    <w:p>
      <w:pPr>
        <w:ind w:firstLine="480"/>
      </w:pPr>
      <w:r>
        <w:rPr>
          <w:rFonts w:hint="eastAsia"/>
        </w:rPr>
        <w:t>附图6：项目卫生防护距离图</w:t>
      </w:r>
    </w:p>
    <w:p>
      <w:pPr>
        <w:ind w:firstLine="480"/>
        <w:rPr>
          <w:highlight w:val="yellow"/>
        </w:rPr>
      </w:pPr>
    </w:p>
    <w:p>
      <w:pPr>
        <w:pStyle w:val="10"/>
        <w:ind w:firstLine="480"/>
        <w:rPr>
          <w:highlight w:val="yellow"/>
        </w:rPr>
        <w:sectPr>
          <w:footerReference r:id="rId11" w:type="default"/>
          <w:pgSz w:w="11907" w:h="16840"/>
          <w:pgMar w:top="1417" w:right="1587" w:bottom="1417" w:left="1587" w:header="851" w:footer="992" w:gutter="0"/>
          <w:pgNumType w:fmt="upperRoman" w:start="1"/>
          <w:cols w:space="720" w:num="1"/>
          <w:docGrid w:linePitch="312" w:charSpace="0"/>
        </w:sectPr>
      </w:pPr>
      <w:bookmarkStart w:id="9" w:name="_Toc479672412"/>
      <w:bookmarkStart w:id="10" w:name="_Toc468689076"/>
    </w:p>
    <w:p>
      <w:pPr>
        <w:ind w:firstLine="480"/>
      </w:pPr>
      <w:bookmarkStart w:id="11" w:name="_Toc29936"/>
      <w:r>
        <w:br w:type="page"/>
      </w:r>
    </w:p>
    <w:p>
      <w:pPr>
        <w:pStyle w:val="3"/>
        <w:ind w:firstLine="643"/>
      </w:pPr>
      <w:r>
        <w:t>概述</w:t>
      </w:r>
      <w:bookmarkEnd w:id="9"/>
      <w:bookmarkEnd w:id="11"/>
    </w:p>
    <w:p>
      <w:pPr>
        <w:ind w:firstLine="482"/>
        <w:rPr>
          <w:b/>
          <w:bCs/>
        </w:rPr>
      </w:pPr>
      <w:bookmarkStart w:id="12" w:name="_Toc289344510"/>
      <w:bookmarkStart w:id="13" w:name="_Toc468689077"/>
      <w:r>
        <w:rPr>
          <w:rFonts w:hint="eastAsia"/>
          <w:b/>
          <w:bCs/>
        </w:rPr>
        <w:t>一、项目由来</w:t>
      </w:r>
      <w:bookmarkEnd w:id="12"/>
      <w:bookmarkEnd w:id="13"/>
      <w:r>
        <w:rPr>
          <w:rFonts w:hint="eastAsia"/>
          <w:b/>
          <w:bCs/>
        </w:rPr>
        <w:t>及特点</w:t>
      </w:r>
    </w:p>
    <w:p>
      <w:pPr>
        <w:spacing w:line="480" w:lineRule="exact"/>
        <w:ind w:firstLine="480"/>
        <w:rPr>
          <w:snapToGrid w:val="0"/>
        </w:rPr>
      </w:pPr>
      <w:r>
        <w:t>牲猪养殖是湖南的传统优势产业。在全国占有重要地位，产值居全国第5位，生猪出栏量居全国第2位，全省年外销生猪3200多万头，其中销往港澳活大猪38万头，中、仔猪280多万头，活大猪出口排全国第2位，猪肉出口排全国第5位，出口的中仔猪占港澳市场的80%左右，生猪出栏率、人平生猪出栏量居全国第一位。全国肉类产量百强县中，湖南省有14个。</w:t>
      </w:r>
      <w:r>
        <w:rPr>
          <w:snapToGrid w:val="0"/>
        </w:rPr>
        <w:t>生猪养殖是农业生产的重要组成部分。抓好生猪生产，保持生猪的合理供应，对稳定市场供应、满足消费需求、增加农民收入、促进经济发展具有重要意义。根据《国务院关于促进生猪生产发展稳定市场供应的意见》（国发[2007]22号）文件，要求各地区、各有关部门必须立足当前，着眼长远，在切实搞好市场供应的同时，建立保障生猪生产稳定发展的长效机制，调动养殖户（场）的养猪积极性，从根本上解决生猪生产、流通、消费和市场调控方面存在的矛盾和问题。</w:t>
      </w:r>
    </w:p>
    <w:p>
      <w:pPr>
        <w:pStyle w:val="19"/>
        <w:spacing w:line="480" w:lineRule="exact"/>
        <w:ind w:firstLine="480"/>
        <w:rPr>
          <w:bCs/>
          <w:snapToGrid w:val="0"/>
        </w:rPr>
      </w:pPr>
      <w:r>
        <w:rPr>
          <w:bCs/>
          <w:snapToGrid w:val="0"/>
        </w:rPr>
        <w:t>生猪养殖是农业生产的重要组成部分。抓好生猪生产，保持生猪的合理供应，对稳定市场供应、满足消费需求、增加农民收入、促进经济发展具有重要意义。党中央、国务院高度重视生猪稳产保供工作。今年以来，农业农村部把生猪稳产保供放在更加突出的位置，2019年为促进生猪产业发展，国家自然资源部、生态环境部、农业农村部接连出手，发布支持养猪新政策，严格规范禁养区划定和管理，允许使用耕地养猪，为生猪生产提供多重保障。2019年8月，自然资源部办公厅发出《关于保障生猪</w:t>
      </w:r>
      <w:r>
        <w:fldChar w:fldCharType="begin"/>
      </w:r>
      <w:r>
        <w:instrText xml:space="preserve"> HYPERLINK "https://www.tuliu.com/baike/list-c304" \t "https://www.tuliu.com/_blank" </w:instrText>
      </w:r>
      <w:r>
        <w:fldChar w:fldCharType="separate"/>
      </w:r>
      <w:r>
        <w:rPr>
          <w:bCs/>
          <w:snapToGrid w:val="0"/>
        </w:rPr>
        <w:t>养殖</w:t>
      </w:r>
      <w:r>
        <w:rPr>
          <w:bCs/>
          <w:snapToGrid w:val="0"/>
        </w:rPr>
        <w:fldChar w:fldCharType="end"/>
      </w:r>
      <w:r>
        <w:rPr>
          <w:bCs/>
          <w:snapToGrid w:val="0"/>
        </w:rPr>
        <w:t>用地有关问题的通知》，通知强调要完善生猪生产的用地政策，鼓励利用</w:t>
      </w:r>
      <w:r>
        <w:fldChar w:fldCharType="begin"/>
      </w:r>
      <w:r>
        <w:instrText xml:space="preserve"> HYPERLINK "https://www.tuliu.com/gongying/huangshan/" \t "https://www.tuliu.com/_blank" </w:instrText>
      </w:r>
      <w:r>
        <w:fldChar w:fldCharType="separate"/>
      </w:r>
      <w:r>
        <w:rPr>
          <w:bCs/>
          <w:snapToGrid w:val="0"/>
        </w:rPr>
        <w:t>荒山</w:t>
      </w:r>
      <w:r>
        <w:rPr>
          <w:bCs/>
          <w:snapToGrid w:val="0"/>
        </w:rPr>
        <w:fldChar w:fldCharType="end"/>
      </w:r>
      <w:r>
        <w:rPr>
          <w:bCs/>
          <w:snapToGrid w:val="0"/>
        </w:rPr>
        <w:t>、荒沟、荒丘、荒滩和农村集体建设用地及原有养殖设施用地进行生猪养殖生产，各地可进一步制定鼓励支持政策。</w:t>
      </w:r>
    </w:p>
    <w:p>
      <w:pPr>
        <w:pStyle w:val="19"/>
        <w:spacing w:line="480" w:lineRule="exact"/>
        <w:ind w:firstLine="480"/>
        <w:rPr>
          <w:bCs/>
          <w:snapToGrid w:val="0"/>
        </w:rPr>
      </w:pPr>
      <w:r>
        <w:rPr>
          <w:bCs/>
          <w:snapToGrid w:val="0"/>
        </w:rPr>
        <w:t>因此基于国家政策的支持，</w:t>
      </w:r>
      <w:r>
        <w:rPr>
          <w:rFonts w:hint="eastAsia"/>
          <w:bCs/>
          <w:snapToGrid w:val="0"/>
        </w:rPr>
        <w:t>澧县鸣怡牧业有限公司</w:t>
      </w:r>
      <w:r>
        <w:rPr>
          <w:bCs/>
          <w:snapToGrid w:val="0"/>
        </w:rPr>
        <w:t>拟在澧县大堰垱镇石公桥村投资</w:t>
      </w:r>
      <w:r>
        <w:rPr>
          <w:rFonts w:hint="eastAsia"/>
          <w:bCs/>
          <w:snapToGrid w:val="0"/>
        </w:rPr>
        <w:t>400</w:t>
      </w:r>
      <w:r>
        <w:rPr>
          <w:bCs/>
          <w:snapToGrid w:val="0"/>
        </w:rPr>
        <w:t>万元建设</w:t>
      </w:r>
      <w:r>
        <w:rPr>
          <w:rFonts w:hint="eastAsia"/>
          <w:bCs/>
          <w:snapToGrid w:val="0"/>
        </w:rPr>
        <w:t>澧县鸣怡牧业有限公司</w:t>
      </w:r>
      <w:r>
        <w:rPr>
          <w:bCs/>
          <w:snapToGrid w:val="0"/>
        </w:rPr>
        <w:t>建设项目，</w:t>
      </w:r>
      <w:r>
        <w:rPr>
          <w:rFonts w:hint="eastAsia"/>
        </w:rPr>
        <w:t>项目工程用地通过征用澧县大堰垱镇石公桥村集体用地约21.89亩，主要建设内容包括育肥舍3栋、生活房、冷冻库、仓库以及供水、供电、供热、道路等相关配套设施，</w:t>
      </w:r>
      <w:r>
        <w:rPr>
          <w:bCs/>
          <w:snapToGrid w:val="0"/>
        </w:rPr>
        <w:t>项目建设规模为常年存栏</w:t>
      </w:r>
      <w:r>
        <w:rPr>
          <w:rFonts w:hint="eastAsia"/>
          <w:bCs/>
          <w:snapToGrid w:val="0"/>
        </w:rPr>
        <w:t>5</w:t>
      </w:r>
      <w:r>
        <w:rPr>
          <w:bCs/>
          <w:snapToGrid w:val="0"/>
        </w:rPr>
        <w:t>000头，年出栏</w:t>
      </w:r>
      <w:r>
        <w:rPr>
          <w:rFonts w:hint="eastAsia"/>
          <w:bCs/>
          <w:snapToGrid w:val="0"/>
        </w:rPr>
        <w:t>10</w:t>
      </w:r>
      <w:r>
        <w:rPr>
          <w:bCs/>
          <w:snapToGrid w:val="0"/>
        </w:rPr>
        <w:t>000头</w:t>
      </w:r>
      <w:r>
        <w:rPr>
          <w:rFonts w:hint="eastAsia"/>
          <w:bCs/>
          <w:snapToGrid w:val="0"/>
        </w:rPr>
        <w:t>。</w:t>
      </w:r>
    </w:p>
    <w:p>
      <w:pPr>
        <w:pStyle w:val="19"/>
        <w:spacing w:line="480" w:lineRule="exact"/>
        <w:ind w:firstLine="480"/>
      </w:pPr>
      <w:r>
        <w:t>根据《中华人民共和国环境影响评价法》、国务院令第</w:t>
      </w:r>
      <w:r>
        <w:rPr>
          <w:rFonts w:hint="eastAsia"/>
        </w:rPr>
        <w:t>682</w:t>
      </w:r>
      <w:r>
        <w:t>号《建设项目环境保护管理条例》和《建设项目环境影响评价分类管理名录》（</w:t>
      </w:r>
      <w:r>
        <w:rPr>
          <w:rFonts w:hint="eastAsia"/>
        </w:rPr>
        <w:t>2018年修订</w:t>
      </w:r>
      <w:r>
        <w:t>）有关规定，该项目的建设必须执行环境影响评价制度，评价单位在接受委托后依据该项目的资料，经过现场认真调查、资料收集和研究论证，依据环境影响评价导则的有关要求，编制了本报告书。</w:t>
      </w:r>
    </w:p>
    <w:p>
      <w:pPr>
        <w:pStyle w:val="19"/>
        <w:spacing w:line="480" w:lineRule="exact"/>
        <w:ind w:firstLine="480"/>
      </w:pPr>
      <w:r>
        <w:t>本次评价主要工作内容：工程分析、环境质量现状调查与评价、运营期环境影响评价、环境风险、环境保护措施、清洁生产与总量控制、环境保护管理和环境监测计划、环境影响经济损益分析等内容。</w:t>
      </w:r>
    </w:p>
    <w:p>
      <w:pPr>
        <w:pStyle w:val="19"/>
        <w:spacing w:line="480" w:lineRule="exact"/>
        <w:ind w:firstLine="480"/>
      </w:pPr>
      <w:r>
        <w:t>本项目建设符合国家产业政策，项目选址合理、可行，在严格执行“三同时”制度，加强环境管理，落实本报告中提出的各项污染防治措施和风险防治措施的条件下，项目建设从环境保护角度来看是可行的。</w:t>
      </w:r>
    </w:p>
    <w:p>
      <w:pPr>
        <w:ind w:firstLine="482"/>
        <w:rPr>
          <w:b/>
          <w:bCs/>
        </w:rPr>
      </w:pPr>
      <w:r>
        <w:rPr>
          <w:rFonts w:hint="eastAsia"/>
          <w:b/>
          <w:bCs/>
        </w:rPr>
        <w:t>二、环境影响评价过程</w:t>
      </w:r>
    </w:p>
    <w:p>
      <w:pPr>
        <w:ind w:firstLine="480"/>
      </w:pPr>
      <w:r>
        <w:rPr>
          <w:rFonts w:hint="eastAsia"/>
        </w:rPr>
        <w:t>根据《中华人民共和国环境影响评价法》和《建设项目环境保护管理条例》等法律法规的有关规定，为切实做好建设项目的环境保护工作，严格执行环境影响评价制度，公司于</w:t>
      </w:r>
      <w:r>
        <w:t>20</w:t>
      </w:r>
      <w:r>
        <w:rPr>
          <w:rFonts w:hint="eastAsia"/>
        </w:rPr>
        <w:t>20年8月委托湖南景玺环保科技有限公司承担本项目的环境影响评价工作。</w:t>
      </w:r>
    </w:p>
    <w:p>
      <w:pPr>
        <w:ind w:firstLine="480"/>
      </w:pPr>
      <w:r>
        <w:rPr>
          <w:rFonts w:hint="eastAsia"/>
        </w:rPr>
        <w:t>根据《建设项目环境影响评价分类管理名录》，本项目应编制环境影响报告书。我公司接受委托后，立即组织技术人员对项目现场及周边环境进行了详细的调查，收集项目相关资料，并详细研究了项目的设计方案，最终确定本项目的环评技术路线和重点内容。依据环境影响评价有关技术导则、规范，分析、预测工程施工期及营运期对环境的影响以及周边环境对本工程的影响，提出相应的污染防治措施，在此基础上编制了本环境影响报告书。</w:t>
      </w:r>
    </w:p>
    <w:p>
      <w:pPr>
        <w:ind w:firstLine="482"/>
        <w:rPr>
          <w:b/>
          <w:bCs/>
        </w:rPr>
      </w:pPr>
      <w:bookmarkStart w:id="14" w:name="_Toc364085728"/>
      <w:bookmarkStart w:id="15" w:name="_Toc479672414"/>
      <w:r>
        <w:rPr>
          <w:rFonts w:hint="eastAsia"/>
          <w:b/>
          <w:bCs/>
        </w:rPr>
        <w:t>三、分析判定相关情况</w:t>
      </w:r>
    </w:p>
    <w:p>
      <w:pPr>
        <w:ind w:firstLine="480"/>
      </w:pPr>
      <w:r>
        <w:t>1.3.1</w:t>
      </w:r>
      <w:r>
        <w:rPr>
          <w:rFonts w:hint="eastAsia"/>
        </w:rPr>
        <w:t>产业政</w:t>
      </w:r>
      <w:bookmarkEnd w:id="14"/>
      <w:r>
        <w:rPr>
          <w:rFonts w:hint="eastAsia"/>
        </w:rPr>
        <w:t>策相符性分析</w:t>
      </w:r>
      <w:bookmarkEnd w:id="15"/>
    </w:p>
    <w:p>
      <w:pPr>
        <w:ind w:firstLine="480"/>
      </w:pPr>
      <w:bookmarkStart w:id="16" w:name="_Toc479672415"/>
      <w:r>
        <w:rPr>
          <w:rFonts w:hint="eastAsia"/>
        </w:rPr>
        <w:t>（</w:t>
      </w:r>
      <w:r>
        <w:t>1</w:t>
      </w:r>
      <w:r>
        <w:rPr>
          <w:rFonts w:hint="eastAsia"/>
        </w:rPr>
        <w:t>）《产业结构调整指导目录》（</w:t>
      </w:r>
      <w:r>
        <w:t>201</w:t>
      </w:r>
      <w:r>
        <w:rPr>
          <w:rFonts w:hint="eastAsia"/>
        </w:rPr>
        <w:t>9年）</w:t>
      </w:r>
    </w:p>
    <w:p>
      <w:pPr>
        <w:ind w:firstLine="480"/>
      </w:pPr>
      <w:r>
        <w:rPr>
          <w:rFonts w:hint="eastAsia"/>
        </w:rPr>
        <w:t>本项目属于《国民经济行业分类》（</w:t>
      </w:r>
      <w:r>
        <w:t>GBT4754-2017</w:t>
      </w:r>
      <w:r>
        <w:rPr>
          <w:rFonts w:hint="eastAsia"/>
        </w:rPr>
        <w:t>）中的“</w:t>
      </w:r>
      <w:r>
        <w:t>A0313</w:t>
      </w:r>
      <w:r>
        <w:rPr>
          <w:rFonts w:hint="eastAsia"/>
        </w:rPr>
        <w:t>猪的饲养”根据《产业结构调整指导目录》（</w:t>
      </w:r>
      <w:r>
        <w:t>201</w:t>
      </w:r>
      <w:r>
        <w:rPr>
          <w:rFonts w:hint="eastAsia"/>
        </w:rPr>
        <w:t>9年），本项目不属于限制类和淘汰类，属于允许类。</w:t>
      </w:r>
    </w:p>
    <w:p>
      <w:pPr>
        <w:ind w:firstLine="480"/>
      </w:pPr>
      <w:r>
        <w:rPr>
          <w:rFonts w:hint="eastAsia"/>
        </w:rPr>
        <w:t>（</w:t>
      </w:r>
      <w:r>
        <w:t>2</w:t>
      </w:r>
      <w:r>
        <w:rPr>
          <w:rFonts w:hint="eastAsia"/>
        </w:rPr>
        <w:t>）畜牧养殖相关政策符合性分析</w:t>
      </w:r>
    </w:p>
    <w:p>
      <w:pPr>
        <w:ind w:firstLine="480"/>
      </w:pPr>
      <w:r>
        <w:t>2017</w:t>
      </w:r>
      <w:r>
        <w:rPr>
          <w:rFonts w:hint="eastAsia"/>
        </w:rPr>
        <w:t>年</w:t>
      </w:r>
      <w:r>
        <w:t>5</w:t>
      </w:r>
      <w:r>
        <w:rPr>
          <w:rFonts w:hint="eastAsia"/>
        </w:rPr>
        <w:t>月</w:t>
      </w:r>
      <w:r>
        <w:t>31</w:t>
      </w:r>
      <w:r>
        <w:rPr>
          <w:rFonts w:hint="eastAsia"/>
        </w:rPr>
        <w:t>日国务院办公厅发布《关于加快推进畜禽养殖废弃物资源化利用的意见》（国办发〔</w:t>
      </w:r>
      <w:r>
        <w:t>2017</w:t>
      </w:r>
      <w:r>
        <w:rPr>
          <w:rFonts w:hint="eastAsia"/>
        </w:rPr>
        <w:t>〕</w:t>
      </w:r>
      <w:r>
        <w:t>48</w:t>
      </w:r>
      <w:r>
        <w:rPr>
          <w:rFonts w:hint="eastAsia"/>
        </w:rPr>
        <w:t>号）文件中，明确指出：“（四）要严格落实畜禽规模养殖环评制度。规范环评内容和要求。对畜禽规模养殖相关规划依法依规开展环境影响评价，调整优化畜牧业生产布局，协调畜禽规模养殖和环境保护的关系。新建或改扩建畜禽规模养殖场，应突出养分综合利用，配套与养殖规模和处理工艺相适应的粪污消纳用地，配备必要的粪污收集、贮存、处理、利用设施，依法进行环境影响评价。”“（十二）加快畜牧业转型升级。优化调整生猪养殖布局，向粮食主产区和环境容量大的地区转移。大力发展标准化规模养殖，建设自动喂料、自动饮水、环境控制等现代化装备，推广节水、节料等清洁养殖工艺和干清粪、微生物发酵等实用技术，实现源头减量。”</w:t>
      </w:r>
    </w:p>
    <w:p>
      <w:pPr>
        <w:ind w:firstLine="480"/>
      </w:pPr>
      <w:r>
        <w:rPr>
          <w:rFonts w:hint="eastAsia"/>
        </w:rPr>
        <w:t>本项目采用微生物异位发酵床技术，属于该文件推荐的实用技术，本项目对养殖粪尿进行微生物发酵处理，无养殖废水产生，更换的发酵垫料用作有机肥施于种植基地，对养殖废物进行综合利用的处理模式是符合禽养殖废弃物的资源化利用相关要求的。</w:t>
      </w:r>
    </w:p>
    <w:p>
      <w:pPr>
        <w:ind w:firstLine="480"/>
      </w:pPr>
      <w:r>
        <w:rPr>
          <w:rFonts w:hint="eastAsia"/>
        </w:rPr>
        <w:t>党中央、国务院高度重视生猪稳产保供工作。今年以来，农业农村部把生猪稳产保供放在更加突出的位置，9月以来，农业农村部相继召开东北和南方片区会，指导东北地区扩群增养，要求南方地区尽快遏制下滑趋势。成立恢复生猪生产协调办公室，加强生产和政策情况调度，约谈11个生猪生产下降幅度较大的省份。以国务院办公厅名义印发《关于稳定生猪生产促进转型升级的意见》，会同有关部门出台17项政策措施，全国31省（区、市）印发生猪稳产保供实施意见。在市场拉动和政策推动下，生猪生产已出现止降回升的积极变化，但恢复生产发展保障市场供给仍面临不少困难和挑战，任务十分艰巨。当前首先是把生猪生产抓上去，确保各项既定目标如期实现。2019年9月生态环境部、农业农村部联合《关于进一步规范畜禽养殖禁养区划定和管理促进生猪生产发展的通知》（环办土壤﹝2019﹞55号）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场户，优先支持异地重建，对符合环保要求的畜禽养殖建设项目，加快环评审批。2019年12月农业农村部先后发布了</w:t>
      </w:r>
      <w:r>
        <w:t>《加快生猪生产恢复发展三年行动方案》（农牧发[2019]39号</w:t>
      </w:r>
      <w:r>
        <w:rPr>
          <w:rFonts w:hint="eastAsia"/>
        </w:rPr>
        <w:t>）、《</w:t>
      </w:r>
      <w:r>
        <w:t>农业农村部关于调整动物防疫条件审查有关规定的通知</w:t>
      </w:r>
      <w:r>
        <w:rPr>
          <w:rFonts w:hint="eastAsia"/>
        </w:rPr>
        <w:t>》（农牧发[2019]42号，2019.12.19），暂停执行关于兴办动物饲养场、养殖小区等场所的选址距离规定，并对年出栏5000头以上的生猪养殖场建设，开展环评告知承诺制试点，建设单位提交承诺书和环评报告的，可以不经过开工前的评估审查，直接作出审批决定。</w:t>
      </w:r>
    </w:p>
    <w:p>
      <w:pPr>
        <w:ind w:firstLine="480"/>
      </w:pPr>
      <w:r>
        <w:rPr>
          <w:rFonts w:hint="eastAsia"/>
        </w:rPr>
        <w:t>综上所述，本项目建设符合目前国家产业政策及畜禽养殖废弃物资源化利用的相关政策要求。</w:t>
      </w:r>
    </w:p>
    <w:bookmarkEnd w:id="16"/>
    <w:p>
      <w:pPr>
        <w:ind w:firstLine="480"/>
      </w:pPr>
      <w:bookmarkStart w:id="17" w:name="_Toc435778093"/>
      <w:bookmarkStart w:id="18" w:name="_Toc479672416"/>
      <w:bookmarkStart w:id="19" w:name="_Toc343516648"/>
      <w:r>
        <w:t>1.3.2</w:t>
      </w:r>
      <w:r>
        <w:rPr>
          <w:rFonts w:hint="eastAsia"/>
        </w:rPr>
        <w:t>《畜禽养殖业污染防治技术规范》（</w:t>
      </w:r>
      <w:r>
        <w:t>HJ/T8-2001</w:t>
      </w:r>
      <w:r>
        <w:rPr>
          <w:rFonts w:hint="eastAsia"/>
        </w:rPr>
        <w:t>）相符性分析</w:t>
      </w:r>
    </w:p>
    <w:p>
      <w:pPr>
        <w:ind w:firstLine="480"/>
      </w:pPr>
      <w:r>
        <w:rPr>
          <w:rFonts w:hint="eastAsia"/>
        </w:rPr>
        <w:t>根据《畜禽养殖业污染防治技术规范》，畜禽养殖业选址必须符合下列要求：</w:t>
      </w:r>
    </w:p>
    <w:p>
      <w:pPr>
        <w:ind w:firstLine="480"/>
      </w:pPr>
      <w:r>
        <w:rPr>
          <w:rFonts w:hint="eastAsia"/>
        </w:rPr>
        <w:t>（</w:t>
      </w:r>
      <w:r>
        <w:t>1</w:t>
      </w:r>
      <w:r>
        <w:rPr>
          <w:rFonts w:hint="eastAsia"/>
        </w:rPr>
        <w:t>）禁止在下列区域内建设畜禽养殖场：</w:t>
      </w:r>
    </w:p>
    <w:p>
      <w:pPr>
        <w:ind w:firstLine="480"/>
      </w:pPr>
      <w:r>
        <w:rPr>
          <w:rFonts w:hint="eastAsia"/>
        </w:rPr>
        <w:t>①生活饮用水水源保护区、风景名胜区、自然保护区的核心区及缓冲区；</w:t>
      </w:r>
    </w:p>
    <w:p>
      <w:pPr>
        <w:ind w:firstLine="480"/>
      </w:pPr>
      <w:r>
        <w:rPr>
          <w:rFonts w:hint="eastAsia"/>
        </w:rPr>
        <w:t>②城市和城镇居民区，包括文教科研区、医疗区、商业区、工业区、游览区等人口集中地区；</w:t>
      </w:r>
    </w:p>
    <w:p>
      <w:pPr>
        <w:ind w:firstLine="480"/>
      </w:pPr>
      <w:r>
        <w:rPr>
          <w:rFonts w:hint="eastAsia"/>
        </w:rPr>
        <w:t>③县级人民政府依法划定的禁养区域；</w:t>
      </w:r>
    </w:p>
    <w:p>
      <w:pPr>
        <w:ind w:firstLine="480"/>
      </w:pPr>
      <w:r>
        <w:rPr>
          <w:rFonts w:hint="eastAsia"/>
        </w:rPr>
        <w:t>④国家或地方法律、法规规定需特殊保护的其它区域。</w:t>
      </w:r>
    </w:p>
    <w:p>
      <w:pPr>
        <w:ind w:firstLine="480"/>
      </w:pPr>
      <w:r>
        <w:rPr>
          <w:rFonts w:hint="eastAsia"/>
        </w:rPr>
        <w:t>（</w:t>
      </w:r>
      <w:r>
        <w:t>2</w:t>
      </w:r>
      <w:r>
        <w:rPr>
          <w:rFonts w:hint="eastAsia"/>
        </w:rPr>
        <w:t>）新建、改建、扩建的畜禽养殖场选址应避开（</w:t>
      </w:r>
      <w:r>
        <w:t>1</w:t>
      </w:r>
      <w:r>
        <w:rPr>
          <w:rFonts w:hint="eastAsia"/>
        </w:rPr>
        <w:t>）中规定的禁建区域，在禁建区域附近建设的，应设在（</w:t>
      </w:r>
      <w:r>
        <w:t>1</w:t>
      </w:r>
      <w:r>
        <w:rPr>
          <w:rFonts w:hint="eastAsia"/>
        </w:rPr>
        <w:t>）中规定的禁建区域常年主导风向的下风向或侧风向处，场界与禁建区域边界的最小距离不得小于</w:t>
      </w:r>
      <w:r>
        <w:t>500m</w:t>
      </w:r>
      <w:r>
        <w:rPr>
          <w:rFonts w:hint="eastAsia"/>
        </w:rPr>
        <w:t>。</w:t>
      </w:r>
    </w:p>
    <w:p>
      <w:pPr>
        <w:pStyle w:val="11"/>
      </w:pPr>
      <w:r>
        <w:rPr>
          <w:rFonts w:hint="eastAsia"/>
        </w:rPr>
        <w:t>表</w:t>
      </w:r>
      <w:r>
        <w:t xml:space="preserve">1  </w:t>
      </w:r>
      <w:r>
        <w:rPr>
          <w:rFonts w:hint="eastAsia"/>
        </w:rPr>
        <w:t>本项目场址与选址要求的符合性分析表</w:t>
      </w:r>
    </w:p>
    <w:tbl>
      <w:tblPr>
        <w:tblStyle w:val="21"/>
        <w:tblW w:w="90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99"/>
        <w:gridCol w:w="4747"/>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blHeader/>
          <w:jc w:val="center"/>
        </w:trPr>
        <w:tc>
          <w:tcPr>
            <w:tcW w:w="3299" w:type="dxa"/>
            <w:vAlign w:val="center"/>
          </w:tcPr>
          <w:p>
            <w:pPr>
              <w:pStyle w:val="8"/>
              <w:ind w:firstLine="0" w:firstLineChars="0"/>
            </w:pPr>
            <w:r>
              <w:rPr>
                <w:rFonts w:hint="eastAsia"/>
              </w:rPr>
              <w:t>选址条件</w:t>
            </w:r>
          </w:p>
        </w:tc>
        <w:tc>
          <w:tcPr>
            <w:tcW w:w="4747" w:type="dxa"/>
            <w:vAlign w:val="center"/>
          </w:tcPr>
          <w:p>
            <w:pPr>
              <w:pStyle w:val="8"/>
              <w:ind w:firstLine="0" w:firstLineChars="0"/>
            </w:pPr>
            <w:r>
              <w:rPr>
                <w:rFonts w:hint="eastAsia"/>
              </w:rPr>
              <w:t>本项目情况</w:t>
            </w:r>
          </w:p>
        </w:tc>
        <w:tc>
          <w:tcPr>
            <w:tcW w:w="1015" w:type="dxa"/>
            <w:vAlign w:val="center"/>
          </w:tcPr>
          <w:p>
            <w:pPr>
              <w:pStyle w:val="8"/>
              <w:ind w:firstLine="0" w:firstLineChars="0"/>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3299" w:type="dxa"/>
            <w:vAlign w:val="center"/>
          </w:tcPr>
          <w:p>
            <w:pPr>
              <w:pStyle w:val="8"/>
              <w:ind w:firstLine="0" w:firstLineChars="0"/>
            </w:pPr>
            <w:r>
              <w:rPr>
                <w:rFonts w:hint="eastAsia"/>
              </w:rPr>
              <w:t>禁止在生活饮用水水源保护区、风景名胜区、自然保护区的核心区及缓冲区建设</w:t>
            </w:r>
          </w:p>
        </w:tc>
        <w:tc>
          <w:tcPr>
            <w:tcW w:w="4747" w:type="dxa"/>
            <w:vAlign w:val="center"/>
          </w:tcPr>
          <w:p>
            <w:pPr>
              <w:pStyle w:val="8"/>
              <w:ind w:firstLine="0" w:firstLineChars="0"/>
            </w:pPr>
            <w:r>
              <w:rPr>
                <w:rFonts w:hint="eastAsia"/>
              </w:rPr>
              <w:t>本项目所在地不是生活饮用水水源保护区、风景名胜区、自然保护区的核心区及缓冲区</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3299" w:type="dxa"/>
            <w:vAlign w:val="center"/>
          </w:tcPr>
          <w:p>
            <w:pPr>
              <w:pStyle w:val="8"/>
              <w:ind w:firstLine="0" w:firstLineChars="0"/>
            </w:pPr>
            <w:r>
              <w:rPr>
                <w:rFonts w:hint="eastAsia"/>
              </w:rPr>
              <w:t>禁止城市和城镇居民区，包括文教科研区、医疗区、商业区、工业区、游览区等人口集中地区建设</w:t>
            </w:r>
          </w:p>
        </w:tc>
        <w:tc>
          <w:tcPr>
            <w:tcW w:w="4747" w:type="dxa"/>
            <w:vAlign w:val="center"/>
          </w:tcPr>
          <w:p>
            <w:pPr>
              <w:pStyle w:val="8"/>
              <w:ind w:firstLine="0" w:firstLineChars="0"/>
            </w:pPr>
            <w:r>
              <w:rPr>
                <w:rFonts w:hint="eastAsia"/>
              </w:rPr>
              <w:t>本项目所在地不位于城市和城镇居民区</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3299" w:type="dxa"/>
            <w:vAlign w:val="center"/>
          </w:tcPr>
          <w:p>
            <w:pPr>
              <w:pStyle w:val="8"/>
              <w:ind w:firstLine="0" w:firstLineChars="0"/>
            </w:pPr>
            <w:r>
              <w:rPr>
                <w:rFonts w:hint="eastAsia"/>
              </w:rPr>
              <w:t>禁止在县级人民政府依法划定的禁养区域建设</w:t>
            </w:r>
          </w:p>
        </w:tc>
        <w:tc>
          <w:tcPr>
            <w:tcW w:w="4747" w:type="dxa"/>
            <w:vAlign w:val="center"/>
          </w:tcPr>
          <w:p>
            <w:pPr>
              <w:pStyle w:val="8"/>
              <w:ind w:firstLine="0" w:firstLineChars="0"/>
              <w:rPr>
                <w:highlight w:val="yellow"/>
              </w:rPr>
            </w:pPr>
            <w:r>
              <w:rPr>
                <w:rFonts w:hint="eastAsia"/>
              </w:rPr>
              <w:t>根据澧县人民政府</w:t>
            </w:r>
            <w:r>
              <w:t>《澧县人民政府关于印发&lt;澧县畜禽养殖禁养区限养区适养区划定方案&gt;的通知》（澧政发〔20</w:t>
            </w:r>
            <w:r>
              <w:rPr>
                <w:rFonts w:hint="eastAsia"/>
              </w:rPr>
              <w:t>20</w:t>
            </w:r>
            <w:r>
              <w:t>〕</w:t>
            </w:r>
            <w:r>
              <w:rPr>
                <w:rFonts w:hint="eastAsia"/>
              </w:rPr>
              <w:t>6</w:t>
            </w:r>
            <w:r>
              <w:t>号）文件</w:t>
            </w:r>
            <w:r>
              <w:rPr>
                <w:rFonts w:hint="eastAsia"/>
              </w:rPr>
              <w:t>，本项目不在禁养区范围，澧县畜牧兽医水产局出具《关于同意对澧县鸣怡牧业有限公司进行核准备案的批复》（澧畜水字</w:t>
            </w:r>
            <w:r>
              <w:t>[20</w:t>
            </w:r>
            <w:r>
              <w:rPr>
                <w:rFonts w:hint="eastAsia"/>
              </w:rPr>
              <w:t>20</w:t>
            </w:r>
            <w:r>
              <w:t>]</w:t>
            </w:r>
            <w:r>
              <w:rPr>
                <w:rFonts w:hint="eastAsia"/>
              </w:rPr>
              <w:t>28号）。</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3299" w:type="dxa"/>
            <w:vAlign w:val="center"/>
          </w:tcPr>
          <w:p>
            <w:pPr>
              <w:pStyle w:val="8"/>
              <w:ind w:firstLine="0" w:firstLineChars="0"/>
            </w:pPr>
            <w:r>
              <w:rPr>
                <w:rFonts w:hint="eastAsia"/>
              </w:rPr>
              <w:t>禁止在国家或地方法律、法规规定需特殊保护的其它区域建设</w:t>
            </w:r>
          </w:p>
        </w:tc>
        <w:tc>
          <w:tcPr>
            <w:tcW w:w="4747" w:type="dxa"/>
            <w:vAlign w:val="center"/>
          </w:tcPr>
          <w:p>
            <w:pPr>
              <w:pStyle w:val="8"/>
              <w:ind w:firstLine="0" w:firstLineChars="0"/>
            </w:pPr>
            <w:r>
              <w:rPr>
                <w:rFonts w:hint="eastAsia"/>
              </w:rPr>
              <w:t>本项目所在地不属于国家或地方法律、法规规定需特殊保护的其它区域</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3299" w:type="dxa"/>
            <w:vAlign w:val="center"/>
          </w:tcPr>
          <w:p>
            <w:pPr>
              <w:pStyle w:val="8"/>
              <w:ind w:firstLine="0" w:firstLineChars="0"/>
            </w:pPr>
            <w:r>
              <w:rPr>
                <w:rFonts w:hint="eastAsia"/>
              </w:rPr>
              <w:t>场界与禁建区域边界的最小距离不得小于</w:t>
            </w:r>
            <w:r>
              <w:t>500m</w:t>
            </w:r>
          </w:p>
        </w:tc>
        <w:tc>
          <w:tcPr>
            <w:tcW w:w="4747" w:type="dxa"/>
            <w:vAlign w:val="center"/>
          </w:tcPr>
          <w:p>
            <w:pPr>
              <w:pStyle w:val="8"/>
              <w:ind w:firstLine="0" w:firstLineChars="0"/>
              <w:rPr>
                <w:highlight w:val="yellow"/>
              </w:rPr>
            </w:pPr>
            <w:r>
              <w:rPr>
                <w:rFonts w:hint="eastAsia"/>
              </w:rPr>
              <w:t>项目养殖区离石公桥水库饮用水源保护区最近距离超过500m，且不属于石公桥水库饮用水源保护区的集雨范围。</w:t>
            </w:r>
          </w:p>
        </w:tc>
        <w:tc>
          <w:tcPr>
            <w:tcW w:w="1015" w:type="dxa"/>
            <w:vAlign w:val="center"/>
          </w:tcPr>
          <w:p>
            <w:pPr>
              <w:pStyle w:val="8"/>
              <w:ind w:firstLine="0" w:firstLineChars="0"/>
              <w:rPr>
                <w:highlight w:val="yellow"/>
              </w:rPr>
            </w:pPr>
            <w:r>
              <w:rPr>
                <w:rFonts w:hint="eastAsia"/>
              </w:rPr>
              <w:t>符合</w:t>
            </w:r>
          </w:p>
        </w:tc>
      </w:tr>
    </w:tbl>
    <w:p>
      <w:pPr>
        <w:ind w:firstLine="480"/>
      </w:pPr>
      <w:r>
        <w:rPr>
          <w:rFonts w:hint="eastAsia"/>
        </w:rPr>
        <w:t>根据表</w:t>
      </w:r>
      <w:r>
        <w:t>1</w:t>
      </w:r>
      <w:r>
        <w:rPr>
          <w:rFonts w:hint="eastAsia"/>
        </w:rPr>
        <w:t>可知，本项目选址符合《畜禽养殖业污染防治技术规范》（</w:t>
      </w:r>
      <w:r>
        <w:t>HJ/T8-2001</w:t>
      </w:r>
      <w:r>
        <w:rPr>
          <w:rFonts w:hint="eastAsia"/>
        </w:rPr>
        <w:t>）选址要求，选址位于</w:t>
      </w:r>
      <w:r>
        <w:t>《澧县人民政府关于印发&lt;澧县畜禽养殖禁养区限养区适养区划定方案&gt;的通知》（澧政发〔20</w:t>
      </w:r>
      <w:r>
        <w:rPr>
          <w:rFonts w:hint="eastAsia"/>
        </w:rPr>
        <w:t>20</w:t>
      </w:r>
      <w:r>
        <w:t>〕</w:t>
      </w:r>
      <w:r>
        <w:rPr>
          <w:rFonts w:hint="eastAsia"/>
        </w:rPr>
        <w:t>6</w:t>
      </w:r>
      <w:r>
        <w:t>号）文件</w:t>
      </w:r>
      <w:r>
        <w:rPr>
          <w:rFonts w:hint="eastAsia"/>
        </w:rPr>
        <w:t>中的非禁养区。</w:t>
      </w:r>
    </w:p>
    <w:bookmarkEnd w:id="17"/>
    <w:bookmarkEnd w:id="18"/>
    <w:bookmarkEnd w:id="19"/>
    <w:p>
      <w:pPr>
        <w:ind w:firstLine="482"/>
        <w:rPr>
          <w:b/>
          <w:bCs/>
        </w:rPr>
      </w:pPr>
      <w:bookmarkStart w:id="20" w:name="_Toc479672417"/>
      <w:bookmarkStart w:id="21" w:name="_Toc435778094"/>
      <w:bookmarkStart w:id="22" w:name="_Toc343516649"/>
      <w:r>
        <w:rPr>
          <w:rFonts w:hint="eastAsia"/>
          <w:b/>
          <w:bCs/>
        </w:rPr>
        <w:t>四、关注的主要环境问题</w:t>
      </w:r>
      <w:bookmarkEnd w:id="20"/>
      <w:bookmarkEnd w:id="21"/>
      <w:bookmarkEnd w:id="22"/>
      <w:r>
        <w:rPr>
          <w:rFonts w:hint="eastAsia"/>
          <w:b/>
          <w:bCs/>
        </w:rPr>
        <w:t>及环境影响</w:t>
      </w:r>
    </w:p>
    <w:p>
      <w:pPr>
        <w:ind w:firstLine="480"/>
      </w:pPr>
      <w:r>
        <w:rPr>
          <w:rFonts w:hint="eastAsia"/>
        </w:rPr>
        <w:t>根据项目的特点，本项目采用发酵床养殖技术，无养殖废水产生；更换的发酵床垫料作为有机肥料外售有机肥厂，养殖噪声对周边环境影响不显著，因此，本次评价主要关注的环境问题为：</w:t>
      </w:r>
    </w:p>
    <w:p>
      <w:pPr>
        <w:ind w:firstLine="480"/>
      </w:pPr>
      <w:r>
        <w:t>（1）废气：养殖过程产生的恶臭污染物可能对附近环境造成影响。</w:t>
      </w:r>
    </w:p>
    <w:p>
      <w:pPr>
        <w:ind w:firstLine="480"/>
      </w:pPr>
      <w:r>
        <w:t>（</w:t>
      </w:r>
      <w:r>
        <w:rPr>
          <w:rFonts w:hint="eastAsia"/>
        </w:rPr>
        <w:t>2</w:t>
      </w:r>
      <w:r>
        <w:t>）固体废弃物：病死猪尸体</w:t>
      </w:r>
      <w:r>
        <w:rPr>
          <w:rFonts w:hint="eastAsia"/>
        </w:rPr>
        <w:t>、防疫</w:t>
      </w:r>
      <w:r>
        <w:t>等固体废弃物如果不能得到妥善处理将对周围环境造成影响。</w:t>
      </w:r>
    </w:p>
    <w:p>
      <w:pPr>
        <w:ind w:firstLine="480"/>
      </w:pPr>
      <w:r>
        <w:rPr>
          <w:rFonts w:hint="eastAsia"/>
        </w:rPr>
        <w:t>（3）土地承载力分析。</w:t>
      </w:r>
    </w:p>
    <w:p>
      <w:pPr>
        <w:ind w:firstLine="482"/>
        <w:rPr>
          <w:b/>
          <w:bCs/>
        </w:rPr>
      </w:pPr>
      <w:r>
        <w:rPr>
          <w:rFonts w:hint="eastAsia"/>
          <w:b/>
          <w:bCs/>
        </w:rPr>
        <w:t>五、环境影响评价主要结论</w:t>
      </w:r>
    </w:p>
    <w:p>
      <w:pPr>
        <w:ind w:firstLine="480"/>
      </w:pPr>
      <w:r>
        <w:rPr>
          <w:rFonts w:hint="eastAsia"/>
        </w:rPr>
        <w:t>本项目采用微生物异位发酵床技术，对养殖粪尿进行微生物发酵处理，更换发酵床垫料</w:t>
      </w:r>
      <w:r>
        <w:t>作为有机农肥</w:t>
      </w:r>
      <w:r>
        <w:rPr>
          <w:rFonts w:hint="eastAsia"/>
        </w:rPr>
        <w:t>外售农机合作社综合利用，符合产业政策要求，社会经济效益明显。项目采用微生物异位发酵床生态养殖技术，将猪粪尿进行生物发酵处理，没有粪污排出猪舍，废弃发酵床垫料作为有机肥料外售有机肥厂，符合《国务院办公厅关于加快推进畜禽养殖废弃物资源化利用的意见》的相关要求，对环境的影响较小，在环境可承受的范围内。因此，只要建设单位认真贯彻执行国家和地方的环境保护法律法规，切实落实本评价提出的各项污染防治措施及风险防范措施，进一步加强日常环境管理和风险防控，可做到废气和噪声达标排放、粪污液渣全部综合利用，从环境保护技术角度而言，本项目的建设是可行的。</w:t>
      </w:r>
    </w:p>
    <w:p>
      <w:pPr>
        <w:ind w:firstLine="480"/>
        <w:rPr>
          <w:highlight w:val="yellow"/>
        </w:rPr>
      </w:pPr>
    </w:p>
    <w:p>
      <w:pPr>
        <w:ind w:firstLine="480"/>
        <w:rPr>
          <w:highlight w:val="yellow"/>
        </w:rPr>
      </w:pPr>
    </w:p>
    <w:p>
      <w:pPr>
        <w:pStyle w:val="2"/>
      </w:pPr>
      <w:r>
        <w:rPr>
          <w:highlight w:val="yellow"/>
        </w:rPr>
        <w:br w:type="page"/>
      </w:r>
      <w:bookmarkStart w:id="23" w:name="_Toc23774"/>
      <w:r>
        <w:rPr>
          <w:rFonts w:hint="eastAsia"/>
        </w:rPr>
        <w:t>第一章  总</w:t>
      </w:r>
      <w:bookmarkEnd w:id="0"/>
      <w:bookmarkEnd w:id="1"/>
      <w:bookmarkEnd w:id="2"/>
      <w:bookmarkEnd w:id="10"/>
      <w:r>
        <w:rPr>
          <w:rFonts w:hint="eastAsia"/>
        </w:rPr>
        <w:t>则</w:t>
      </w:r>
      <w:bookmarkEnd w:id="23"/>
    </w:p>
    <w:p>
      <w:pPr>
        <w:pStyle w:val="4"/>
        <w:spacing w:before="48" w:after="48"/>
      </w:pPr>
      <w:bookmarkStart w:id="24" w:name="_Toc6676"/>
      <w:r>
        <w:rPr>
          <w:rFonts w:hint="eastAsia"/>
        </w:rPr>
        <w:t>1.1评价原则</w:t>
      </w:r>
      <w:bookmarkEnd w:id="24"/>
    </w:p>
    <w:p>
      <w:pPr>
        <w:ind w:firstLine="480"/>
      </w:pPr>
      <w:r>
        <w:rPr>
          <w:rFonts w:hint="eastAsia"/>
        </w:rPr>
        <w:t>突出环境影响评价的源头预防作用，坚持保护和改善环境质量。</w:t>
      </w:r>
    </w:p>
    <w:p>
      <w:pPr>
        <w:ind w:firstLine="480"/>
      </w:pPr>
      <w:r>
        <w:rPr>
          <w:rFonts w:hint="eastAsia"/>
        </w:rPr>
        <w:t>（</w:t>
      </w:r>
      <w:r>
        <w:t>1</w:t>
      </w:r>
      <w:r>
        <w:rPr>
          <w:rFonts w:hint="eastAsia"/>
        </w:rPr>
        <w:t>）依法评价</w:t>
      </w:r>
    </w:p>
    <w:p>
      <w:pPr>
        <w:ind w:firstLine="480"/>
      </w:pPr>
      <w:r>
        <w:rPr>
          <w:rFonts w:hint="eastAsia"/>
        </w:rPr>
        <w:t>贯彻执行我国环境保护相关法律法规、标准、政策和规划等，优化项目建设，服务环境管理。</w:t>
      </w:r>
    </w:p>
    <w:p>
      <w:pPr>
        <w:ind w:firstLine="480"/>
      </w:pPr>
      <w:r>
        <w:rPr>
          <w:rFonts w:hint="eastAsia"/>
        </w:rPr>
        <w:t>（</w:t>
      </w:r>
      <w:r>
        <w:t>2</w:t>
      </w:r>
      <w:r>
        <w:rPr>
          <w:rFonts w:hint="eastAsia"/>
        </w:rPr>
        <w:t>）科学评价</w:t>
      </w:r>
    </w:p>
    <w:p>
      <w:pPr>
        <w:ind w:firstLine="480"/>
      </w:pPr>
      <w:r>
        <w:rPr>
          <w:rFonts w:hint="eastAsia"/>
        </w:rPr>
        <w:t>规范环境影响评价方法，科学分析项目建设对环境质量的影响。</w:t>
      </w:r>
    </w:p>
    <w:p>
      <w:pPr>
        <w:ind w:firstLine="480"/>
      </w:pPr>
      <w:r>
        <w:rPr>
          <w:rFonts w:hint="eastAsia"/>
        </w:rPr>
        <w:t>（</w:t>
      </w:r>
      <w:r>
        <w:t>3</w:t>
      </w:r>
      <w:r>
        <w:rPr>
          <w:rFonts w:hint="eastAsia"/>
        </w:rPr>
        <w:t>）突出重点</w:t>
      </w:r>
    </w:p>
    <w:p>
      <w:pPr>
        <w:ind w:firstLine="480"/>
      </w:pPr>
      <w:r>
        <w:rPr>
          <w:rFonts w:hint="eastAsia"/>
        </w:rPr>
        <w:t>根据建设项目的工程内容及其产排污特点，明确与环境要素间的作用效应关系，对建设项目主要环境影响予以重点分析和评价。</w:t>
      </w:r>
    </w:p>
    <w:p>
      <w:pPr>
        <w:pStyle w:val="4"/>
        <w:spacing w:before="48" w:after="48"/>
      </w:pPr>
      <w:bookmarkStart w:id="25" w:name="_Toc289344511"/>
      <w:bookmarkStart w:id="26" w:name="_Toc468689078"/>
      <w:bookmarkStart w:id="27" w:name="_Toc6884"/>
      <w:r>
        <w:rPr>
          <w:rFonts w:hint="eastAsia"/>
        </w:rPr>
        <w:t>1.2编制依据</w:t>
      </w:r>
      <w:bookmarkEnd w:id="25"/>
      <w:bookmarkEnd w:id="26"/>
      <w:bookmarkEnd w:id="27"/>
    </w:p>
    <w:p>
      <w:pPr>
        <w:pStyle w:val="5"/>
        <w:spacing w:before="48" w:after="48"/>
      </w:pPr>
      <w:bookmarkStart w:id="28" w:name="_Toc2644"/>
      <w:bookmarkStart w:id="29" w:name="_Toc249944901"/>
      <w:bookmarkStart w:id="30" w:name="_Toc249942727"/>
      <w:bookmarkStart w:id="31" w:name="_Toc468689079"/>
      <w:bookmarkStart w:id="32" w:name="_Toc27746"/>
      <w:bookmarkStart w:id="33" w:name="_Toc249943634"/>
      <w:bookmarkStart w:id="34" w:name="_Toc26564"/>
      <w:bookmarkStart w:id="35" w:name="_Toc7200"/>
      <w:bookmarkStart w:id="36" w:name="_Toc249945610"/>
      <w:bookmarkStart w:id="37" w:name="_Toc249946020"/>
      <w:bookmarkStart w:id="38" w:name="_Toc289329171"/>
      <w:bookmarkStart w:id="39" w:name="_Toc26902"/>
      <w:bookmarkStart w:id="40" w:name="_Toc288479609"/>
      <w:bookmarkStart w:id="41" w:name="_Toc288479967"/>
      <w:bookmarkStart w:id="42" w:name="_Toc2703"/>
      <w:bookmarkStart w:id="43" w:name="_Toc289344512"/>
      <w:r>
        <w:rPr>
          <w:rFonts w:hint="eastAsia"/>
        </w:rPr>
        <w:t>1.2.1法律、法规</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ind w:firstLine="480"/>
      </w:pPr>
      <w:r>
        <w:rPr>
          <w:rFonts w:hint="eastAsia"/>
        </w:rPr>
        <w:t>（</w:t>
      </w:r>
      <w:r>
        <w:t>1</w:t>
      </w:r>
      <w:r>
        <w:rPr>
          <w:rFonts w:hint="eastAsia"/>
        </w:rPr>
        <w:t>）《中华人民共和国环境保护法》（</w:t>
      </w:r>
      <w:r>
        <w:t>2015</w:t>
      </w:r>
      <w:r>
        <w:rPr>
          <w:rFonts w:hint="eastAsia"/>
        </w:rPr>
        <w:t>年</w:t>
      </w:r>
      <w:r>
        <w:t>1</w:t>
      </w:r>
      <w:r>
        <w:rPr>
          <w:rFonts w:hint="eastAsia"/>
        </w:rPr>
        <w:t>月</w:t>
      </w:r>
      <w:r>
        <w:t>1</w:t>
      </w:r>
      <w:r>
        <w:rPr>
          <w:rFonts w:hint="eastAsia"/>
        </w:rPr>
        <w:t>日实施）；</w:t>
      </w:r>
    </w:p>
    <w:p>
      <w:pPr>
        <w:ind w:firstLine="480"/>
      </w:pPr>
      <w:r>
        <w:rPr>
          <w:rFonts w:hint="eastAsia"/>
        </w:rPr>
        <w:t>（</w:t>
      </w:r>
      <w:r>
        <w:t>2</w:t>
      </w:r>
      <w:r>
        <w:rPr>
          <w:rFonts w:hint="eastAsia"/>
        </w:rPr>
        <w:t>）《中华人民共和国环境影响评价法》（2018年12月29日修订）；</w:t>
      </w:r>
    </w:p>
    <w:p>
      <w:pPr>
        <w:ind w:firstLine="480"/>
      </w:pPr>
      <w:bookmarkStart w:id="44" w:name="_Toc468689080"/>
      <w:r>
        <w:rPr>
          <w:rFonts w:hint="eastAsia"/>
        </w:rPr>
        <w:t>（</w:t>
      </w:r>
      <w:r>
        <w:t>3</w:t>
      </w:r>
      <w:r>
        <w:rPr>
          <w:rFonts w:hint="eastAsia"/>
        </w:rPr>
        <w:t>）《中华人民共和国水污染防治法》（</w:t>
      </w:r>
      <w:r>
        <w:t>2018</w:t>
      </w:r>
      <w:r>
        <w:rPr>
          <w:rFonts w:hint="eastAsia"/>
        </w:rPr>
        <w:t>年</w:t>
      </w:r>
      <w:r>
        <w:t>1</w:t>
      </w:r>
      <w:r>
        <w:rPr>
          <w:rFonts w:hint="eastAsia"/>
        </w:rPr>
        <w:t>月</w:t>
      </w:r>
      <w:r>
        <w:t>1</w:t>
      </w:r>
      <w:r>
        <w:rPr>
          <w:rFonts w:hint="eastAsia"/>
        </w:rPr>
        <w:t>日实施）；</w:t>
      </w:r>
      <w:bookmarkEnd w:id="44"/>
    </w:p>
    <w:p>
      <w:pPr>
        <w:ind w:firstLine="480"/>
      </w:pPr>
      <w:r>
        <w:rPr>
          <w:rFonts w:hint="eastAsia"/>
        </w:rPr>
        <w:t>（</w:t>
      </w:r>
      <w:r>
        <w:t>4</w:t>
      </w:r>
      <w:r>
        <w:rPr>
          <w:rFonts w:hint="eastAsia"/>
        </w:rPr>
        <w:t>）《中华人民共和国大气污染防治法》（</w:t>
      </w:r>
      <w:r>
        <w:t>2015</w:t>
      </w:r>
      <w:r>
        <w:rPr>
          <w:rFonts w:hint="eastAsia"/>
        </w:rPr>
        <w:t>年</w:t>
      </w:r>
      <w:r>
        <w:t>8</w:t>
      </w:r>
      <w:r>
        <w:rPr>
          <w:rFonts w:hint="eastAsia"/>
        </w:rPr>
        <w:t>月</w:t>
      </w:r>
      <w:r>
        <w:t>29</w:t>
      </w:r>
      <w:r>
        <w:rPr>
          <w:rFonts w:hint="eastAsia"/>
        </w:rPr>
        <w:t>日修订）；</w:t>
      </w:r>
    </w:p>
    <w:p>
      <w:pPr>
        <w:ind w:firstLine="480"/>
      </w:pPr>
      <w:r>
        <w:rPr>
          <w:rFonts w:hint="eastAsia"/>
        </w:rPr>
        <w:t>（</w:t>
      </w:r>
      <w:r>
        <w:t>5</w:t>
      </w:r>
      <w:r>
        <w:rPr>
          <w:rFonts w:hint="eastAsia"/>
        </w:rPr>
        <w:t>）</w:t>
      </w:r>
      <w:r>
        <w:t>《中华人民共和国固体废物污染环境防治法》</w:t>
      </w:r>
      <w:r>
        <w:rPr>
          <w:rFonts w:hint="eastAsia"/>
        </w:rPr>
        <w:t>（</w:t>
      </w:r>
      <w:r>
        <w:t>2020年4月29日修订</w:t>
      </w:r>
      <w:r>
        <w:rPr>
          <w:rFonts w:hint="eastAsia"/>
        </w:rPr>
        <w:t>）</w:t>
      </w:r>
      <w:r>
        <w:t>；</w:t>
      </w:r>
    </w:p>
    <w:p>
      <w:pPr>
        <w:ind w:firstLine="480"/>
      </w:pPr>
      <w:bookmarkStart w:id="45" w:name="_Toc468689081"/>
      <w:r>
        <w:rPr>
          <w:rFonts w:hint="eastAsia"/>
        </w:rPr>
        <w:t>（</w:t>
      </w:r>
      <w:r>
        <w:t>6</w:t>
      </w:r>
      <w:r>
        <w:rPr>
          <w:rFonts w:hint="eastAsia"/>
        </w:rPr>
        <w:t>）《中华人民共和国环境噪声污染防治法》（2019年</w:t>
      </w:r>
      <w:r>
        <w:t>1</w:t>
      </w:r>
      <w:r>
        <w:rPr>
          <w:rFonts w:hint="eastAsia"/>
        </w:rPr>
        <w:t>月11日）；</w:t>
      </w:r>
      <w:bookmarkEnd w:id="45"/>
    </w:p>
    <w:p>
      <w:pPr>
        <w:ind w:firstLine="480"/>
      </w:pPr>
      <w:bookmarkStart w:id="46" w:name="_Toc468689082"/>
      <w:r>
        <w:rPr>
          <w:rFonts w:hint="eastAsia"/>
        </w:rPr>
        <w:t>（</w:t>
      </w:r>
      <w:r>
        <w:t>7</w:t>
      </w:r>
      <w:r>
        <w:rPr>
          <w:rFonts w:hint="eastAsia"/>
        </w:rPr>
        <w:t>）《中华人民共和国水土保持法》（</w:t>
      </w:r>
      <w:r>
        <w:t>2011</w:t>
      </w:r>
      <w:r>
        <w:rPr>
          <w:rFonts w:hint="eastAsia"/>
        </w:rPr>
        <w:t>年</w:t>
      </w:r>
      <w:r>
        <w:t>3</w:t>
      </w:r>
      <w:r>
        <w:rPr>
          <w:rFonts w:hint="eastAsia"/>
        </w:rPr>
        <w:t>月</w:t>
      </w:r>
      <w:r>
        <w:t>1</w:t>
      </w:r>
      <w:r>
        <w:rPr>
          <w:rFonts w:hint="eastAsia"/>
        </w:rPr>
        <w:t>日）；</w:t>
      </w:r>
      <w:bookmarkEnd w:id="46"/>
    </w:p>
    <w:p>
      <w:pPr>
        <w:ind w:firstLine="480"/>
      </w:pPr>
      <w:r>
        <w:rPr>
          <w:rFonts w:hint="eastAsia"/>
        </w:rPr>
        <w:t>（</w:t>
      </w:r>
      <w:r>
        <w:t>8</w:t>
      </w:r>
      <w:r>
        <w:rPr>
          <w:rFonts w:hint="eastAsia"/>
        </w:rPr>
        <w:t>）《中华人民共和国水法》（</w:t>
      </w:r>
      <w:r>
        <w:t>2017</w:t>
      </w:r>
      <w:r>
        <w:rPr>
          <w:rFonts w:hint="eastAsia"/>
        </w:rPr>
        <w:t>年</w:t>
      </w:r>
      <w:r>
        <w:t>7</w:t>
      </w:r>
      <w:r>
        <w:rPr>
          <w:rFonts w:hint="eastAsia"/>
        </w:rPr>
        <w:t>月</w:t>
      </w:r>
      <w:r>
        <w:t>2</w:t>
      </w:r>
      <w:r>
        <w:rPr>
          <w:rFonts w:hint="eastAsia"/>
        </w:rPr>
        <w:t>日修订）；</w:t>
      </w:r>
    </w:p>
    <w:p>
      <w:pPr>
        <w:ind w:firstLine="480"/>
      </w:pPr>
      <w:bookmarkStart w:id="47" w:name="_Toc468689083"/>
      <w:r>
        <w:rPr>
          <w:rFonts w:hint="eastAsia"/>
        </w:rPr>
        <w:t>（</w:t>
      </w:r>
      <w:r>
        <w:t>9</w:t>
      </w:r>
      <w:r>
        <w:rPr>
          <w:rFonts w:hint="eastAsia"/>
        </w:rPr>
        <w:t>）《中华人民共和国畜牧法》（</w:t>
      </w:r>
      <w:r>
        <w:t>20</w:t>
      </w:r>
      <w:r>
        <w:rPr>
          <w:rFonts w:hint="eastAsia"/>
        </w:rPr>
        <w:t>1</w:t>
      </w:r>
      <w:r>
        <w:t>5</w:t>
      </w:r>
      <w:r>
        <w:rPr>
          <w:rFonts w:hint="eastAsia"/>
        </w:rPr>
        <w:t>年4月24日）；</w:t>
      </w:r>
      <w:bookmarkEnd w:id="47"/>
    </w:p>
    <w:p>
      <w:pPr>
        <w:ind w:firstLine="480"/>
      </w:pPr>
      <w:r>
        <w:rPr>
          <w:rFonts w:hint="eastAsia"/>
        </w:rPr>
        <w:t>（</w:t>
      </w:r>
      <w:r>
        <w:t>10</w:t>
      </w:r>
      <w:r>
        <w:rPr>
          <w:rFonts w:hint="eastAsia"/>
        </w:rPr>
        <w:t>）《中华人民共和国动物防疫法》（</w:t>
      </w:r>
      <w:r>
        <w:t>2007</w:t>
      </w:r>
      <w:r>
        <w:rPr>
          <w:rFonts w:hint="eastAsia"/>
        </w:rPr>
        <w:t>年</w:t>
      </w:r>
      <w:r>
        <w:t>8</w:t>
      </w:r>
      <w:r>
        <w:rPr>
          <w:rFonts w:hint="eastAsia"/>
        </w:rPr>
        <w:t>月</w:t>
      </w:r>
      <w:r>
        <w:t>30</w:t>
      </w:r>
      <w:r>
        <w:rPr>
          <w:rFonts w:hint="eastAsia"/>
        </w:rPr>
        <w:t>日）；</w:t>
      </w:r>
    </w:p>
    <w:p>
      <w:pPr>
        <w:ind w:firstLine="480"/>
      </w:pPr>
      <w:bookmarkStart w:id="48" w:name="_Toc468689084"/>
      <w:r>
        <w:rPr>
          <w:rFonts w:hint="eastAsia"/>
        </w:rPr>
        <w:t>（</w:t>
      </w:r>
      <w:r>
        <w:t>11</w:t>
      </w:r>
      <w:r>
        <w:rPr>
          <w:rFonts w:hint="eastAsia"/>
        </w:rPr>
        <w:t>）《中华人民共和国清洁生产促进法》（</w:t>
      </w:r>
      <w:r>
        <w:t>2012</w:t>
      </w:r>
      <w:r>
        <w:rPr>
          <w:rFonts w:hint="eastAsia"/>
        </w:rPr>
        <w:t>年</w:t>
      </w:r>
      <w:r>
        <w:t>2</w:t>
      </w:r>
      <w:r>
        <w:rPr>
          <w:rFonts w:hint="eastAsia"/>
        </w:rPr>
        <w:t>月</w:t>
      </w:r>
      <w:r>
        <w:t>29</w:t>
      </w:r>
      <w:r>
        <w:rPr>
          <w:rFonts w:hint="eastAsia"/>
        </w:rPr>
        <w:t>日修订）；</w:t>
      </w:r>
      <w:bookmarkEnd w:id="48"/>
    </w:p>
    <w:p>
      <w:pPr>
        <w:ind w:firstLine="480"/>
      </w:pPr>
      <w:r>
        <w:rPr>
          <w:rFonts w:hint="eastAsia"/>
        </w:rPr>
        <w:t>（</w:t>
      </w:r>
      <w:r>
        <w:t>12</w:t>
      </w:r>
      <w:r>
        <w:rPr>
          <w:rFonts w:hint="eastAsia"/>
        </w:rPr>
        <w:t>）《中华人民共和国循环经济促进法》（</w:t>
      </w:r>
      <w:r>
        <w:t>2009</w:t>
      </w:r>
      <w:r>
        <w:rPr>
          <w:rFonts w:hint="eastAsia"/>
        </w:rPr>
        <w:t>年</w:t>
      </w:r>
      <w:r>
        <w:t>1</w:t>
      </w:r>
      <w:r>
        <w:rPr>
          <w:rFonts w:hint="eastAsia"/>
        </w:rPr>
        <w:t>月</w:t>
      </w:r>
      <w:r>
        <w:t>1</w:t>
      </w:r>
      <w:r>
        <w:rPr>
          <w:rFonts w:hint="eastAsia"/>
        </w:rPr>
        <w:t>日）；</w:t>
      </w:r>
    </w:p>
    <w:p>
      <w:pPr>
        <w:ind w:firstLine="480"/>
      </w:pPr>
      <w:r>
        <w:rPr>
          <w:rFonts w:hint="eastAsia"/>
        </w:rPr>
        <w:t>（</w:t>
      </w:r>
      <w:r>
        <w:t>13</w:t>
      </w:r>
      <w:r>
        <w:rPr>
          <w:rFonts w:hint="eastAsia"/>
        </w:rPr>
        <w:t>）《建设项目环境保护管理条例》（国务院令第</w:t>
      </w:r>
      <w:r>
        <w:t>682</w:t>
      </w:r>
      <w:r>
        <w:rPr>
          <w:rFonts w:hint="eastAsia"/>
        </w:rPr>
        <w:t>号，</w:t>
      </w:r>
      <w:r>
        <w:t>2017</w:t>
      </w:r>
      <w:r>
        <w:rPr>
          <w:rFonts w:hint="eastAsia"/>
        </w:rPr>
        <w:t>年</w:t>
      </w:r>
      <w:r>
        <w:t>10</w:t>
      </w:r>
      <w:r>
        <w:rPr>
          <w:rFonts w:hint="eastAsia"/>
        </w:rPr>
        <w:t>月</w:t>
      </w:r>
      <w:r>
        <w:t>1</w:t>
      </w:r>
      <w:r>
        <w:rPr>
          <w:rFonts w:hint="eastAsia"/>
        </w:rPr>
        <w:t>日实施）；</w:t>
      </w:r>
    </w:p>
    <w:p>
      <w:pPr>
        <w:ind w:firstLine="480"/>
      </w:pPr>
      <w:r>
        <w:rPr>
          <w:rFonts w:hint="eastAsia"/>
        </w:rPr>
        <w:t>（</w:t>
      </w:r>
      <w:r>
        <w:t>14</w:t>
      </w:r>
      <w:r>
        <w:rPr>
          <w:rFonts w:hint="eastAsia"/>
        </w:rPr>
        <w:t>） 《畜禽规模养殖污染防治条例》（国务院令第</w:t>
      </w:r>
      <w:r>
        <w:t>643</w:t>
      </w:r>
      <w:r>
        <w:rPr>
          <w:rFonts w:hint="eastAsia"/>
        </w:rPr>
        <w:t>号，</w:t>
      </w:r>
      <w:r>
        <w:t>2014</w:t>
      </w:r>
      <w:r>
        <w:rPr>
          <w:rFonts w:hint="eastAsia"/>
        </w:rPr>
        <w:t>年</w:t>
      </w:r>
      <w:r>
        <w:t>1</w:t>
      </w:r>
      <w:r>
        <w:rPr>
          <w:rFonts w:hint="eastAsia"/>
        </w:rPr>
        <w:t>月</w:t>
      </w:r>
      <w:r>
        <w:t>1</w:t>
      </w:r>
      <w:r>
        <w:rPr>
          <w:rFonts w:hint="eastAsia"/>
        </w:rPr>
        <w:t>日）；</w:t>
      </w:r>
    </w:p>
    <w:p>
      <w:pPr>
        <w:ind w:firstLine="480"/>
      </w:pPr>
      <w:r>
        <w:rPr>
          <w:rFonts w:hint="eastAsia"/>
        </w:rPr>
        <w:t>（</w:t>
      </w:r>
      <w:r>
        <w:t>15</w:t>
      </w:r>
      <w:r>
        <w:rPr>
          <w:rFonts w:hint="eastAsia"/>
        </w:rPr>
        <w:t>）《湖南省环境保护条例》（</w:t>
      </w:r>
      <w:r>
        <w:t>201</w:t>
      </w:r>
      <w:r>
        <w:rPr>
          <w:rFonts w:hint="eastAsia"/>
        </w:rPr>
        <w:t>9年9月</w:t>
      </w:r>
      <w:r>
        <w:t>2</w:t>
      </w:r>
      <w:r>
        <w:rPr>
          <w:rFonts w:hint="eastAsia"/>
        </w:rPr>
        <w:t>9日修正）；</w:t>
      </w:r>
    </w:p>
    <w:p>
      <w:pPr>
        <w:ind w:firstLine="480"/>
      </w:pPr>
      <w:r>
        <w:rPr>
          <w:rFonts w:hint="eastAsia"/>
        </w:rPr>
        <w:t>（</w:t>
      </w:r>
      <w:r>
        <w:t>1</w:t>
      </w:r>
      <w:r>
        <w:rPr>
          <w:rFonts w:hint="eastAsia"/>
        </w:rPr>
        <w:t>6）《湖南省大气污染防治条例》</w:t>
      </w:r>
      <w:r>
        <w:t>(2017.6.1)</w:t>
      </w:r>
      <w:r>
        <w:rPr>
          <w:rFonts w:hint="eastAsia"/>
        </w:rPr>
        <w:t>。</w:t>
      </w:r>
    </w:p>
    <w:p>
      <w:pPr>
        <w:pStyle w:val="5"/>
        <w:spacing w:before="48" w:after="48"/>
      </w:pPr>
      <w:r>
        <w:rPr>
          <w:rFonts w:hint="eastAsia"/>
        </w:rPr>
        <w:t>1.2.2规章、政策</w:t>
      </w:r>
    </w:p>
    <w:p>
      <w:pPr>
        <w:ind w:firstLine="480"/>
      </w:pPr>
      <w:r>
        <w:rPr>
          <w:rFonts w:hint="eastAsia"/>
        </w:rPr>
        <w:t>（</w:t>
      </w:r>
      <w:r>
        <w:t>1</w:t>
      </w:r>
      <w:r>
        <w:rPr>
          <w:rFonts w:hint="eastAsia"/>
        </w:rPr>
        <w:t>）《环境影响评价公众参与办法》（生态环境部</w:t>
      </w:r>
      <w:r>
        <w:t>[20</w:t>
      </w:r>
      <w:r>
        <w:rPr>
          <w:rFonts w:hint="eastAsia"/>
        </w:rPr>
        <w:t>18</w:t>
      </w:r>
      <w:r>
        <w:t>]</w:t>
      </w:r>
      <w:r>
        <w:rPr>
          <w:rFonts w:hint="eastAsia"/>
        </w:rPr>
        <w:t>4号，</w:t>
      </w:r>
      <w:r>
        <w:t>20</w:t>
      </w:r>
      <w:r>
        <w:rPr>
          <w:rFonts w:hint="eastAsia"/>
        </w:rPr>
        <w:t>18</w:t>
      </w:r>
      <w:r>
        <w:t>.</w:t>
      </w:r>
      <w:r>
        <w:rPr>
          <w:rFonts w:hint="eastAsia"/>
        </w:rPr>
        <w:t>7.16</w:t>
      </w:r>
      <w:r>
        <w:t>)</w:t>
      </w:r>
      <w:r>
        <w:rPr>
          <w:rFonts w:hint="eastAsia"/>
        </w:rPr>
        <w:t>；</w:t>
      </w:r>
    </w:p>
    <w:p>
      <w:pPr>
        <w:ind w:firstLine="480"/>
      </w:pPr>
      <w:r>
        <w:rPr>
          <w:rFonts w:hint="eastAsia"/>
        </w:rPr>
        <w:t>（</w:t>
      </w:r>
      <w:r>
        <w:t>2</w:t>
      </w:r>
      <w:r>
        <w:rPr>
          <w:rFonts w:hint="eastAsia"/>
        </w:rPr>
        <w:t>）《建设项目环境影响评价信息公开机制方案》（环发</w:t>
      </w:r>
      <w:r>
        <w:t>[2015]162</w:t>
      </w:r>
      <w:r>
        <w:rPr>
          <w:rFonts w:hint="eastAsia"/>
        </w:rPr>
        <w:t>号，</w:t>
      </w:r>
      <w:r>
        <w:t>2015.12.15.</w:t>
      </w:r>
      <w:r>
        <w:rPr>
          <w:rFonts w:hint="eastAsia"/>
        </w:rPr>
        <w:t>）；</w:t>
      </w:r>
    </w:p>
    <w:p>
      <w:pPr>
        <w:ind w:firstLine="480"/>
      </w:pPr>
      <w:r>
        <w:rPr>
          <w:rFonts w:hint="eastAsia"/>
        </w:rPr>
        <w:t>（</w:t>
      </w:r>
      <w:r>
        <w:t>3</w:t>
      </w:r>
      <w:r>
        <w:rPr>
          <w:rFonts w:hint="eastAsia"/>
        </w:rPr>
        <w:t>）《关于加强环境影响评价管理防范环境风险的通知》，</w:t>
      </w:r>
      <w:r>
        <w:t>(</w:t>
      </w:r>
      <w:r>
        <w:rPr>
          <w:rFonts w:hint="eastAsia"/>
        </w:rPr>
        <w:t>环发</w:t>
      </w:r>
      <w:r>
        <w:t>[2012]77</w:t>
      </w:r>
      <w:r>
        <w:rPr>
          <w:rFonts w:hint="eastAsia"/>
        </w:rPr>
        <w:t>号，</w:t>
      </w:r>
      <w:r>
        <w:t>2012.7.3)</w:t>
      </w:r>
      <w:r>
        <w:rPr>
          <w:rFonts w:hint="eastAsia"/>
        </w:rPr>
        <w:t>；</w:t>
      </w:r>
    </w:p>
    <w:p>
      <w:pPr>
        <w:ind w:firstLine="480"/>
      </w:pPr>
      <w:bookmarkStart w:id="49" w:name="_Toc468689086"/>
      <w:r>
        <w:rPr>
          <w:rFonts w:hint="eastAsia"/>
        </w:rPr>
        <w:t>（</w:t>
      </w:r>
      <w:r>
        <w:t>4</w:t>
      </w:r>
      <w:r>
        <w:rPr>
          <w:rFonts w:hint="eastAsia"/>
        </w:rPr>
        <w:t>）</w:t>
      </w:r>
      <w:bookmarkEnd w:id="49"/>
      <w:r>
        <w:rPr>
          <w:rFonts w:hint="eastAsia"/>
        </w:rPr>
        <w:t>《关于印发</w:t>
      </w:r>
      <w:r>
        <w:t>&lt;</w:t>
      </w:r>
      <w:r>
        <w:rPr>
          <w:rFonts w:hint="eastAsia"/>
        </w:rPr>
        <w:t>病死及死因不明动物处置办法（试行）</w:t>
      </w:r>
      <w:r>
        <w:t>&gt;</w:t>
      </w:r>
      <w:r>
        <w:rPr>
          <w:rFonts w:hint="eastAsia"/>
        </w:rPr>
        <w:t>的通知》（农医发</w:t>
      </w:r>
      <w:r>
        <w:t>[2005]25</w:t>
      </w:r>
      <w:r>
        <w:rPr>
          <w:rFonts w:hint="eastAsia"/>
        </w:rPr>
        <w:t>号）；</w:t>
      </w:r>
    </w:p>
    <w:p>
      <w:pPr>
        <w:ind w:firstLine="480"/>
      </w:pPr>
      <w:r>
        <w:rPr>
          <w:rFonts w:hint="eastAsia"/>
        </w:rPr>
        <w:t>（</w:t>
      </w:r>
      <w:r>
        <w:t>5</w:t>
      </w:r>
      <w:r>
        <w:rPr>
          <w:rFonts w:hint="eastAsia"/>
        </w:rPr>
        <w:t>）《国务院办公厅关于建立病死畜禽无害化处理机制的意见》（国办发〔</w:t>
      </w:r>
      <w:r>
        <w:t>2014</w:t>
      </w:r>
      <w:r>
        <w:rPr>
          <w:rFonts w:hint="eastAsia"/>
        </w:rPr>
        <w:t>〕</w:t>
      </w:r>
      <w:r>
        <w:t>47</w:t>
      </w:r>
      <w:r>
        <w:rPr>
          <w:rFonts w:hint="eastAsia"/>
        </w:rPr>
        <w:t>号）；</w:t>
      </w:r>
    </w:p>
    <w:p>
      <w:pPr>
        <w:ind w:firstLine="480"/>
      </w:pPr>
      <w:r>
        <w:rPr>
          <w:rFonts w:hint="eastAsia"/>
        </w:rPr>
        <w:t>（</w:t>
      </w:r>
      <w:r>
        <w:t>6</w:t>
      </w:r>
      <w:r>
        <w:rPr>
          <w:rFonts w:hint="eastAsia"/>
        </w:rPr>
        <w:t>）《水污染防治行动计划》（国务院，</w:t>
      </w:r>
      <w:r>
        <w:t>2015</w:t>
      </w:r>
      <w:r>
        <w:rPr>
          <w:rFonts w:hint="eastAsia"/>
        </w:rPr>
        <w:t>年</w:t>
      </w:r>
      <w:r>
        <w:t>4</w:t>
      </w:r>
      <w:r>
        <w:rPr>
          <w:rFonts w:hint="eastAsia"/>
        </w:rPr>
        <w:t>月</w:t>
      </w:r>
      <w:r>
        <w:t>2</w:t>
      </w:r>
      <w:r>
        <w:rPr>
          <w:rFonts w:hint="eastAsia"/>
        </w:rPr>
        <w:t>日）；</w:t>
      </w:r>
    </w:p>
    <w:p>
      <w:pPr>
        <w:ind w:firstLine="480"/>
      </w:pPr>
      <w:r>
        <w:rPr>
          <w:rFonts w:hint="eastAsia"/>
        </w:rPr>
        <w:t>（</w:t>
      </w:r>
      <w:r>
        <w:t>7</w:t>
      </w:r>
      <w:r>
        <w:rPr>
          <w:rFonts w:hint="eastAsia"/>
        </w:rPr>
        <w:t>）《大气污染物防治行动计划》（国务院，</w:t>
      </w:r>
      <w:r>
        <w:t>2013</w:t>
      </w:r>
      <w:r>
        <w:rPr>
          <w:rFonts w:hint="eastAsia"/>
        </w:rPr>
        <w:t>年</w:t>
      </w:r>
      <w:r>
        <w:t>9</w:t>
      </w:r>
      <w:r>
        <w:rPr>
          <w:rFonts w:hint="eastAsia"/>
        </w:rPr>
        <w:t>月</w:t>
      </w:r>
      <w:r>
        <w:t>10</w:t>
      </w:r>
      <w:r>
        <w:rPr>
          <w:rFonts w:hint="eastAsia"/>
        </w:rPr>
        <w:t>日）；</w:t>
      </w:r>
    </w:p>
    <w:p>
      <w:pPr>
        <w:ind w:firstLine="480"/>
      </w:pPr>
      <w:r>
        <w:rPr>
          <w:rFonts w:hint="eastAsia"/>
        </w:rPr>
        <w:t>（</w:t>
      </w:r>
      <w:r>
        <w:t>8</w:t>
      </w:r>
      <w:r>
        <w:rPr>
          <w:rFonts w:hint="eastAsia"/>
        </w:rPr>
        <w:t>）《土壤污染防治行动计划》（国务院，</w:t>
      </w:r>
      <w:r>
        <w:t>2016</w:t>
      </w:r>
      <w:r>
        <w:rPr>
          <w:rFonts w:hint="eastAsia"/>
        </w:rPr>
        <w:t>年</w:t>
      </w:r>
      <w:r>
        <w:t>5</w:t>
      </w:r>
      <w:r>
        <w:rPr>
          <w:rFonts w:hint="eastAsia"/>
        </w:rPr>
        <w:t>月</w:t>
      </w:r>
      <w:r>
        <w:t>28</w:t>
      </w:r>
      <w:r>
        <w:rPr>
          <w:rFonts w:hint="eastAsia"/>
        </w:rPr>
        <w:t>日）；</w:t>
      </w:r>
    </w:p>
    <w:p>
      <w:pPr>
        <w:ind w:firstLine="480"/>
      </w:pPr>
      <w:r>
        <w:rPr>
          <w:rFonts w:hint="eastAsia"/>
        </w:rPr>
        <w:t>（</w:t>
      </w:r>
      <w:r>
        <w:t>9</w:t>
      </w:r>
      <w:r>
        <w:rPr>
          <w:rFonts w:hint="eastAsia"/>
        </w:rPr>
        <w:t>）《国务院关于加快推进畜禽养殖废弃物资源化利用的意见》，（国办发</w:t>
      </w:r>
      <w:r>
        <w:t>[2017]48</w:t>
      </w:r>
      <w:r>
        <w:rPr>
          <w:rFonts w:hint="eastAsia"/>
        </w:rPr>
        <w:t>号，</w:t>
      </w:r>
      <w:r>
        <w:t>2017</w:t>
      </w:r>
      <w:r>
        <w:rPr>
          <w:rFonts w:hint="eastAsia"/>
        </w:rPr>
        <w:t>年</w:t>
      </w:r>
      <w:r>
        <w:t>5</w:t>
      </w:r>
      <w:r>
        <w:rPr>
          <w:rFonts w:hint="eastAsia"/>
        </w:rPr>
        <w:t>月</w:t>
      </w:r>
      <w:r>
        <w:t>31</w:t>
      </w:r>
      <w:r>
        <w:rPr>
          <w:rFonts w:hint="eastAsia"/>
        </w:rPr>
        <w:t>日）；</w:t>
      </w:r>
    </w:p>
    <w:p>
      <w:pPr>
        <w:ind w:firstLine="480"/>
      </w:pPr>
      <w:r>
        <w:rPr>
          <w:rFonts w:hint="eastAsia"/>
        </w:rPr>
        <w:t>（</w:t>
      </w:r>
      <w:r>
        <w:t>10</w:t>
      </w:r>
      <w:r>
        <w:rPr>
          <w:rFonts w:hint="eastAsia"/>
        </w:rPr>
        <w:t>）《畜禽养殖业污染防治技术政策》（环发</w:t>
      </w:r>
      <w:r>
        <w:t>[2010]151</w:t>
      </w:r>
      <w:r>
        <w:rPr>
          <w:rFonts w:hint="eastAsia"/>
        </w:rPr>
        <w:t>号，</w:t>
      </w:r>
      <w:r>
        <w:t>2010</w:t>
      </w:r>
      <w:r>
        <w:rPr>
          <w:rFonts w:hint="eastAsia"/>
        </w:rPr>
        <w:t>年</w:t>
      </w:r>
      <w:r>
        <w:t>12</w:t>
      </w:r>
      <w:r>
        <w:rPr>
          <w:rFonts w:hint="eastAsia"/>
        </w:rPr>
        <w:t>月</w:t>
      </w:r>
      <w:r>
        <w:t>30</w:t>
      </w:r>
      <w:r>
        <w:rPr>
          <w:rFonts w:hint="eastAsia"/>
        </w:rPr>
        <w:t>日）；</w:t>
      </w:r>
    </w:p>
    <w:p>
      <w:pPr>
        <w:ind w:firstLine="480"/>
      </w:pPr>
      <w:r>
        <w:rPr>
          <w:rFonts w:hint="eastAsia"/>
        </w:rPr>
        <w:t>（</w:t>
      </w:r>
      <w:r>
        <w:t>11</w:t>
      </w:r>
      <w:r>
        <w:rPr>
          <w:rFonts w:hint="eastAsia"/>
        </w:rPr>
        <w:t>）《农业综合开发区域生态循环农业项目（</w:t>
      </w:r>
      <w:r>
        <w:t>2017-2020</w:t>
      </w:r>
      <w:r>
        <w:rPr>
          <w:rFonts w:hint="eastAsia"/>
        </w:rPr>
        <w:t>）》（农办计</w:t>
      </w:r>
      <w:r>
        <w:t xml:space="preserve"> [2016]93</w:t>
      </w:r>
      <w:r>
        <w:rPr>
          <w:rFonts w:hint="eastAsia"/>
        </w:rPr>
        <w:t>号，</w:t>
      </w:r>
      <w:r>
        <w:t>2016.9</w:t>
      </w:r>
      <w:r>
        <w:rPr>
          <w:rFonts w:hint="eastAsia"/>
        </w:rPr>
        <w:t>）；</w:t>
      </w:r>
    </w:p>
    <w:p>
      <w:pPr>
        <w:ind w:firstLine="480"/>
      </w:pPr>
      <w:r>
        <w:rPr>
          <w:rFonts w:hint="eastAsia"/>
        </w:rPr>
        <w:t>（</w:t>
      </w:r>
      <w:r>
        <w:t>12</w:t>
      </w:r>
      <w:r>
        <w:rPr>
          <w:rFonts w:hint="eastAsia"/>
        </w:rPr>
        <w:t>）</w:t>
      </w:r>
      <w:r>
        <w:t>《关于做好畜禽规模养殖项目环境影响评价管理工作的通知》（环办环评〔2018〕31号）</w:t>
      </w:r>
      <w:r>
        <w:rPr>
          <w:rFonts w:hint="eastAsia"/>
        </w:rPr>
        <w:t>；</w:t>
      </w:r>
    </w:p>
    <w:p>
      <w:pPr>
        <w:ind w:firstLine="480"/>
      </w:pPr>
      <w:r>
        <w:rPr>
          <w:rFonts w:hint="eastAsia"/>
        </w:rPr>
        <w:t>（</w:t>
      </w:r>
      <w:r>
        <w:t>13</w:t>
      </w:r>
      <w:r>
        <w:rPr>
          <w:rFonts w:hint="eastAsia"/>
        </w:rPr>
        <w:t>）《关于进一步规范畜禽养殖禁养区划定和管理促进生猪生产发展的通知》（生态环境部、农业农村部联合，环办土壤﹝2019﹞55号，2019.9）；</w:t>
      </w:r>
    </w:p>
    <w:p>
      <w:pPr>
        <w:ind w:firstLine="480"/>
      </w:pPr>
      <w:r>
        <w:rPr>
          <w:rFonts w:hint="eastAsia"/>
        </w:rPr>
        <w:t>（</w:t>
      </w:r>
      <w:r>
        <w:t>14</w:t>
      </w:r>
      <w:r>
        <w:rPr>
          <w:rFonts w:hint="eastAsia"/>
        </w:rPr>
        <w:t>）《环境保护部农业部关于进一步加强畜禽养殖污染防治工作的通知》（环水体〔</w:t>
      </w:r>
      <w:r>
        <w:t>2016</w:t>
      </w:r>
      <w:r>
        <w:rPr>
          <w:rFonts w:hint="eastAsia"/>
        </w:rPr>
        <w:t>〕</w:t>
      </w:r>
      <w:r>
        <w:t>144</w:t>
      </w:r>
      <w:r>
        <w:rPr>
          <w:rFonts w:hint="eastAsia"/>
        </w:rPr>
        <w:t>号</w:t>
      </w:r>
      <w:r>
        <w:t xml:space="preserve">) </w:t>
      </w:r>
      <w:r>
        <w:rPr>
          <w:rFonts w:hint="eastAsia"/>
        </w:rPr>
        <w:t>；</w:t>
      </w:r>
    </w:p>
    <w:p>
      <w:pPr>
        <w:ind w:firstLine="480"/>
      </w:pPr>
      <w:r>
        <w:rPr>
          <w:rFonts w:hint="eastAsia"/>
        </w:rPr>
        <w:t>（</w:t>
      </w:r>
      <w:r>
        <w:t>15</w:t>
      </w:r>
      <w:r>
        <w:rPr>
          <w:rFonts w:hint="eastAsia"/>
        </w:rPr>
        <w:t>）《农业部关于印发&lt;畜禽粪污资源化利用行动方案（2017—2020年）&gt;》(农牧发[2017]11号)；</w:t>
      </w:r>
    </w:p>
    <w:p>
      <w:pPr>
        <w:ind w:firstLine="480"/>
      </w:pPr>
      <w:r>
        <w:rPr>
          <w:rFonts w:hint="eastAsia"/>
        </w:rPr>
        <w:t>（16）《农业部办公厅关于印发&lt;畜禽粪污土地承载力测算技术指南&gt;、&lt;畜禽规模养殖场粪污资源化利用设施建设规范（试行）&gt;的通知》（农办牧[2018]1号）(农办牧[2018]2号)；</w:t>
      </w:r>
    </w:p>
    <w:p>
      <w:pPr>
        <w:ind w:firstLine="480"/>
      </w:pPr>
      <w:bookmarkStart w:id="50" w:name="_Toc468689088"/>
      <w:r>
        <w:rPr>
          <w:rFonts w:hint="eastAsia"/>
        </w:rPr>
        <w:t>（17）《国务院办公厅关于建立病死畜禽无害化处理机制的意见》（国办发〔</w:t>
      </w:r>
      <w:r>
        <w:t>2014〕47号）</w:t>
      </w:r>
      <w:r>
        <w:rPr>
          <w:rFonts w:hint="eastAsia"/>
        </w:rPr>
        <w:t>；</w:t>
      </w:r>
    </w:p>
    <w:p>
      <w:pPr>
        <w:ind w:firstLine="480"/>
      </w:pPr>
      <w:r>
        <w:rPr>
          <w:rFonts w:hint="eastAsia"/>
        </w:rPr>
        <w:t>（18）《湖南省人民政府办公厅关于建立病死畜禽无害化处理机制的实施意见》</w:t>
      </w:r>
      <w:r>
        <w:t>(湘政办发〔2015〕103号)</w:t>
      </w:r>
      <w:r>
        <w:rPr>
          <w:rFonts w:hint="eastAsia"/>
        </w:rPr>
        <w:t>；</w:t>
      </w:r>
    </w:p>
    <w:p>
      <w:pPr>
        <w:ind w:firstLine="480"/>
      </w:pPr>
      <w:r>
        <w:t>（</w:t>
      </w:r>
      <w:r>
        <w:rPr>
          <w:rFonts w:hint="eastAsia"/>
        </w:rPr>
        <w:t>19</w:t>
      </w:r>
      <w:r>
        <w:t>）</w:t>
      </w:r>
      <w:r>
        <w:rPr>
          <w:rFonts w:hint="eastAsia"/>
        </w:rPr>
        <w:t>《湖南省县级以上地表水集中式饮用水水源保护区划定方案》（湘政发</w:t>
      </w:r>
      <w:r>
        <w:t>[2016]176</w:t>
      </w:r>
      <w:r>
        <w:rPr>
          <w:rFonts w:hint="eastAsia"/>
        </w:rPr>
        <w:t>号）；</w:t>
      </w:r>
    </w:p>
    <w:p>
      <w:pPr>
        <w:ind w:firstLine="480"/>
      </w:pPr>
      <w:r>
        <w:rPr>
          <w:rFonts w:hint="eastAsia"/>
        </w:rPr>
        <w:t>（20）</w:t>
      </w:r>
      <w:bookmarkEnd w:id="50"/>
      <w:r>
        <w:rPr>
          <w:rFonts w:hint="eastAsia"/>
        </w:rPr>
        <w:t>《湖南省人民政府办公厅关于加快转型升级推进现代畜牧业发展的意见》（湘政办发〔</w:t>
      </w:r>
      <w:r>
        <w:t>2016</w:t>
      </w:r>
      <w:r>
        <w:rPr>
          <w:rFonts w:hint="eastAsia"/>
        </w:rPr>
        <w:t>〕</w:t>
      </w:r>
      <w:r>
        <w:t>27</w:t>
      </w:r>
      <w:r>
        <w:rPr>
          <w:rFonts w:hint="eastAsia"/>
        </w:rPr>
        <w:t>号）；</w:t>
      </w:r>
    </w:p>
    <w:p>
      <w:pPr>
        <w:ind w:firstLine="480"/>
      </w:pPr>
      <w:r>
        <w:rPr>
          <w:rFonts w:hint="eastAsia"/>
        </w:rPr>
        <w:t>（21）《湖南省畜禽规模养殖污染防治规定》（湘政办发〔</w:t>
      </w:r>
      <w:r>
        <w:t>2017</w:t>
      </w:r>
      <w:r>
        <w:rPr>
          <w:rFonts w:hint="eastAsia"/>
        </w:rPr>
        <w:t>〕</w:t>
      </w:r>
      <w:r>
        <w:t>29</w:t>
      </w:r>
      <w:r>
        <w:rPr>
          <w:rFonts w:hint="eastAsia"/>
        </w:rPr>
        <w:t>号）；</w:t>
      </w:r>
    </w:p>
    <w:p>
      <w:pPr>
        <w:ind w:firstLine="480"/>
      </w:pPr>
      <w:r>
        <w:rPr>
          <w:rFonts w:hint="eastAsia"/>
        </w:rPr>
        <w:t>（22）《湖南省人民政府关于印发&lt;湖南省生态保护红线&gt;的通知》（湘政发〔</w:t>
      </w:r>
      <w:r>
        <w:t>2018〕20号</w:t>
      </w:r>
      <w:r>
        <w:rPr>
          <w:rFonts w:hint="eastAsia"/>
        </w:rPr>
        <w:t>）；</w:t>
      </w:r>
    </w:p>
    <w:p>
      <w:pPr>
        <w:ind w:firstLine="480"/>
      </w:pPr>
      <w:r>
        <w:rPr>
          <w:rFonts w:hint="eastAsia"/>
        </w:rPr>
        <w:t>（23）</w:t>
      </w:r>
      <w:r>
        <w:t>《湖南省人民政府办公厅关于印发〈洞庭湖区养殖环境整治专项行动实施方案〉的通知》（湘政办函〔2016〕55号）</w:t>
      </w:r>
      <w:r>
        <w:rPr>
          <w:rFonts w:hint="eastAsia"/>
        </w:rPr>
        <w:t>；</w:t>
      </w:r>
    </w:p>
    <w:p>
      <w:pPr>
        <w:ind w:firstLine="480"/>
      </w:pPr>
      <w:r>
        <w:rPr>
          <w:rFonts w:hint="eastAsia"/>
        </w:rPr>
        <w:t>（24）《常德市大气污染防治行动计划实施方案》（常政办发</w:t>
      </w:r>
      <w:r>
        <w:t>[2014]13</w:t>
      </w:r>
      <w:r>
        <w:rPr>
          <w:rFonts w:hint="eastAsia"/>
        </w:rPr>
        <w:t>号文，</w:t>
      </w:r>
      <w:r>
        <w:t>2014.4.26)</w:t>
      </w:r>
      <w:r>
        <w:rPr>
          <w:rFonts w:hint="eastAsia"/>
        </w:rPr>
        <w:t>；</w:t>
      </w:r>
    </w:p>
    <w:p>
      <w:pPr>
        <w:ind w:firstLine="480"/>
      </w:pPr>
      <w:r>
        <w:rPr>
          <w:rFonts w:hint="eastAsia"/>
        </w:rPr>
        <w:t>（</w:t>
      </w:r>
      <w:r>
        <w:t>2</w:t>
      </w:r>
      <w:r>
        <w:rPr>
          <w:rFonts w:hint="eastAsia"/>
        </w:rPr>
        <w:t>5）《常德市贯彻落实</w:t>
      </w:r>
      <w:r>
        <w:t>&lt;</w:t>
      </w:r>
      <w:r>
        <w:rPr>
          <w:rFonts w:hint="eastAsia"/>
        </w:rPr>
        <w:t>水污染防治行动计划</w:t>
      </w:r>
      <w:r>
        <w:t>&gt;</w:t>
      </w:r>
      <w:r>
        <w:rPr>
          <w:rFonts w:hint="eastAsia"/>
        </w:rPr>
        <w:t>实施方案（</w:t>
      </w:r>
      <w:r>
        <w:t>2016-2020</w:t>
      </w:r>
      <w:r>
        <w:rPr>
          <w:rFonts w:hint="eastAsia"/>
        </w:rPr>
        <w:t>）》，（常政发〔</w:t>
      </w:r>
      <w:r>
        <w:t>2016</w:t>
      </w:r>
      <w:r>
        <w:rPr>
          <w:rFonts w:hint="eastAsia"/>
        </w:rPr>
        <w:t>〕</w:t>
      </w:r>
      <w:r>
        <w:t>11</w:t>
      </w:r>
      <w:r>
        <w:rPr>
          <w:rFonts w:hint="eastAsia"/>
        </w:rPr>
        <w:t>号，</w:t>
      </w:r>
      <w:r>
        <w:t>2016.7.3</w:t>
      </w:r>
      <w:r>
        <w:rPr>
          <w:rFonts w:hint="eastAsia"/>
        </w:rPr>
        <w:t>）；</w:t>
      </w:r>
    </w:p>
    <w:p>
      <w:pPr>
        <w:ind w:firstLine="480"/>
      </w:pPr>
      <w:r>
        <w:rPr>
          <w:rFonts w:hint="eastAsia"/>
        </w:rPr>
        <w:t>（</w:t>
      </w:r>
      <w:r>
        <w:t>2</w:t>
      </w:r>
      <w:r>
        <w:rPr>
          <w:rFonts w:hint="eastAsia"/>
        </w:rPr>
        <w:t>6）《常德市人民政府关于加强畜禽养殖污染防治促进畜牧业发展的意见》（常政发</w:t>
      </w:r>
      <w:r>
        <w:t>[2013]4</w:t>
      </w:r>
      <w:r>
        <w:rPr>
          <w:rFonts w:hint="eastAsia"/>
        </w:rPr>
        <w:t>号文，</w:t>
      </w:r>
      <w:r>
        <w:t>2013.1.24)</w:t>
      </w:r>
      <w:r>
        <w:rPr>
          <w:rFonts w:hint="eastAsia"/>
        </w:rPr>
        <w:t>；</w:t>
      </w:r>
    </w:p>
    <w:p>
      <w:pPr>
        <w:ind w:firstLine="480"/>
      </w:pPr>
      <w:r>
        <w:rPr>
          <w:rFonts w:hint="eastAsia"/>
        </w:rPr>
        <w:t>（</w:t>
      </w:r>
      <w:r>
        <w:t>2</w:t>
      </w:r>
      <w:r>
        <w:rPr>
          <w:rFonts w:hint="eastAsia"/>
        </w:rPr>
        <w:t>7）《常德市饮用水水源环境保护条例》（</w:t>
      </w:r>
      <w:r>
        <w:t>2017.1.10</w:t>
      </w:r>
      <w:r>
        <w:rPr>
          <w:rFonts w:hint="eastAsia"/>
        </w:rPr>
        <w:t>）；</w:t>
      </w:r>
    </w:p>
    <w:p>
      <w:pPr>
        <w:ind w:firstLine="480"/>
      </w:pPr>
      <w:r>
        <w:rPr>
          <w:rFonts w:hint="eastAsia"/>
        </w:rPr>
        <w:t>（</w:t>
      </w:r>
      <w:r>
        <w:t>2</w:t>
      </w:r>
      <w:r>
        <w:rPr>
          <w:rFonts w:hint="eastAsia"/>
        </w:rPr>
        <w:t>8）《常德市人民政府办公室关于印发&lt;常德市病死畜禽无害化处理体系建设实施方案&gt;的通知》（常政办发〔</w:t>
      </w:r>
      <w:r>
        <w:t>2017〕19号</w:t>
      </w:r>
      <w:r>
        <w:rPr>
          <w:rFonts w:hint="eastAsia"/>
        </w:rPr>
        <w:t>）；</w:t>
      </w:r>
    </w:p>
    <w:p>
      <w:pPr>
        <w:ind w:firstLine="480"/>
      </w:pPr>
      <w:r>
        <w:rPr>
          <w:rFonts w:hint="eastAsia"/>
        </w:rPr>
        <w:t>（</w:t>
      </w:r>
      <w:r>
        <w:t>2</w:t>
      </w:r>
      <w:r>
        <w:rPr>
          <w:rFonts w:hint="eastAsia"/>
        </w:rPr>
        <w:t>9）《澧县养殖环境整治专项行动实施方案》</w:t>
      </w:r>
      <w:r>
        <w:t>(2016.5.12)</w:t>
      </w:r>
      <w:r>
        <w:rPr>
          <w:rFonts w:hint="eastAsia"/>
        </w:rPr>
        <w:t>；</w:t>
      </w:r>
    </w:p>
    <w:p>
      <w:pPr>
        <w:ind w:firstLine="480"/>
      </w:pPr>
      <w:r>
        <w:rPr>
          <w:rFonts w:hint="eastAsia"/>
        </w:rPr>
        <w:t>（30）《澧县人民政府关于加强饮用水水源保护区管理的通告》，（澧政通告〔</w:t>
      </w:r>
      <w:r>
        <w:t>2015</w:t>
      </w:r>
      <w:r>
        <w:rPr>
          <w:rFonts w:hint="eastAsia"/>
        </w:rPr>
        <w:t>〕</w:t>
      </w:r>
      <w:r>
        <w:t>3</w:t>
      </w:r>
      <w:r>
        <w:rPr>
          <w:rFonts w:hint="eastAsia"/>
        </w:rPr>
        <w:t>号，</w:t>
      </w:r>
      <w:r>
        <w:t>2015.7.9)</w:t>
      </w:r>
      <w:r>
        <w:rPr>
          <w:rFonts w:hint="eastAsia"/>
        </w:rPr>
        <w:t>；</w:t>
      </w:r>
    </w:p>
    <w:p>
      <w:pPr>
        <w:ind w:firstLine="480"/>
      </w:pPr>
      <w:r>
        <w:rPr>
          <w:rFonts w:hint="eastAsia"/>
        </w:rPr>
        <w:t>（31）《澧县水环境功能区划》（澧政函</w:t>
      </w:r>
      <w:r>
        <w:t>[2014]59</w:t>
      </w:r>
      <w:r>
        <w:rPr>
          <w:rFonts w:hint="eastAsia"/>
        </w:rPr>
        <w:t>号），</w:t>
      </w:r>
      <w:r>
        <w:t>2014.6</w:t>
      </w:r>
      <w:r>
        <w:rPr>
          <w:rFonts w:hint="eastAsia"/>
        </w:rPr>
        <w:t>）；</w:t>
      </w:r>
    </w:p>
    <w:p>
      <w:pPr>
        <w:ind w:firstLine="480"/>
      </w:pPr>
      <w:r>
        <w:rPr>
          <w:rFonts w:hint="eastAsia"/>
        </w:rPr>
        <w:t>（32）《澧县大气污染防治行动计划实施方案》（澧政办发〔</w:t>
      </w:r>
      <w:r>
        <w:t>2014</w:t>
      </w:r>
      <w:r>
        <w:rPr>
          <w:rFonts w:hint="eastAsia"/>
        </w:rPr>
        <w:t>〕</w:t>
      </w:r>
      <w:r>
        <w:t>14</w:t>
      </w:r>
      <w:r>
        <w:rPr>
          <w:rFonts w:hint="eastAsia"/>
        </w:rPr>
        <w:t>号，</w:t>
      </w:r>
      <w:r>
        <w:t>2014.7.30</w:t>
      </w:r>
      <w:r>
        <w:rPr>
          <w:rFonts w:hint="eastAsia"/>
        </w:rPr>
        <w:t>）；</w:t>
      </w:r>
    </w:p>
    <w:p>
      <w:pPr>
        <w:ind w:firstLine="480"/>
      </w:pPr>
      <w:r>
        <w:rPr>
          <w:rFonts w:hint="eastAsia"/>
        </w:rPr>
        <w:t>（33）《澧县人民政府关于加强畜禽养殖污染防治促进畜牧业发展的意见》，（澧政发〔</w:t>
      </w:r>
      <w:r>
        <w:t>2013</w:t>
      </w:r>
      <w:r>
        <w:rPr>
          <w:rFonts w:hint="eastAsia"/>
        </w:rPr>
        <w:t>〕</w:t>
      </w:r>
      <w:r>
        <w:t>14</w:t>
      </w:r>
      <w:r>
        <w:rPr>
          <w:rFonts w:hint="eastAsia"/>
        </w:rPr>
        <w:t>号）；</w:t>
      </w:r>
    </w:p>
    <w:p>
      <w:pPr>
        <w:ind w:firstLine="480"/>
      </w:pPr>
      <w:r>
        <w:rPr>
          <w:rFonts w:hint="eastAsia"/>
        </w:rPr>
        <w:t>（34）</w:t>
      </w:r>
      <w:r>
        <w:t>《澧县人民政府关于印发&lt;澧县畜禽养殖禁养区限养区适养区划定方案&gt;的通知》（澧政发〔20</w:t>
      </w:r>
      <w:r>
        <w:rPr>
          <w:rFonts w:hint="eastAsia"/>
        </w:rPr>
        <w:t>20</w:t>
      </w:r>
      <w:r>
        <w:t>〕</w:t>
      </w:r>
      <w:r>
        <w:rPr>
          <w:rFonts w:hint="eastAsia"/>
        </w:rPr>
        <w:t>6</w:t>
      </w:r>
      <w:r>
        <w:t>号）</w:t>
      </w:r>
      <w:r>
        <w:rPr>
          <w:rFonts w:hint="eastAsia"/>
        </w:rPr>
        <w:t>，2020.4.17；</w:t>
      </w:r>
    </w:p>
    <w:p>
      <w:pPr>
        <w:ind w:firstLine="480"/>
      </w:pPr>
      <w:r>
        <w:rPr>
          <w:rFonts w:hint="eastAsia"/>
        </w:rPr>
        <w:t>（35）《关于保障生猪养殖用地有关问题的通知》（</w:t>
      </w:r>
      <w:r>
        <w:t>自然资发[2019]39号</w:t>
      </w:r>
      <w:r>
        <w:rPr>
          <w:rFonts w:hint="eastAsia"/>
        </w:rPr>
        <w:t>）</w:t>
      </w:r>
      <w:r>
        <w:t>源部办公厅</w:t>
      </w:r>
      <w:r>
        <w:rPr>
          <w:rFonts w:hint="eastAsia"/>
        </w:rPr>
        <w:t>，2019.9.4</w:t>
      </w:r>
      <w:r>
        <w:t>）；</w:t>
      </w:r>
    </w:p>
    <w:p>
      <w:pPr>
        <w:ind w:firstLine="480"/>
      </w:pPr>
      <w:r>
        <w:t>（3</w:t>
      </w:r>
      <w:r>
        <w:rPr>
          <w:rFonts w:hint="eastAsia"/>
        </w:rPr>
        <w:t>6</w:t>
      </w:r>
      <w:r>
        <w:t>）《加快生猪生产恢复发展三年行动方案》（农牧发[2019]39号</w:t>
      </w:r>
      <w:r>
        <w:rPr>
          <w:rFonts w:hint="eastAsia"/>
        </w:rPr>
        <w:t>，2019.12.4）；</w:t>
      </w:r>
    </w:p>
    <w:p>
      <w:pPr>
        <w:ind w:firstLine="480"/>
      </w:pPr>
      <w:r>
        <w:rPr>
          <w:rFonts w:hint="eastAsia"/>
        </w:rPr>
        <w:t>（37）《</w:t>
      </w:r>
      <w:r>
        <w:t>农业农村部关于调整动物防疫条件审查有关规定的通知</w:t>
      </w:r>
      <w:r>
        <w:rPr>
          <w:rFonts w:hint="eastAsia"/>
        </w:rPr>
        <w:t>》（农牧发[2019]42号，2019.12.19） 。</w:t>
      </w:r>
    </w:p>
    <w:p>
      <w:pPr>
        <w:pStyle w:val="5"/>
        <w:spacing w:before="48" w:after="48"/>
      </w:pPr>
      <w:bookmarkStart w:id="51" w:name="_Toc288479968"/>
      <w:bookmarkStart w:id="52" w:name="_Toc289329172"/>
      <w:bookmarkStart w:id="53" w:name="_Toc27277"/>
      <w:bookmarkStart w:id="54" w:name="_Toc249942728"/>
      <w:bookmarkStart w:id="55" w:name="_Toc249946021"/>
      <w:bookmarkStart w:id="56" w:name="_Toc288479610"/>
      <w:bookmarkStart w:id="57" w:name="_Toc249943635"/>
      <w:bookmarkStart w:id="58" w:name="_Toc24751"/>
      <w:bookmarkStart w:id="59" w:name="_Toc468689090"/>
      <w:bookmarkStart w:id="60" w:name="_Toc1802"/>
      <w:bookmarkStart w:id="61" w:name="_Toc249944902"/>
      <w:bookmarkStart w:id="62" w:name="_Toc16549"/>
      <w:bookmarkStart w:id="63" w:name="_Toc249945611"/>
      <w:bookmarkStart w:id="64" w:name="_Toc289344513"/>
      <w:bookmarkStart w:id="65" w:name="_Toc14468"/>
      <w:bookmarkStart w:id="66" w:name="_Toc771"/>
      <w:r>
        <w:rPr>
          <w:rFonts w:hint="eastAsia"/>
        </w:rPr>
        <w:t>1.2.3相关技术导则及规范</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pPr>
        <w:ind w:firstLine="480"/>
      </w:pPr>
      <w:r>
        <w:rPr>
          <w:rFonts w:hint="eastAsia"/>
        </w:rPr>
        <w:t>（</w:t>
      </w:r>
      <w:r>
        <w:t>1</w:t>
      </w:r>
      <w:r>
        <w:rPr>
          <w:rFonts w:hint="eastAsia"/>
        </w:rPr>
        <w:t>）《建设项目环境影响评价技术导则总纲》（</w:t>
      </w:r>
      <w:r>
        <w:t>HJ2.1-2016</w:t>
      </w:r>
      <w:r>
        <w:rPr>
          <w:rFonts w:hint="eastAsia"/>
        </w:rPr>
        <w:t>）；</w:t>
      </w:r>
    </w:p>
    <w:p>
      <w:pPr>
        <w:ind w:firstLine="480"/>
      </w:pPr>
      <w:bookmarkStart w:id="67" w:name="_Toc468689091"/>
      <w:r>
        <w:rPr>
          <w:rFonts w:hint="eastAsia"/>
        </w:rPr>
        <w:t>（</w:t>
      </w:r>
      <w:r>
        <w:t>2</w:t>
      </w:r>
      <w:r>
        <w:rPr>
          <w:rFonts w:hint="eastAsia"/>
        </w:rPr>
        <w:t>）《环境影响评价技术导则大气环境》（</w:t>
      </w:r>
      <w:r>
        <w:t>HJ2.2-20</w:t>
      </w:r>
      <w:r>
        <w:rPr>
          <w:rFonts w:hint="eastAsia"/>
        </w:rPr>
        <w:t>1</w:t>
      </w:r>
      <w:r>
        <w:t>8</w:t>
      </w:r>
      <w:r>
        <w:rPr>
          <w:rFonts w:hint="eastAsia"/>
        </w:rPr>
        <w:t>）；</w:t>
      </w:r>
      <w:bookmarkEnd w:id="67"/>
    </w:p>
    <w:p>
      <w:pPr>
        <w:ind w:firstLine="480"/>
      </w:pPr>
      <w:r>
        <w:rPr>
          <w:rFonts w:hint="eastAsia"/>
        </w:rPr>
        <w:t>（</w:t>
      </w:r>
      <w:r>
        <w:t>3</w:t>
      </w:r>
      <w:r>
        <w:rPr>
          <w:rFonts w:hint="eastAsia"/>
        </w:rPr>
        <w:t>）《环境影响评价技术导则地面水环境》（</w:t>
      </w:r>
      <w:r>
        <w:t>HJ2.3-</w:t>
      </w:r>
      <w:r>
        <w:rPr>
          <w:rFonts w:hint="eastAsia"/>
        </w:rPr>
        <w:t>2018）；</w:t>
      </w:r>
    </w:p>
    <w:p>
      <w:pPr>
        <w:ind w:firstLine="480"/>
      </w:pPr>
      <w:bookmarkStart w:id="68" w:name="_Toc468689092"/>
      <w:r>
        <w:rPr>
          <w:rFonts w:hint="eastAsia"/>
        </w:rPr>
        <w:t>（</w:t>
      </w:r>
      <w:r>
        <w:t>4</w:t>
      </w:r>
      <w:r>
        <w:rPr>
          <w:rFonts w:hint="eastAsia"/>
        </w:rPr>
        <w:t>）《环境影响评价技术导则地下水环境》（</w:t>
      </w:r>
      <w:r>
        <w:t>HJ610-2016</w:t>
      </w:r>
      <w:r>
        <w:rPr>
          <w:rFonts w:hint="eastAsia"/>
        </w:rPr>
        <w:t>）；</w:t>
      </w:r>
      <w:bookmarkEnd w:id="68"/>
    </w:p>
    <w:p>
      <w:pPr>
        <w:ind w:firstLine="480"/>
      </w:pPr>
      <w:r>
        <w:rPr>
          <w:rFonts w:hint="eastAsia"/>
        </w:rPr>
        <w:t>（</w:t>
      </w:r>
      <w:r>
        <w:t>5</w:t>
      </w:r>
      <w:r>
        <w:rPr>
          <w:rFonts w:hint="eastAsia"/>
        </w:rPr>
        <w:t>）《环境影响评价技术导则声环境》（</w:t>
      </w:r>
      <w:r>
        <w:t>HJ2.4-2009</w:t>
      </w:r>
      <w:r>
        <w:rPr>
          <w:rFonts w:hint="eastAsia"/>
        </w:rPr>
        <w:t>）；</w:t>
      </w:r>
    </w:p>
    <w:p>
      <w:pPr>
        <w:ind w:firstLine="480"/>
      </w:pPr>
      <w:bookmarkStart w:id="69" w:name="_Toc468689093"/>
      <w:r>
        <w:rPr>
          <w:rFonts w:hint="eastAsia"/>
        </w:rPr>
        <w:t>（</w:t>
      </w:r>
      <w:r>
        <w:t>6</w:t>
      </w:r>
      <w:r>
        <w:rPr>
          <w:rFonts w:hint="eastAsia"/>
        </w:rPr>
        <w:t>）《环境影响评价技术导则生态影响》（</w:t>
      </w:r>
      <w:r>
        <w:t>HJ19-201</w:t>
      </w:r>
      <w:r>
        <w:rPr>
          <w:rFonts w:hint="eastAsia"/>
        </w:rPr>
        <w:t>6）；</w:t>
      </w:r>
      <w:bookmarkEnd w:id="69"/>
    </w:p>
    <w:p>
      <w:pPr>
        <w:ind w:firstLine="480"/>
      </w:pPr>
      <w:r>
        <w:rPr>
          <w:rFonts w:hint="eastAsia"/>
        </w:rPr>
        <w:t>（</w:t>
      </w:r>
      <w:r>
        <w:t>7</w:t>
      </w:r>
      <w:r>
        <w:rPr>
          <w:rFonts w:hint="eastAsia"/>
        </w:rPr>
        <w:t>）《建设项目环境风险评价技术导则》（</w:t>
      </w:r>
      <w:r>
        <w:t>HJ169-20</w:t>
      </w:r>
      <w:r>
        <w:rPr>
          <w:rFonts w:hint="eastAsia"/>
        </w:rPr>
        <w:t>18）；</w:t>
      </w:r>
    </w:p>
    <w:p>
      <w:pPr>
        <w:ind w:firstLine="480"/>
      </w:pPr>
      <w:bookmarkStart w:id="70" w:name="_Toc468689094"/>
      <w:r>
        <w:rPr>
          <w:rFonts w:hint="eastAsia"/>
        </w:rPr>
        <w:t>（</w:t>
      </w:r>
      <w:r>
        <w:t>8</w:t>
      </w:r>
      <w:r>
        <w:rPr>
          <w:rFonts w:hint="eastAsia"/>
        </w:rPr>
        <w:t xml:space="preserve">）《环境影响评价技术导则土壤环境（试行）》（HJ 964—2018）； </w:t>
      </w:r>
      <w:bookmarkEnd w:id="70"/>
    </w:p>
    <w:p>
      <w:pPr>
        <w:ind w:firstLine="480"/>
      </w:pPr>
      <w:r>
        <w:rPr>
          <w:rFonts w:hint="eastAsia"/>
        </w:rPr>
        <w:t>（9）</w:t>
      </w:r>
      <w:bookmarkStart w:id="71" w:name="_Toc468689085"/>
      <w:r>
        <w:rPr>
          <w:rFonts w:hint="eastAsia"/>
        </w:rPr>
        <w:t>《建设项目环境影响评价分类管理名录》（</w:t>
      </w:r>
      <w:r>
        <w:t>201</w:t>
      </w:r>
      <w:r>
        <w:rPr>
          <w:rFonts w:hint="eastAsia"/>
        </w:rPr>
        <w:t>8年4月</w:t>
      </w:r>
      <w:r>
        <w:t>1</w:t>
      </w:r>
      <w:r>
        <w:rPr>
          <w:rFonts w:hint="eastAsia"/>
        </w:rPr>
        <w:t>8日修订）；</w:t>
      </w:r>
    </w:p>
    <w:bookmarkEnd w:id="71"/>
    <w:p>
      <w:pPr>
        <w:ind w:firstLine="480"/>
      </w:pPr>
      <w:r>
        <w:rPr>
          <w:rFonts w:hint="eastAsia"/>
        </w:rPr>
        <w:t>（10）</w:t>
      </w:r>
      <w:r>
        <w:rPr>
          <w:szCs w:val="20"/>
        </w:rPr>
        <w:t>《产业结构调整指导目录（201</w:t>
      </w:r>
      <w:r>
        <w:rPr>
          <w:rFonts w:hint="eastAsia"/>
          <w:szCs w:val="20"/>
        </w:rPr>
        <w:t>9</w:t>
      </w:r>
      <w:r>
        <w:rPr>
          <w:szCs w:val="20"/>
        </w:rPr>
        <w:t>年本）》</w:t>
      </w:r>
      <w:r>
        <w:rPr>
          <w:rFonts w:hint="eastAsia"/>
          <w:szCs w:val="20"/>
        </w:rPr>
        <w:t>国家发展和改革委员会令</w:t>
      </w:r>
      <w:r>
        <w:rPr>
          <w:szCs w:val="20"/>
        </w:rPr>
        <w:t>第</w:t>
      </w:r>
      <w:r>
        <w:rPr>
          <w:rFonts w:hint="eastAsia"/>
          <w:szCs w:val="20"/>
        </w:rPr>
        <w:t>29</w:t>
      </w:r>
      <w:r>
        <w:rPr>
          <w:szCs w:val="20"/>
        </w:rPr>
        <w:t>号，国家发展改革委，</w:t>
      </w:r>
      <w:r>
        <w:rPr>
          <w:rFonts w:hint="eastAsia"/>
          <w:szCs w:val="20"/>
        </w:rPr>
        <w:t>2020</w:t>
      </w:r>
      <w:r>
        <w:rPr>
          <w:szCs w:val="20"/>
        </w:rPr>
        <w:t>年</w:t>
      </w:r>
      <w:r>
        <w:rPr>
          <w:rFonts w:hint="eastAsia"/>
          <w:szCs w:val="20"/>
        </w:rPr>
        <w:t>1</w:t>
      </w:r>
      <w:r>
        <w:rPr>
          <w:szCs w:val="20"/>
        </w:rPr>
        <w:t>月1日实施</w:t>
      </w:r>
      <w:r>
        <w:rPr>
          <w:rFonts w:hint="eastAsia"/>
        </w:rPr>
        <w:t>；</w:t>
      </w:r>
    </w:p>
    <w:p>
      <w:pPr>
        <w:ind w:firstLine="480"/>
      </w:pPr>
      <w:bookmarkStart w:id="72" w:name="_Toc468689095"/>
      <w:r>
        <w:rPr>
          <w:rFonts w:hint="eastAsia"/>
        </w:rPr>
        <w:t>（</w:t>
      </w:r>
      <w:r>
        <w:t>1</w:t>
      </w:r>
      <w:r>
        <w:rPr>
          <w:rFonts w:hint="eastAsia"/>
        </w:rPr>
        <w:t>1）《高致病性禽流感疫情处置技术规范》（农业部</w:t>
      </w:r>
      <w:r>
        <w:t xml:space="preserve"> 2004.11.14</w:t>
      </w:r>
      <w:r>
        <w:rPr>
          <w:rFonts w:hint="eastAsia"/>
        </w:rPr>
        <w:t>）；</w:t>
      </w:r>
      <w:bookmarkEnd w:id="72"/>
    </w:p>
    <w:p>
      <w:pPr>
        <w:ind w:firstLine="480"/>
      </w:pPr>
      <w:r>
        <w:rPr>
          <w:rFonts w:hint="eastAsia"/>
        </w:rPr>
        <w:t>（</w:t>
      </w:r>
      <w:r>
        <w:t>1</w:t>
      </w:r>
      <w:r>
        <w:rPr>
          <w:rFonts w:hint="eastAsia"/>
        </w:rPr>
        <w:t>2） 《病死及病害动物无害化处理技术规范》（农医发</w:t>
      </w:r>
      <w:r>
        <w:t>[2017]25</w:t>
      </w:r>
      <w:r>
        <w:rPr>
          <w:rFonts w:hint="eastAsia"/>
        </w:rPr>
        <w:t>号，</w:t>
      </w:r>
      <w:r>
        <w:t>2017.7.3</w:t>
      </w:r>
      <w:r>
        <w:rPr>
          <w:rFonts w:hint="eastAsia"/>
        </w:rPr>
        <w:t>）；</w:t>
      </w:r>
    </w:p>
    <w:p>
      <w:pPr>
        <w:ind w:firstLine="480"/>
      </w:pPr>
      <w:r>
        <w:rPr>
          <w:rFonts w:hint="eastAsia"/>
        </w:rPr>
        <w:t>（</w:t>
      </w:r>
      <w:r>
        <w:t>1</w:t>
      </w:r>
      <w:r>
        <w:rPr>
          <w:rFonts w:hint="eastAsia"/>
        </w:rPr>
        <w:t>3）《湖南省主要水系地表水环境功能区划》（</w:t>
      </w:r>
      <w:r>
        <w:t>DB 43/023-2005</w:t>
      </w:r>
      <w:r>
        <w:rPr>
          <w:rFonts w:hint="eastAsia"/>
        </w:rPr>
        <w:t>）；</w:t>
      </w:r>
    </w:p>
    <w:p>
      <w:pPr>
        <w:ind w:firstLine="480"/>
      </w:pPr>
      <w:r>
        <w:rPr>
          <w:rFonts w:hint="eastAsia"/>
        </w:rPr>
        <w:t>（</w:t>
      </w:r>
      <w:r>
        <w:t>1</w:t>
      </w:r>
      <w:r>
        <w:rPr>
          <w:rFonts w:hint="eastAsia"/>
        </w:rPr>
        <w:t>4）《畜禽养殖业污染防治技术规范》（</w:t>
      </w:r>
      <w:r>
        <w:t>HJ/T8-2001</w:t>
      </w:r>
      <w:r>
        <w:rPr>
          <w:rFonts w:hint="eastAsia"/>
        </w:rPr>
        <w:t>）；</w:t>
      </w:r>
    </w:p>
    <w:p>
      <w:pPr>
        <w:ind w:firstLine="480"/>
      </w:pPr>
      <w:bookmarkStart w:id="73" w:name="_Toc468689097"/>
      <w:r>
        <w:rPr>
          <w:rFonts w:hint="eastAsia"/>
        </w:rPr>
        <w:t>（</w:t>
      </w:r>
      <w:r>
        <w:t>1</w:t>
      </w:r>
      <w:r>
        <w:rPr>
          <w:rFonts w:hint="eastAsia"/>
        </w:rPr>
        <w:t>5）《畜禽养殖业污染治理工程技术规范》（</w:t>
      </w:r>
      <w:r>
        <w:t>HJ497-2009</w:t>
      </w:r>
      <w:r>
        <w:rPr>
          <w:rFonts w:hint="eastAsia"/>
        </w:rPr>
        <w:t>）</w:t>
      </w:r>
      <w:bookmarkEnd w:id="73"/>
      <w:r>
        <w:rPr>
          <w:rFonts w:hint="eastAsia"/>
        </w:rPr>
        <w:t>；</w:t>
      </w:r>
    </w:p>
    <w:p>
      <w:pPr>
        <w:ind w:firstLine="480"/>
      </w:pPr>
      <w:r>
        <w:rPr>
          <w:rFonts w:hint="eastAsia"/>
        </w:rPr>
        <w:t>（16）《畜禽粪便无害化处理技术规范》（GB/T 36195—2018）</w:t>
      </w:r>
    </w:p>
    <w:p>
      <w:pPr>
        <w:ind w:firstLine="480"/>
      </w:pPr>
      <w:r>
        <w:rPr>
          <w:rFonts w:hint="eastAsia"/>
        </w:rPr>
        <w:t>（17）《粪便无害化卫生要求》（GB7959-2012）；</w:t>
      </w:r>
    </w:p>
    <w:p>
      <w:pPr>
        <w:ind w:firstLine="480"/>
      </w:pPr>
      <w:r>
        <w:rPr>
          <w:rFonts w:hint="eastAsia"/>
        </w:rPr>
        <w:t>（18）《规模畜禽养殖场污染防治最佳可行性技术指南（试行）》（HJ-BAT-10）；</w:t>
      </w:r>
    </w:p>
    <w:p>
      <w:pPr>
        <w:ind w:firstLine="480"/>
      </w:pPr>
      <w:r>
        <w:rPr>
          <w:rFonts w:hint="eastAsia"/>
        </w:rPr>
        <w:t>（19）《病害动物和病害动物产品生物安全处理规程》（</w:t>
      </w:r>
      <w:r>
        <w:t>GB16548-2006</w:t>
      </w:r>
      <w:r>
        <w:rPr>
          <w:rFonts w:hint="eastAsia"/>
        </w:rPr>
        <w:t>）；</w:t>
      </w:r>
    </w:p>
    <w:p>
      <w:pPr>
        <w:ind w:firstLine="480"/>
      </w:pPr>
      <w:r>
        <w:rPr>
          <w:rFonts w:hint="eastAsia"/>
        </w:rPr>
        <w:t>（20）《畜禽粪污土地承载力测算技术指南》（农办牧</w:t>
      </w:r>
      <w:r>
        <w:t>[2018]1号</w:t>
      </w:r>
      <w:r>
        <w:rPr>
          <w:rFonts w:hint="eastAsia"/>
        </w:rPr>
        <w:t>）；</w:t>
      </w:r>
    </w:p>
    <w:p>
      <w:pPr>
        <w:pStyle w:val="5"/>
        <w:spacing w:before="48" w:after="48"/>
      </w:pPr>
      <w:bookmarkStart w:id="74" w:name="_Toc12828"/>
      <w:bookmarkStart w:id="75" w:name="_Toc249943636"/>
      <w:bookmarkStart w:id="76" w:name="_Toc19521"/>
      <w:bookmarkStart w:id="77" w:name="_Toc249945612"/>
      <w:bookmarkStart w:id="78" w:name="_Toc468689098"/>
      <w:bookmarkStart w:id="79" w:name="_Toc249942729"/>
      <w:bookmarkStart w:id="80" w:name="_Toc20258"/>
      <w:bookmarkStart w:id="81" w:name="_Toc289329173"/>
      <w:bookmarkStart w:id="82" w:name="_Toc288479969"/>
      <w:bookmarkStart w:id="83" w:name="_Toc15144"/>
      <w:bookmarkStart w:id="84" w:name="_Toc249946022"/>
      <w:bookmarkStart w:id="85" w:name="_Toc28006"/>
      <w:bookmarkStart w:id="86" w:name="_Toc249944903"/>
      <w:bookmarkStart w:id="87" w:name="_Toc289344514"/>
      <w:bookmarkStart w:id="88" w:name="_Toc288479611"/>
      <w:bookmarkStart w:id="89" w:name="_Toc23862"/>
      <w:r>
        <w:rPr>
          <w:rFonts w:hint="eastAsia"/>
        </w:rPr>
        <w:t>1.2.4技术性文件及相关资料</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ind w:firstLine="480"/>
      </w:pPr>
      <w:r>
        <w:rPr>
          <w:rFonts w:hint="eastAsia"/>
        </w:rPr>
        <w:t>（</w:t>
      </w:r>
      <w:r>
        <w:t>1</w:t>
      </w:r>
      <w:r>
        <w:rPr>
          <w:rFonts w:hint="eastAsia"/>
        </w:rPr>
        <w:t>）环评委托书；</w:t>
      </w:r>
    </w:p>
    <w:p>
      <w:pPr>
        <w:ind w:firstLine="480"/>
      </w:pPr>
      <w:r>
        <w:rPr>
          <w:rFonts w:hint="eastAsia"/>
        </w:rPr>
        <w:t>（</w:t>
      </w:r>
      <w:r>
        <w:t>2</w:t>
      </w:r>
      <w:r>
        <w:rPr>
          <w:rFonts w:hint="eastAsia"/>
        </w:rPr>
        <w:t>）环境影响评价执行标准的函；</w:t>
      </w:r>
    </w:p>
    <w:p>
      <w:pPr>
        <w:ind w:firstLine="480"/>
      </w:pPr>
      <w:r>
        <w:rPr>
          <w:rFonts w:hint="eastAsia"/>
        </w:rPr>
        <w:t>（</w:t>
      </w:r>
      <w:r>
        <w:t>3</w:t>
      </w:r>
      <w:r>
        <w:rPr>
          <w:rFonts w:hint="eastAsia"/>
        </w:rPr>
        <w:t>）建设方提供的其他相关资料。</w:t>
      </w:r>
      <w:bookmarkStart w:id="90" w:name="_Toc220122767"/>
      <w:bookmarkStart w:id="91" w:name="_Toc219258493"/>
      <w:bookmarkStart w:id="92" w:name="_Toc249433214"/>
      <w:bookmarkStart w:id="93" w:name="_Toc289344517"/>
      <w:bookmarkStart w:id="94" w:name="_Toc468689105"/>
    </w:p>
    <w:p>
      <w:pPr>
        <w:pStyle w:val="4"/>
        <w:spacing w:before="48" w:after="48"/>
      </w:pPr>
      <w:bookmarkStart w:id="95" w:name="_Toc26828"/>
      <w:r>
        <w:rPr>
          <w:rFonts w:hint="eastAsia"/>
        </w:rPr>
        <w:t>1.3评价因子筛选</w:t>
      </w:r>
      <w:bookmarkEnd w:id="90"/>
      <w:bookmarkEnd w:id="91"/>
      <w:bookmarkEnd w:id="92"/>
      <w:bookmarkEnd w:id="93"/>
      <w:bookmarkEnd w:id="94"/>
      <w:r>
        <w:rPr>
          <w:rFonts w:hint="eastAsia"/>
        </w:rPr>
        <w:t>及评价标准</w:t>
      </w:r>
      <w:bookmarkEnd w:id="95"/>
      <w:bookmarkStart w:id="96" w:name="_Toc468689108"/>
    </w:p>
    <w:p>
      <w:pPr>
        <w:pStyle w:val="5"/>
        <w:spacing w:before="48" w:after="48"/>
      </w:pPr>
      <w:r>
        <w:rPr>
          <w:rFonts w:hint="eastAsia"/>
        </w:rPr>
        <w:t>1.3.1评价因子筛选</w:t>
      </w:r>
      <w:bookmarkEnd w:id="96"/>
    </w:p>
    <w:p>
      <w:pPr>
        <w:ind w:firstLine="480"/>
      </w:pPr>
      <w:r>
        <w:rPr>
          <w:rFonts w:hint="eastAsia"/>
        </w:rPr>
        <w:t>根据工程性质、污染物排放特点和环境特征，确定本项目评价因子，评价因子见表1.3-1。</w:t>
      </w:r>
    </w:p>
    <w:p>
      <w:pPr>
        <w:pStyle w:val="11"/>
      </w:pPr>
      <w:r>
        <w:t xml:space="preserve">表1.3- </w:t>
      </w:r>
      <w:r>
        <w:fldChar w:fldCharType="begin"/>
      </w:r>
      <w:r>
        <w:instrText xml:space="preserve"> SEQ 表1.3- \* ARABIC </w:instrText>
      </w:r>
      <w:r>
        <w:fldChar w:fldCharType="separate"/>
      </w:r>
      <w:r>
        <w:t>1</w:t>
      </w:r>
      <w:r>
        <w:fldChar w:fldCharType="end"/>
      </w:r>
      <w:r>
        <w:rPr>
          <w:rFonts w:hint="eastAsia"/>
        </w:rPr>
        <w:t xml:space="preserve">  环境评价因子筛选</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1"/>
        <w:gridCol w:w="5397"/>
        <w:gridCol w:w="23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01" w:type="dxa"/>
            <w:vMerge w:val="restart"/>
            <w:tcMar>
              <w:left w:w="28" w:type="dxa"/>
              <w:right w:w="28" w:type="dxa"/>
            </w:tcMar>
            <w:vAlign w:val="center"/>
          </w:tcPr>
          <w:p>
            <w:pPr>
              <w:pStyle w:val="8"/>
              <w:ind w:firstLine="0" w:firstLineChars="0"/>
            </w:pPr>
            <w:r>
              <w:rPr>
                <w:rFonts w:hint="eastAsia"/>
              </w:rPr>
              <w:t>环境要素</w:t>
            </w:r>
          </w:p>
        </w:tc>
        <w:tc>
          <w:tcPr>
            <w:tcW w:w="7730" w:type="dxa"/>
            <w:gridSpan w:val="2"/>
            <w:tcMar>
              <w:left w:w="28" w:type="dxa"/>
              <w:right w:w="28" w:type="dxa"/>
            </w:tcMar>
            <w:vAlign w:val="center"/>
          </w:tcPr>
          <w:p>
            <w:pPr>
              <w:pStyle w:val="8"/>
              <w:ind w:firstLine="0" w:firstLineChars="0"/>
            </w:pPr>
            <w:r>
              <w:rPr>
                <w:rFonts w:hint="eastAsia"/>
              </w:rPr>
              <w:t>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001" w:type="dxa"/>
            <w:vMerge w:val="continue"/>
            <w:tcMar>
              <w:left w:w="28" w:type="dxa"/>
              <w:right w:w="28" w:type="dxa"/>
            </w:tcMar>
            <w:vAlign w:val="center"/>
          </w:tcPr>
          <w:p>
            <w:pPr>
              <w:pStyle w:val="8"/>
              <w:ind w:firstLine="0" w:firstLineChars="0"/>
            </w:pPr>
          </w:p>
        </w:tc>
        <w:tc>
          <w:tcPr>
            <w:tcW w:w="5397" w:type="dxa"/>
            <w:tcMar>
              <w:left w:w="28" w:type="dxa"/>
              <w:right w:w="28" w:type="dxa"/>
            </w:tcMar>
            <w:vAlign w:val="center"/>
          </w:tcPr>
          <w:p>
            <w:pPr>
              <w:pStyle w:val="8"/>
              <w:ind w:firstLine="0" w:firstLineChars="0"/>
            </w:pPr>
            <w:r>
              <w:rPr>
                <w:rFonts w:hint="eastAsia"/>
              </w:rPr>
              <w:t>现状评价因子</w:t>
            </w:r>
          </w:p>
        </w:tc>
        <w:tc>
          <w:tcPr>
            <w:tcW w:w="2333" w:type="dxa"/>
            <w:tcMar>
              <w:left w:w="28" w:type="dxa"/>
              <w:right w:w="28" w:type="dxa"/>
            </w:tcMar>
            <w:vAlign w:val="center"/>
          </w:tcPr>
          <w:p>
            <w:pPr>
              <w:pStyle w:val="8"/>
              <w:ind w:firstLine="0" w:firstLineChars="0"/>
            </w:pPr>
            <w:r>
              <w:rPr>
                <w:rFonts w:hint="eastAsia"/>
              </w:rPr>
              <w:t>影响评价因子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001" w:type="dxa"/>
            <w:tcMar>
              <w:left w:w="28" w:type="dxa"/>
              <w:right w:w="28" w:type="dxa"/>
            </w:tcMar>
            <w:vAlign w:val="center"/>
          </w:tcPr>
          <w:p>
            <w:pPr>
              <w:pStyle w:val="8"/>
              <w:ind w:firstLine="0" w:firstLineChars="0"/>
            </w:pPr>
            <w:r>
              <w:rPr>
                <w:rFonts w:hint="eastAsia"/>
              </w:rPr>
              <w:t>环境空气</w:t>
            </w:r>
          </w:p>
        </w:tc>
        <w:tc>
          <w:tcPr>
            <w:tcW w:w="5397" w:type="dxa"/>
            <w:tcMar>
              <w:left w:w="28" w:type="dxa"/>
              <w:right w:w="28" w:type="dxa"/>
            </w:tcMar>
            <w:vAlign w:val="center"/>
          </w:tcPr>
          <w:p>
            <w:pPr>
              <w:pStyle w:val="8"/>
              <w:ind w:firstLine="0" w:firstLineChars="0"/>
            </w:pPr>
            <w:r>
              <w:t>NO</w:t>
            </w:r>
            <w:r>
              <w:rPr>
                <w:vertAlign w:val="subscript"/>
              </w:rPr>
              <w:t>2</w:t>
            </w:r>
            <w:r>
              <w:rPr>
                <w:rFonts w:hint="eastAsia"/>
              </w:rPr>
              <w:t>、</w:t>
            </w:r>
            <w:r>
              <w:t>SO</w:t>
            </w:r>
            <w:r>
              <w:rPr>
                <w:vertAlign w:val="subscript"/>
              </w:rPr>
              <w:t>2</w:t>
            </w:r>
            <w:r>
              <w:rPr>
                <w:rFonts w:hint="eastAsia"/>
              </w:rPr>
              <w:t>、</w:t>
            </w:r>
            <w:r>
              <w:t>PM</w:t>
            </w:r>
            <w:r>
              <w:rPr>
                <w:vertAlign w:val="subscript"/>
              </w:rPr>
              <w:t>10</w:t>
            </w:r>
            <w:r>
              <w:rPr>
                <w:rFonts w:hint="eastAsia"/>
              </w:rPr>
              <w:t>、</w:t>
            </w:r>
            <w:r>
              <w:t>NH</w:t>
            </w:r>
            <w:r>
              <w:rPr>
                <w:vertAlign w:val="subscript"/>
              </w:rPr>
              <w:t>3</w:t>
            </w:r>
            <w:r>
              <w:rPr>
                <w:rFonts w:hint="eastAsia"/>
              </w:rPr>
              <w:t>、</w:t>
            </w:r>
            <w:r>
              <w:t>H</w:t>
            </w:r>
            <w:r>
              <w:rPr>
                <w:vertAlign w:val="subscript"/>
              </w:rPr>
              <w:t>2</w:t>
            </w:r>
            <w:r>
              <w:t>S</w:t>
            </w:r>
          </w:p>
        </w:tc>
        <w:tc>
          <w:tcPr>
            <w:tcW w:w="2333" w:type="dxa"/>
            <w:tcMar>
              <w:left w:w="28" w:type="dxa"/>
              <w:right w:w="28" w:type="dxa"/>
            </w:tcMar>
            <w:vAlign w:val="center"/>
          </w:tcPr>
          <w:p>
            <w:pPr>
              <w:pStyle w:val="8"/>
              <w:ind w:firstLine="0" w:firstLineChars="0"/>
            </w:pPr>
            <w:r>
              <w:t>NH</w:t>
            </w:r>
            <w:r>
              <w:rPr>
                <w:vertAlign w:val="subscript"/>
              </w:rPr>
              <w:t>3</w:t>
            </w:r>
            <w:r>
              <w:rPr>
                <w:rFonts w:hint="eastAsia"/>
              </w:rPr>
              <w:t>、</w:t>
            </w:r>
            <w:r>
              <w:t>H</w:t>
            </w:r>
            <w:r>
              <w:rPr>
                <w:vertAlign w:val="subscript"/>
              </w:rPr>
              <w:t>2</w:t>
            </w:r>
            <w: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1001" w:type="dxa"/>
            <w:tcMar>
              <w:left w:w="28" w:type="dxa"/>
              <w:right w:w="28" w:type="dxa"/>
            </w:tcMar>
            <w:vAlign w:val="center"/>
          </w:tcPr>
          <w:p>
            <w:pPr>
              <w:pStyle w:val="8"/>
              <w:ind w:firstLine="0" w:firstLineChars="0"/>
            </w:pPr>
            <w:r>
              <w:rPr>
                <w:rFonts w:hint="eastAsia"/>
              </w:rPr>
              <w:t>地表水</w:t>
            </w:r>
          </w:p>
        </w:tc>
        <w:tc>
          <w:tcPr>
            <w:tcW w:w="5397" w:type="dxa"/>
            <w:tcMar>
              <w:left w:w="28" w:type="dxa"/>
              <w:right w:w="28" w:type="dxa"/>
            </w:tcMar>
            <w:vAlign w:val="center"/>
          </w:tcPr>
          <w:p>
            <w:pPr>
              <w:pStyle w:val="8"/>
              <w:ind w:firstLine="0" w:firstLineChars="0"/>
            </w:pPr>
            <w:r>
              <w:t>pH</w:t>
            </w:r>
            <w:r>
              <w:rPr>
                <w:rFonts w:hint="eastAsia"/>
              </w:rPr>
              <w:t>、</w:t>
            </w:r>
            <w:r>
              <w:t>CODcr</w:t>
            </w:r>
            <w:r>
              <w:rPr>
                <w:rFonts w:hint="eastAsia"/>
              </w:rPr>
              <w:t>、</w:t>
            </w:r>
            <w:r>
              <w:t>BOD</w:t>
            </w:r>
            <w:r>
              <w:rPr>
                <w:vertAlign w:val="subscript"/>
              </w:rPr>
              <w:t>5</w:t>
            </w:r>
            <w:r>
              <w:rPr>
                <w:rFonts w:hint="eastAsia"/>
              </w:rPr>
              <w:t>、氨氮、总磷、粪大肠菌群</w:t>
            </w:r>
          </w:p>
        </w:tc>
        <w:tc>
          <w:tcPr>
            <w:tcW w:w="2333" w:type="dxa"/>
            <w:tcMar>
              <w:left w:w="28" w:type="dxa"/>
              <w:right w:w="28" w:type="dxa"/>
            </w:tcMar>
            <w:vAlign w:val="center"/>
          </w:tcPr>
          <w:p>
            <w:pPr>
              <w:pStyle w:val="8"/>
              <w:ind w:firstLine="0" w:firstLineChars="0"/>
            </w:pPr>
            <w:r>
              <w:t>CODcr</w:t>
            </w:r>
            <w:r>
              <w:rPr>
                <w:rFonts w:hint="eastAsia"/>
              </w:rPr>
              <w:t>、</w:t>
            </w:r>
            <w:r>
              <w:t>BOD</w:t>
            </w:r>
            <w:r>
              <w:rPr>
                <w:vertAlign w:val="subscript"/>
              </w:rPr>
              <w:t>5</w:t>
            </w:r>
            <w:r>
              <w:rPr>
                <w:rFonts w:hint="eastAsia"/>
              </w:rPr>
              <w:t>、氨氮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001" w:type="dxa"/>
            <w:tcMar>
              <w:left w:w="28" w:type="dxa"/>
              <w:right w:w="28" w:type="dxa"/>
            </w:tcMar>
            <w:vAlign w:val="center"/>
          </w:tcPr>
          <w:p>
            <w:pPr>
              <w:pStyle w:val="8"/>
              <w:ind w:firstLine="0" w:firstLineChars="0"/>
            </w:pPr>
            <w:r>
              <w:rPr>
                <w:rFonts w:hint="eastAsia"/>
              </w:rPr>
              <w:t>地下水</w:t>
            </w:r>
          </w:p>
        </w:tc>
        <w:tc>
          <w:tcPr>
            <w:tcW w:w="5397" w:type="dxa"/>
            <w:tcMar>
              <w:left w:w="28" w:type="dxa"/>
              <w:right w:w="28" w:type="dxa"/>
            </w:tcMar>
            <w:vAlign w:val="center"/>
          </w:tcPr>
          <w:p>
            <w:pPr>
              <w:pStyle w:val="8"/>
              <w:ind w:firstLine="0" w:firstLineChars="0"/>
            </w:pPr>
            <w:r>
              <w:t>pH</w:t>
            </w:r>
            <w:r>
              <w:rPr>
                <w:rFonts w:hint="eastAsia"/>
              </w:rPr>
              <w:t>、耗氧量（</w:t>
            </w:r>
            <w:r>
              <w:t>COD</w:t>
            </w:r>
            <w:r>
              <w:rPr>
                <w:rFonts w:hint="eastAsia"/>
                <w:vertAlign w:val="subscript"/>
              </w:rPr>
              <w:t>Mn</w:t>
            </w:r>
            <w:r>
              <w:rPr>
                <w:rFonts w:hint="eastAsia"/>
              </w:rPr>
              <w:t>法）、氨氮、</w:t>
            </w:r>
            <w:r>
              <w:t>Pb、Cd、As、硝酸盐、亚硝酸盐、Cr</w:t>
            </w:r>
            <w:r>
              <w:rPr>
                <w:vertAlign w:val="superscript"/>
              </w:rPr>
              <w:t>6+</w:t>
            </w:r>
            <w:r>
              <w:t>、</w:t>
            </w:r>
            <w:r>
              <w:rPr>
                <w:rFonts w:hint="eastAsia"/>
              </w:rPr>
              <w:t>总大肠菌群</w:t>
            </w:r>
          </w:p>
        </w:tc>
        <w:tc>
          <w:tcPr>
            <w:tcW w:w="2333" w:type="dxa"/>
            <w:tcMar>
              <w:left w:w="28" w:type="dxa"/>
              <w:right w:w="28" w:type="dxa"/>
            </w:tcMar>
            <w:vAlign w:val="center"/>
          </w:tcPr>
          <w:p>
            <w:pPr>
              <w:pStyle w:val="8"/>
              <w:ind w:firstLine="0" w:firstLineChars="0"/>
            </w:pPr>
            <w:r>
              <w:rPr>
                <w:rFonts w:hint="eastAsia"/>
              </w:rPr>
              <w:t>耗氧量（</w:t>
            </w:r>
            <w:r>
              <w:t>COD</w:t>
            </w:r>
            <w:r>
              <w:rPr>
                <w:rFonts w:hint="eastAsia"/>
                <w:vertAlign w:val="subscript"/>
              </w:rPr>
              <w:t>Mn</w:t>
            </w:r>
            <w:r>
              <w:rPr>
                <w:rFonts w:hint="eastAsia"/>
              </w:rPr>
              <w:t>法）、氨氮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001" w:type="dxa"/>
            <w:tcMar>
              <w:left w:w="28" w:type="dxa"/>
              <w:right w:w="28" w:type="dxa"/>
            </w:tcMar>
            <w:vAlign w:val="center"/>
          </w:tcPr>
          <w:p>
            <w:pPr>
              <w:pStyle w:val="8"/>
              <w:ind w:firstLine="0" w:firstLineChars="0"/>
            </w:pPr>
            <w:r>
              <w:rPr>
                <w:rFonts w:hint="eastAsia"/>
              </w:rPr>
              <w:t>声环境</w:t>
            </w:r>
          </w:p>
        </w:tc>
        <w:tc>
          <w:tcPr>
            <w:tcW w:w="5397" w:type="dxa"/>
            <w:tcMar>
              <w:left w:w="28" w:type="dxa"/>
              <w:right w:w="28" w:type="dxa"/>
            </w:tcMar>
            <w:vAlign w:val="center"/>
          </w:tcPr>
          <w:p>
            <w:pPr>
              <w:pStyle w:val="8"/>
              <w:ind w:firstLine="0" w:firstLineChars="0"/>
            </w:pPr>
            <w:r>
              <w:t>Leq(A)</w:t>
            </w:r>
          </w:p>
        </w:tc>
        <w:tc>
          <w:tcPr>
            <w:tcW w:w="2333" w:type="dxa"/>
            <w:tcMar>
              <w:left w:w="28" w:type="dxa"/>
              <w:right w:w="28" w:type="dxa"/>
            </w:tcMar>
            <w:vAlign w:val="center"/>
          </w:tcPr>
          <w:p>
            <w:pPr>
              <w:pStyle w:val="8"/>
              <w:ind w:firstLine="0" w:firstLineChars="0"/>
            </w:pPr>
            <w:r>
              <w:t>Leq(A)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001" w:type="dxa"/>
            <w:tcMar>
              <w:left w:w="28" w:type="dxa"/>
              <w:right w:w="28" w:type="dxa"/>
            </w:tcMar>
            <w:vAlign w:val="center"/>
          </w:tcPr>
          <w:p>
            <w:pPr>
              <w:pStyle w:val="8"/>
              <w:ind w:firstLine="0" w:firstLineChars="0"/>
            </w:pPr>
            <w:r>
              <w:rPr>
                <w:rFonts w:hint="eastAsia"/>
              </w:rPr>
              <w:t>固体废物</w:t>
            </w:r>
          </w:p>
        </w:tc>
        <w:tc>
          <w:tcPr>
            <w:tcW w:w="5397" w:type="dxa"/>
            <w:tcMar>
              <w:left w:w="28" w:type="dxa"/>
              <w:right w:w="28" w:type="dxa"/>
            </w:tcMar>
            <w:vAlign w:val="center"/>
          </w:tcPr>
          <w:p>
            <w:pPr>
              <w:pStyle w:val="8"/>
              <w:ind w:firstLine="0" w:firstLineChars="0"/>
            </w:pPr>
            <w:r>
              <w:t>——</w:t>
            </w:r>
          </w:p>
        </w:tc>
        <w:tc>
          <w:tcPr>
            <w:tcW w:w="2333" w:type="dxa"/>
            <w:tcMar>
              <w:left w:w="28" w:type="dxa"/>
              <w:right w:w="28" w:type="dxa"/>
            </w:tcMar>
            <w:vAlign w:val="center"/>
          </w:tcPr>
          <w:p>
            <w:pPr>
              <w:pStyle w:val="8"/>
              <w:ind w:firstLine="0" w:firstLineChars="0"/>
            </w:pPr>
            <w:r>
              <w:rPr>
                <w:rFonts w:hint="eastAsia"/>
              </w:rPr>
              <w:t>生活垃圾、病死猪、医疗废物、废弃发酵床垫料等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001" w:type="dxa"/>
            <w:tcMar>
              <w:left w:w="28" w:type="dxa"/>
              <w:right w:w="28" w:type="dxa"/>
            </w:tcMar>
            <w:vAlign w:val="center"/>
          </w:tcPr>
          <w:p>
            <w:pPr>
              <w:pStyle w:val="8"/>
              <w:ind w:firstLine="0" w:firstLineChars="0"/>
            </w:pPr>
            <w:r>
              <w:rPr>
                <w:rFonts w:hint="eastAsia"/>
              </w:rPr>
              <w:t>生态环境</w:t>
            </w:r>
          </w:p>
        </w:tc>
        <w:tc>
          <w:tcPr>
            <w:tcW w:w="5397" w:type="dxa"/>
            <w:tcMar>
              <w:left w:w="28" w:type="dxa"/>
              <w:right w:w="28" w:type="dxa"/>
            </w:tcMar>
            <w:vAlign w:val="center"/>
          </w:tcPr>
          <w:p>
            <w:pPr>
              <w:pStyle w:val="8"/>
              <w:ind w:firstLine="0" w:firstLineChars="0"/>
            </w:pPr>
            <w:r>
              <w:rPr>
                <w:rFonts w:hint="eastAsia"/>
              </w:rPr>
              <w:t>植被破坏</w:t>
            </w:r>
          </w:p>
        </w:tc>
        <w:tc>
          <w:tcPr>
            <w:tcW w:w="2333" w:type="dxa"/>
            <w:vAlign w:val="center"/>
          </w:tcPr>
          <w:p>
            <w:pPr>
              <w:pStyle w:val="8"/>
              <w:ind w:firstLine="0" w:firstLineChars="0"/>
            </w:pPr>
            <w:r>
              <w:t>——</w:t>
            </w:r>
          </w:p>
        </w:tc>
      </w:tr>
    </w:tbl>
    <w:p>
      <w:pPr>
        <w:pStyle w:val="5"/>
        <w:spacing w:before="48" w:after="48"/>
      </w:pPr>
      <w:bookmarkStart w:id="97" w:name="_Ref229931109"/>
      <w:bookmarkStart w:id="98" w:name="_Ref229931098"/>
      <w:r>
        <w:rPr>
          <w:rFonts w:hint="eastAsia"/>
        </w:rPr>
        <w:t>1.3.2评价标准</w:t>
      </w:r>
    </w:p>
    <w:p>
      <w:pPr>
        <w:ind w:firstLine="480"/>
      </w:pPr>
      <w:r>
        <w:rPr>
          <w:rFonts w:hint="eastAsia"/>
        </w:rPr>
        <w:t>根据《本项目环境影响评价执行标准的函》，本次评价拟执行标准如下：</w:t>
      </w:r>
      <w:bookmarkEnd w:id="97"/>
      <w:bookmarkEnd w:id="98"/>
    </w:p>
    <w:p>
      <w:pPr>
        <w:ind w:firstLine="480"/>
      </w:pPr>
      <w:bookmarkStart w:id="99" w:name="_Toc468689106"/>
      <w:r>
        <w:rPr>
          <w:rFonts w:hint="eastAsia"/>
        </w:rPr>
        <w:t>1.3.2.1环境质量标准</w:t>
      </w:r>
      <w:bookmarkEnd w:id="99"/>
    </w:p>
    <w:p>
      <w:pPr>
        <w:ind w:firstLine="480"/>
      </w:pPr>
      <w:r>
        <w:rPr>
          <w:rFonts w:hint="eastAsia"/>
        </w:rPr>
        <w:t>（</w:t>
      </w:r>
      <w:r>
        <w:t>1</w:t>
      </w:r>
      <w:r>
        <w:rPr>
          <w:rFonts w:hint="eastAsia"/>
        </w:rPr>
        <w:t>）环境空气</w:t>
      </w:r>
    </w:p>
    <w:p>
      <w:pPr>
        <w:ind w:firstLine="480"/>
      </w:pPr>
      <w:r>
        <w:rPr>
          <w:rFonts w:hint="eastAsia"/>
        </w:rPr>
        <w:t>项目环境空气质量执行《环境空气质量标准》（</w:t>
      </w:r>
      <w:r>
        <w:t>GB3095-2012</w:t>
      </w:r>
      <w:r>
        <w:rPr>
          <w:rFonts w:hint="eastAsia"/>
        </w:rPr>
        <w:t>）中二级标准，标准中未包含因子</w:t>
      </w:r>
      <w:r>
        <w:t>NH</w:t>
      </w:r>
      <w:r>
        <w:rPr>
          <w:vertAlign w:val="subscript"/>
        </w:rPr>
        <w:t>3</w:t>
      </w:r>
      <w:r>
        <w:rPr>
          <w:rFonts w:hint="eastAsia"/>
        </w:rPr>
        <w:t>、</w:t>
      </w:r>
      <w:r>
        <w:t>H</w:t>
      </w:r>
      <w:r>
        <w:rPr>
          <w:vertAlign w:val="subscript"/>
        </w:rPr>
        <w:t>2</w:t>
      </w:r>
      <w:r>
        <w:t>S</w:t>
      </w:r>
      <w:r>
        <w:rPr>
          <w:rFonts w:hint="eastAsia"/>
        </w:rPr>
        <w:t>执行《环境影响评价技术导则 大气环境》（HJ2.2-2018）附录D1“其他污染物空气质量参考限值”有关标准要求，见表1.3</w:t>
      </w:r>
      <w:r>
        <w:t>-2</w:t>
      </w:r>
      <w:r>
        <w:rPr>
          <w:rFonts w:hint="eastAsia"/>
        </w:rPr>
        <w:t>。</w:t>
      </w:r>
    </w:p>
    <w:p>
      <w:pPr>
        <w:pStyle w:val="11"/>
      </w:pPr>
      <w:bookmarkStart w:id="100" w:name="_Toc488237316" w:colFirst="0" w:colLast="4"/>
      <w:bookmarkStart w:id="101" w:name="_Toc499621062" w:colFirst="0" w:colLast="4"/>
    </w:p>
    <w:p>
      <w:pPr>
        <w:pStyle w:val="11"/>
      </w:pPr>
      <w:r>
        <w:t xml:space="preserve">表1.3- </w:t>
      </w:r>
      <w:r>
        <w:fldChar w:fldCharType="begin"/>
      </w:r>
      <w:r>
        <w:instrText xml:space="preserve"> SEQ 表1.3- \* ARABIC </w:instrText>
      </w:r>
      <w:r>
        <w:fldChar w:fldCharType="separate"/>
      </w:r>
      <w:r>
        <w:t>2</w:t>
      </w:r>
      <w:r>
        <w:fldChar w:fldCharType="end"/>
      </w:r>
      <w:r>
        <w:rPr>
          <w:rFonts w:hint="eastAsia"/>
        </w:rPr>
        <w:t xml:space="preserve">  畜禽养殖场环境空气质量标准值   单位：</w:t>
      </w:r>
      <w:r>
        <w:t>mg/m</w:t>
      </w:r>
      <w:r>
        <w:rPr>
          <w:vertAlign w:val="superscript"/>
        </w:rPr>
        <w:t>3</w:t>
      </w:r>
    </w:p>
    <w:tbl>
      <w:tblPr>
        <w:tblStyle w:val="21"/>
        <w:tblW w:w="87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97"/>
        <w:gridCol w:w="1341"/>
        <w:gridCol w:w="934"/>
        <w:gridCol w:w="50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1397" w:type="dxa"/>
            <w:vAlign w:val="center"/>
          </w:tcPr>
          <w:p>
            <w:pPr>
              <w:pStyle w:val="8"/>
              <w:ind w:firstLine="0" w:firstLineChars="0"/>
            </w:pPr>
            <w:r>
              <w:rPr>
                <w:rFonts w:hint="eastAsia"/>
              </w:rPr>
              <w:t>污染物</w:t>
            </w:r>
          </w:p>
          <w:p>
            <w:pPr>
              <w:pStyle w:val="8"/>
              <w:ind w:firstLine="0" w:firstLineChars="0"/>
            </w:pPr>
            <w:r>
              <w:rPr>
                <w:rFonts w:hint="eastAsia"/>
              </w:rPr>
              <w:t>名称</w:t>
            </w:r>
          </w:p>
        </w:tc>
        <w:tc>
          <w:tcPr>
            <w:tcW w:w="2275" w:type="dxa"/>
            <w:gridSpan w:val="2"/>
            <w:vAlign w:val="center"/>
          </w:tcPr>
          <w:p>
            <w:pPr>
              <w:pStyle w:val="8"/>
              <w:ind w:firstLine="0" w:firstLineChars="0"/>
            </w:pPr>
            <w:r>
              <w:rPr>
                <w:rFonts w:hint="eastAsia"/>
              </w:rPr>
              <w:t>标准值</w:t>
            </w:r>
          </w:p>
        </w:tc>
        <w:tc>
          <w:tcPr>
            <w:tcW w:w="5067" w:type="dxa"/>
            <w:vAlign w:val="center"/>
          </w:tcPr>
          <w:p>
            <w:pPr>
              <w:pStyle w:val="8"/>
              <w:ind w:firstLine="0" w:firstLineChars="0"/>
            </w:pPr>
            <w:r>
              <w:rPr>
                <w:rFonts w:hint="eastAsia"/>
              </w:rPr>
              <w:t>选用标准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1397" w:type="dxa"/>
            <w:vAlign w:val="center"/>
          </w:tcPr>
          <w:p>
            <w:pPr>
              <w:pStyle w:val="8"/>
              <w:ind w:firstLine="0" w:firstLineChars="0"/>
            </w:pPr>
            <w:r>
              <w:t>SO</w:t>
            </w:r>
            <w:r>
              <w:rPr>
                <w:vertAlign w:val="subscript"/>
              </w:rPr>
              <w:t>2</w:t>
            </w:r>
          </w:p>
        </w:tc>
        <w:tc>
          <w:tcPr>
            <w:tcW w:w="1341" w:type="dxa"/>
            <w:vAlign w:val="center"/>
          </w:tcPr>
          <w:p>
            <w:pPr>
              <w:pStyle w:val="8"/>
              <w:ind w:firstLine="0" w:firstLineChars="0"/>
            </w:pPr>
            <w:r>
              <w:rPr>
                <w:rFonts w:hint="eastAsia"/>
              </w:rPr>
              <w:t>日均值</w:t>
            </w:r>
          </w:p>
        </w:tc>
        <w:tc>
          <w:tcPr>
            <w:tcW w:w="934" w:type="dxa"/>
            <w:vAlign w:val="center"/>
          </w:tcPr>
          <w:p>
            <w:pPr>
              <w:pStyle w:val="8"/>
              <w:ind w:firstLine="0" w:firstLineChars="0"/>
            </w:pPr>
            <w:r>
              <w:t>0.15</w:t>
            </w:r>
          </w:p>
        </w:tc>
        <w:tc>
          <w:tcPr>
            <w:tcW w:w="5067" w:type="dxa"/>
            <w:vMerge w:val="restart"/>
            <w:vAlign w:val="center"/>
          </w:tcPr>
          <w:p>
            <w:pPr>
              <w:pStyle w:val="8"/>
              <w:ind w:firstLine="0" w:firstLineChars="0"/>
            </w:pPr>
            <w:r>
              <w:rPr>
                <w:rFonts w:hint="eastAsia"/>
              </w:rPr>
              <w:t>《环境空气质量标准》（</w:t>
            </w:r>
            <w:r>
              <w:t>GB3095-2012</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1397" w:type="dxa"/>
            <w:vAlign w:val="center"/>
          </w:tcPr>
          <w:p>
            <w:pPr>
              <w:pStyle w:val="8"/>
              <w:ind w:firstLine="0" w:firstLineChars="0"/>
            </w:pPr>
            <w:r>
              <w:t>NO</w:t>
            </w:r>
            <w:r>
              <w:rPr>
                <w:vertAlign w:val="subscript"/>
              </w:rPr>
              <w:t>2</w:t>
            </w:r>
          </w:p>
        </w:tc>
        <w:tc>
          <w:tcPr>
            <w:tcW w:w="1341" w:type="dxa"/>
            <w:vAlign w:val="center"/>
          </w:tcPr>
          <w:p>
            <w:pPr>
              <w:pStyle w:val="8"/>
              <w:ind w:firstLine="0" w:firstLineChars="0"/>
            </w:pPr>
            <w:r>
              <w:rPr>
                <w:rFonts w:hint="eastAsia"/>
              </w:rPr>
              <w:t>日均值</w:t>
            </w:r>
          </w:p>
        </w:tc>
        <w:tc>
          <w:tcPr>
            <w:tcW w:w="934" w:type="dxa"/>
            <w:vAlign w:val="center"/>
          </w:tcPr>
          <w:p>
            <w:pPr>
              <w:pStyle w:val="8"/>
              <w:ind w:firstLine="0" w:firstLineChars="0"/>
            </w:pPr>
            <w:r>
              <w:t>0.08</w:t>
            </w:r>
          </w:p>
        </w:tc>
        <w:tc>
          <w:tcPr>
            <w:tcW w:w="5067" w:type="dxa"/>
            <w:vMerge w:val="continue"/>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1397" w:type="dxa"/>
            <w:vAlign w:val="center"/>
          </w:tcPr>
          <w:p>
            <w:pPr>
              <w:pStyle w:val="8"/>
              <w:ind w:firstLine="0" w:firstLineChars="0"/>
            </w:pPr>
            <w:r>
              <w:t>PM</w:t>
            </w:r>
            <w:r>
              <w:rPr>
                <w:vertAlign w:val="subscript"/>
              </w:rPr>
              <w:t>10</w:t>
            </w:r>
          </w:p>
        </w:tc>
        <w:tc>
          <w:tcPr>
            <w:tcW w:w="1341" w:type="dxa"/>
            <w:vAlign w:val="center"/>
          </w:tcPr>
          <w:p>
            <w:pPr>
              <w:pStyle w:val="8"/>
              <w:ind w:firstLine="0" w:firstLineChars="0"/>
              <w:rPr>
                <w:lang w:val="en-GB" w:eastAsia="en-GB"/>
              </w:rPr>
            </w:pPr>
            <w:r>
              <w:rPr>
                <w:rFonts w:hint="eastAsia"/>
                <w:lang w:val="en-GB" w:eastAsia="en-GB"/>
              </w:rPr>
              <w:t>日均值</w:t>
            </w:r>
          </w:p>
        </w:tc>
        <w:tc>
          <w:tcPr>
            <w:tcW w:w="934" w:type="dxa"/>
            <w:vAlign w:val="center"/>
          </w:tcPr>
          <w:p>
            <w:pPr>
              <w:pStyle w:val="8"/>
              <w:ind w:firstLine="0" w:firstLineChars="0"/>
            </w:pPr>
            <w:r>
              <w:t>0.15</w:t>
            </w:r>
          </w:p>
        </w:tc>
        <w:tc>
          <w:tcPr>
            <w:tcW w:w="5067" w:type="dxa"/>
            <w:vMerge w:val="continue"/>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1397" w:type="dxa"/>
            <w:vAlign w:val="center"/>
          </w:tcPr>
          <w:p>
            <w:pPr>
              <w:pStyle w:val="8"/>
              <w:ind w:firstLine="0" w:firstLineChars="0"/>
            </w:pPr>
            <w:r>
              <w:t>H</w:t>
            </w:r>
            <w:r>
              <w:rPr>
                <w:vertAlign w:val="subscript"/>
              </w:rPr>
              <w:t>2</w:t>
            </w:r>
            <w:r>
              <w:t>S</w:t>
            </w:r>
          </w:p>
        </w:tc>
        <w:tc>
          <w:tcPr>
            <w:tcW w:w="1341" w:type="dxa"/>
            <w:vAlign w:val="center"/>
          </w:tcPr>
          <w:p>
            <w:pPr>
              <w:pStyle w:val="8"/>
              <w:ind w:firstLine="0" w:firstLineChars="0"/>
            </w:pPr>
            <w:r>
              <w:rPr>
                <w:rFonts w:hint="eastAsia"/>
              </w:rPr>
              <w:t>小时值</w:t>
            </w:r>
          </w:p>
        </w:tc>
        <w:tc>
          <w:tcPr>
            <w:tcW w:w="934" w:type="dxa"/>
            <w:vAlign w:val="center"/>
          </w:tcPr>
          <w:p>
            <w:pPr>
              <w:pStyle w:val="8"/>
              <w:ind w:firstLine="0" w:firstLineChars="0"/>
            </w:pPr>
            <w:r>
              <w:rPr>
                <w:lang w:val="en-GB" w:eastAsia="en-GB"/>
              </w:rPr>
              <w:t>0.01</w:t>
            </w:r>
          </w:p>
        </w:tc>
        <w:tc>
          <w:tcPr>
            <w:tcW w:w="5067" w:type="dxa"/>
            <w:vMerge w:val="restart"/>
            <w:vAlign w:val="center"/>
          </w:tcPr>
          <w:p>
            <w:pPr>
              <w:pStyle w:val="8"/>
              <w:ind w:firstLine="0" w:firstLineChars="0"/>
            </w:pPr>
            <w:r>
              <w:rPr>
                <w:rFonts w:hint="eastAsia"/>
              </w:rPr>
              <w:t>执行《环境影响评价技术导则 大气环境》（HJ2.2-2018）附录D1“其他污染物空气质量参考限值”有关标准要求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1397" w:type="dxa"/>
            <w:vAlign w:val="center"/>
          </w:tcPr>
          <w:p>
            <w:pPr>
              <w:pStyle w:val="8"/>
              <w:ind w:firstLine="0" w:firstLineChars="0"/>
            </w:pPr>
            <w:r>
              <w:t>NH</w:t>
            </w:r>
            <w:r>
              <w:rPr>
                <w:vertAlign w:val="subscript"/>
              </w:rPr>
              <w:t>3</w:t>
            </w:r>
          </w:p>
        </w:tc>
        <w:tc>
          <w:tcPr>
            <w:tcW w:w="1341" w:type="dxa"/>
            <w:vAlign w:val="center"/>
          </w:tcPr>
          <w:p>
            <w:pPr>
              <w:pStyle w:val="8"/>
              <w:ind w:firstLine="0" w:firstLineChars="0"/>
              <w:rPr>
                <w:lang w:val="en-GB" w:eastAsia="en-GB"/>
              </w:rPr>
            </w:pPr>
            <w:r>
              <w:rPr>
                <w:rFonts w:hint="eastAsia"/>
              </w:rPr>
              <w:t>小时</w:t>
            </w:r>
            <w:r>
              <w:rPr>
                <w:rFonts w:hint="eastAsia"/>
                <w:lang w:val="en-GB" w:eastAsia="en-GB"/>
              </w:rPr>
              <w:t>值</w:t>
            </w:r>
          </w:p>
        </w:tc>
        <w:tc>
          <w:tcPr>
            <w:tcW w:w="934" w:type="dxa"/>
            <w:vAlign w:val="center"/>
          </w:tcPr>
          <w:p>
            <w:pPr>
              <w:pStyle w:val="8"/>
              <w:ind w:firstLine="0" w:firstLineChars="0"/>
              <w:rPr>
                <w:lang w:val="en-GB" w:eastAsia="en-GB"/>
              </w:rPr>
            </w:pPr>
            <w:r>
              <w:rPr>
                <w:lang w:val="en-GB" w:eastAsia="en-GB"/>
              </w:rPr>
              <w:t>0.20</w:t>
            </w:r>
          </w:p>
        </w:tc>
        <w:tc>
          <w:tcPr>
            <w:tcW w:w="5067" w:type="dxa"/>
            <w:vMerge w:val="continue"/>
            <w:vAlign w:val="center"/>
          </w:tcPr>
          <w:p>
            <w:pPr>
              <w:ind w:firstLine="0" w:firstLineChars="0"/>
              <w:rPr>
                <w:highlight w:val="yellow"/>
              </w:rPr>
            </w:pPr>
          </w:p>
        </w:tc>
      </w:tr>
      <w:bookmarkEnd w:id="100"/>
      <w:bookmarkEnd w:id="101"/>
    </w:tbl>
    <w:p>
      <w:pPr>
        <w:spacing w:before="120" w:beforeLines="50"/>
        <w:ind w:firstLine="480"/>
      </w:pPr>
      <w:r>
        <w:rPr>
          <w:rFonts w:hint="eastAsia"/>
        </w:rPr>
        <w:t>（</w:t>
      </w:r>
      <w:r>
        <w:t>2</w:t>
      </w:r>
      <w:r>
        <w:rPr>
          <w:rFonts w:hint="eastAsia"/>
        </w:rPr>
        <w:t>）地表水</w:t>
      </w:r>
    </w:p>
    <w:p>
      <w:pPr>
        <w:ind w:firstLine="480"/>
      </w:pPr>
      <w:r>
        <w:rPr>
          <w:rFonts w:hint="eastAsia"/>
        </w:rPr>
        <w:t>项目所在地北面约905m的石拱桥水库及东南面550m处农灌渠执行《地表水环境质量标准》（GB3838-2002）III类标准；南面水塘执行《农田灌溉水质标准》（GB5084-2005）水作、旱作类标准中最严格限值。</w:t>
      </w:r>
    </w:p>
    <w:p>
      <w:pPr>
        <w:pStyle w:val="11"/>
      </w:pPr>
      <w:r>
        <w:t xml:space="preserve">表1.3- </w:t>
      </w:r>
      <w:r>
        <w:fldChar w:fldCharType="begin"/>
      </w:r>
      <w:r>
        <w:instrText xml:space="preserve"> SEQ 表1.3- \* ARABIC </w:instrText>
      </w:r>
      <w:r>
        <w:fldChar w:fldCharType="separate"/>
      </w:r>
      <w:r>
        <w:t>3</w:t>
      </w:r>
      <w:r>
        <w:fldChar w:fldCharType="end"/>
      </w:r>
      <w:r>
        <w:rPr>
          <w:rFonts w:hint="eastAsia"/>
        </w:rPr>
        <w:t xml:space="preserve">  地表水水质评价标准</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2"/>
        <w:gridCol w:w="1136"/>
        <w:gridCol w:w="1206"/>
        <w:gridCol w:w="1240"/>
        <w:gridCol w:w="1258"/>
        <w:gridCol w:w="2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007" w:type="pct"/>
            <w:vAlign w:val="center"/>
          </w:tcPr>
          <w:p>
            <w:pPr>
              <w:pStyle w:val="8"/>
              <w:spacing w:line="300" w:lineRule="exact"/>
              <w:ind w:firstLine="0" w:firstLineChars="0"/>
            </w:pPr>
            <w:r>
              <w:rPr>
                <w:rFonts w:hint="eastAsia"/>
              </w:rPr>
              <w:t>项目</w:t>
            </w:r>
          </w:p>
        </w:tc>
        <w:tc>
          <w:tcPr>
            <w:tcW w:w="635" w:type="pct"/>
            <w:vAlign w:val="center"/>
          </w:tcPr>
          <w:p>
            <w:pPr>
              <w:pStyle w:val="8"/>
              <w:spacing w:line="300" w:lineRule="exact"/>
              <w:ind w:firstLine="0" w:firstLineChars="0"/>
            </w:pPr>
            <w:r>
              <w:t>pH</w:t>
            </w:r>
          </w:p>
        </w:tc>
        <w:tc>
          <w:tcPr>
            <w:tcW w:w="674" w:type="pct"/>
            <w:vAlign w:val="center"/>
          </w:tcPr>
          <w:p>
            <w:pPr>
              <w:pStyle w:val="8"/>
              <w:spacing w:line="300" w:lineRule="exact"/>
              <w:ind w:firstLine="0" w:firstLineChars="0"/>
            </w:pPr>
            <w:r>
              <w:t>CODcr</w:t>
            </w:r>
          </w:p>
        </w:tc>
        <w:tc>
          <w:tcPr>
            <w:tcW w:w="693" w:type="pct"/>
            <w:vAlign w:val="center"/>
          </w:tcPr>
          <w:p>
            <w:pPr>
              <w:pStyle w:val="8"/>
              <w:spacing w:line="300" w:lineRule="exact"/>
              <w:ind w:firstLine="0" w:firstLineChars="0"/>
            </w:pPr>
            <w:r>
              <w:rPr>
                <w:rFonts w:hint="eastAsia"/>
              </w:rPr>
              <w:t>氨氮</w:t>
            </w:r>
          </w:p>
        </w:tc>
        <w:tc>
          <w:tcPr>
            <w:tcW w:w="703" w:type="pct"/>
            <w:vAlign w:val="center"/>
          </w:tcPr>
          <w:p>
            <w:pPr>
              <w:pStyle w:val="8"/>
              <w:spacing w:line="300" w:lineRule="exact"/>
              <w:ind w:firstLine="0" w:firstLineChars="0"/>
            </w:pPr>
            <w:r>
              <w:t>TP</w:t>
            </w:r>
          </w:p>
        </w:tc>
        <w:tc>
          <w:tcPr>
            <w:tcW w:w="1286" w:type="pct"/>
            <w:vAlign w:val="center"/>
          </w:tcPr>
          <w:p>
            <w:pPr>
              <w:pStyle w:val="8"/>
              <w:spacing w:line="300" w:lineRule="exact"/>
              <w:ind w:firstLine="0" w:firstLineChars="0"/>
            </w:pPr>
            <w:r>
              <w:rPr>
                <w:rFonts w:hint="eastAsia"/>
              </w:rPr>
              <w:t>粪大肠菌群数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07" w:type="pct"/>
            <w:vAlign w:val="center"/>
          </w:tcPr>
          <w:p>
            <w:pPr>
              <w:snapToGrid w:val="0"/>
              <w:spacing w:line="300" w:lineRule="exact"/>
              <w:ind w:firstLine="0" w:firstLineChars="0"/>
              <w:jc w:val="center"/>
              <w:rPr>
                <w:sz w:val="21"/>
                <w:szCs w:val="21"/>
              </w:rPr>
            </w:pPr>
            <w:r>
              <w:rPr>
                <w:kern w:val="20"/>
                <w:sz w:val="21"/>
                <w:szCs w:val="20"/>
              </w:rPr>
              <w:t>GB3838-2002</w:t>
            </w:r>
            <w:r>
              <w:rPr>
                <w:rFonts w:hint="eastAsia"/>
                <w:kern w:val="20"/>
                <w:sz w:val="21"/>
                <w:szCs w:val="20"/>
              </w:rPr>
              <w:t>,</w:t>
            </w:r>
            <w:r>
              <w:rPr>
                <w:kern w:val="20"/>
                <w:sz w:val="21"/>
                <w:szCs w:val="20"/>
              </w:rPr>
              <w:t xml:space="preserve"> III</w:t>
            </w:r>
            <w:r>
              <w:rPr>
                <w:rFonts w:hint="eastAsia"/>
                <w:kern w:val="20"/>
                <w:sz w:val="21"/>
                <w:szCs w:val="20"/>
              </w:rPr>
              <w:t>类标准</w:t>
            </w:r>
          </w:p>
        </w:tc>
        <w:tc>
          <w:tcPr>
            <w:tcW w:w="635" w:type="pct"/>
            <w:vAlign w:val="center"/>
          </w:tcPr>
          <w:p>
            <w:pPr>
              <w:pStyle w:val="8"/>
              <w:ind w:firstLine="0" w:firstLineChars="0"/>
            </w:pPr>
            <w:r>
              <w:t>6</w:t>
            </w:r>
            <w:r>
              <w:rPr>
                <w:rFonts w:hint="eastAsia"/>
              </w:rPr>
              <w:t>～</w:t>
            </w:r>
            <w:r>
              <w:t>9</w:t>
            </w:r>
          </w:p>
        </w:tc>
        <w:tc>
          <w:tcPr>
            <w:tcW w:w="674" w:type="pct"/>
            <w:vAlign w:val="center"/>
          </w:tcPr>
          <w:p>
            <w:pPr>
              <w:pStyle w:val="8"/>
              <w:ind w:firstLine="0" w:firstLineChars="0"/>
            </w:pPr>
            <w:r>
              <w:t>≤20mg/L</w:t>
            </w:r>
          </w:p>
        </w:tc>
        <w:tc>
          <w:tcPr>
            <w:tcW w:w="693" w:type="pct"/>
            <w:vAlign w:val="center"/>
          </w:tcPr>
          <w:p>
            <w:pPr>
              <w:pStyle w:val="8"/>
              <w:ind w:firstLine="0" w:firstLineChars="0"/>
            </w:pPr>
            <w:r>
              <w:t>≤1.0mg/L</w:t>
            </w:r>
          </w:p>
        </w:tc>
        <w:tc>
          <w:tcPr>
            <w:tcW w:w="703" w:type="pct"/>
            <w:vAlign w:val="center"/>
          </w:tcPr>
          <w:p>
            <w:pPr>
              <w:pStyle w:val="8"/>
              <w:ind w:firstLine="0" w:firstLineChars="0"/>
            </w:pPr>
            <w:r>
              <w:t>≤0.2mg/L</w:t>
            </w:r>
          </w:p>
        </w:tc>
        <w:tc>
          <w:tcPr>
            <w:tcW w:w="1286" w:type="pct"/>
            <w:vAlign w:val="center"/>
          </w:tcPr>
          <w:p>
            <w:pPr>
              <w:pStyle w:val="8"/>
              <w:ind w:firstLine="0" w:firstLineChars="0"/>
            </w:pPr>
            <w:r>
              <w:t>≤10000</w:t>
            </w:r>
            <w:r>
              <w:rPr>
                <w:rFonts w:hint="eastAsia"/>
              </w:rPr>
              <w:t>个</w:t>
            </w:r>
            <w: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07" w:type="pct"/>
            <w:vAlign w:val="center"/>
          </w:tcPr>
          <w:p>
            <w:pPr>
              <w:snapToGrid w:val="0"/>
              <w:spacing w:line="300" w:lineRule="exact"/>
              <w:ind w:firstLine="0" w:firstLineChars="0"/>
              <w:jc w:val="center"/>
              <w:rPr>
                <w:kern w:val="20"/>
                <w:sz w:val="21"/>
                <w:szCs w:val="20"/>
              </w:rPr>
            </w:pPr>
            <w:r>
              <w:rPr>
                <w:kern w:val="20"/>
                <w:sz w:val="21"/>
                <w:szCs w:val="20"/>
              </w:rPr>
              <w:t>GB5084-2005</w:t>
            </w:r>
            <w:r>
              <w:rPr>
                <w:rFonts w:hint="eastAsia"/>
                <w:kern w:val="20"/>
                <w:sz w:val="21"/>
                <w:szCs w:val="20"/>
              </w:rPr>
              <w:t>，</w:t>
            </w:r>
          </w:p>
          <w:p>
            <w:pPr>
              <w:snapToGrid w:val="0"/>
              <w:spacing w:line="300" w:lineRule="exact"/>
              <w:ind w:firstLine="0" w:firstLineChars="0"/>
              <w:jc w:val="center"/>
              <w:rPr>
                <w:sz w:val="21"/>
                <w:szCs w:val="21"/>
              </w:rPr>
            </w:pPr>
            <w:r>
              <w:rPr>
                <w:rFonts w:hint="eastAsia"/>
                <w:kern w:val="20"/>
                <w:sz w:val="21"/>
                <w:szCs w:val="20"/>
              </w:rPr>
              <w:t>水作</w:t>
            </w:r>
            <w:r>
              <w:rPr>
                <w:kern w:val="20"/>
                <w:sz w:val="21"/>
                <w:szCs w:val="20"/>
              </w:rPr>
              <w:t>类</w:t>
            </w:r>
            <w:r>
              <w:rPr>
                <w:rFonts w:hint="eastAsia"/>
                <w:kern w:val="20"/>
                <w:sz w:val="21"/>
                <w:szCs w:val="20"/>
              </w:rPr>
              <w:t>标准</w:t>
            </w:r>
          </w:p>
        </w:tc>
        <w:tc>
          <w:tcPr>
            <w:tcW w:w="635" w:type="pct"/>
            <w:vAlign w:val="center"/>
          </w:tcPr>
          <w:p>
            <w:pPr>
              <w:snapToGrid w:val="0"/>
              <w:spacing w:line="300" w:lineRule="exact"/>
              <w:ind w:firstLine="0" w:firstLineChars="0"/>
              <w:jc w:val="center"/>
              <w:rPr>
                <w:kern w:val="20"/>
                <w:sz w:val="21"/>
                <w:szCs w:val="20"/>
              </w:rPr>
            </w:pPr>
            <w:r>
              <w:rPr>
                <w:rFonts w:hint="eastAsia"/>
                <w:kern w:val="20"/>
                <w:sz w:val="21"/>
                <w:szCs w:val="20"/>
              </w:rPr>
              <w:t>5.5～8.5</w:t>
            </w:r>
          </w:p>
        </w:tc>
        <w:tc>
          <w:tcPr>
            <w:tcW w:w="674" w:type="pct"/>
            <w:vAlign w:val="center"/>
          </w:tcPr>
          <w:p>
            <w:pPr>
              <w:snapToGrid w:val="0"/>
              <w:spacing w:line="300" w:lineRule="exact"/>
              <w:ind w:firstLine="0" w:firstLineChars="0"/>
              <w:jc w:val="center"/>
              <w:rPr>
                <w:kern w:val="20"/>
                <w:sz w:val="21"/>
                <w:szCs w:val="20"/>
              </w:rPr>
            </w:pPr>
            <w:r>
              <w:rPr>
                <w:kern w:val="20"/>
                <w:sz w:val="21"/>
                <w:szCs w:val="20"/>
              </w:rPr>
              <w:t>≤</w:t>
            </w:r>
            <w:r>
              <w:rPr>
                <w:rFonts w:hint="eastAsia"/>
                <w:kern w:val="20"/>
                <w:sz w:val="21"/>
                <w:szCs w:val="20"/>
              </w:rPr>
              <w:t>150</w:t>
            </w:r>
          </w:p>
        </w:tc>
        <w:tc>
          <w:tcPr>
            <w:tcW w:w="693" w:type="pct"/>
            <w:vAlign w:val="center"/>
          </w:tcPr>
          <w:p>
            <w:pPr>
              <w:snapToGrid w:val="0"/>
              <w:spacing w:line="300" w:lineRule="exact"/>
              <w:ind w:firstLine="0" w:firstLineChars="0"/>
              <w:jc w:val="center"/>
              <w:rPr>
                <w:kern w:val="20"/>
                <w:sz w:val="21"/>
                <w:szCs w:val="20"/>
              </w:rPr>
            </w:pPr>
            <w:r>
              <w:rPr>
                <w:rFonts w:hint="eastAsia"/>
                <w:kern w:val="20"/>
                <w:sz w:val="21"/>
                <w:szCs w:val="20"/>
              </w:rPr>
              <w:t>/</w:t>
            </w:r>
          </w:p>
        </w:tc>
        <w:tc>
          <w:tcPr>
            <w:tcW w:w="703" w:type="pct"/>
            <w:vAlign w:val="center"/>
          </w:tcPr>
          <w:p>
            <w:pPr>
              <w:snapToGrid w:val="0"/>
              <w:spacing w:line="300" w:lineRule="exact"/>
              <w:ind w:firstLine="0" w:firstLineChars="0"/>
              <w:jc w:val="center"/>
              <w:rPr>
                <w:kern w:val="20"/>
                <w:sz w:val="21"/>
                <w:szCs w:val="20"/>
              </w:rPr>
            </w:pPr>
            <w:r>
              <w:rPr>
                <w:rFonts w:hint="eastAsia"/>
                <w:kern w:val="20"/>
                <w:sz w:val="21"/>
                <w:szCs w:val="20"/>
              </w:rPr>
              <w:t>/</w:t>
            </w:r>
          </w:p>
        </w:tc>
        <w:tc>
          <w:tcPr>
            <w:tcW w:w="1286" w:type="pct"/>
            <w:vAlign w:val="center"/>
          </w:tcPr>
          <w:p>
            <w:pPr>
              <w:snapToGrid w:val="0"/>
              <w:spacing w:line="300" w:lineRule="exact"/>
              <w:ind w:firstLine="0" w:firstLineChars="0"/>
              <w:jc w:val="center"/>
              <w:rPr>
                <w:kern w:val="20"/>
                <w:sz w:val="21"/>
                <w:szCs w:val="20"/>
              </w:rPr>
            </w:pPr>
            <w:r>
              <w:rPr>
                <w:kern w:val="20"/>
                <w:sz w:val="21"/>
                <w:szCs w:val="20"/>
              </w:rPr>
              <w:t>≤</w:t>
            </w:r>
            <w:r>
              <w:rPr>
                <w:rFonts w:hint="eastAsia"/>
                <w:kern w:val="20"/>
                <w:sz w:val="21"/>
                <w:szCs w:val="20"/>
              </w:rPr>
              <w:t>4000个</w:t>
            </w:r>
            <w:r>
              <w:rPr>
                <w:kern w:val="20"/>
                <w:sz w:val="21"/>
                <w:szCs w:val="20"/>
              </w:rPr>
              <w:t>/</w:t>
            </w:r>
            <w:r>
              <w:rPr>
                <w:rFonts w:hint="eastAsia"/>
                <w:kern w:val="20"/>
                <w:sz w:val="21"/>
                <w:szCs w:val="20"/>
              </w:rPr>
              <w:t>100m</w:t>
            </w:r>
            <w:r>
              <w:rPr>
                <w:kern w:val="20"/>
                <w:sz w:val="21"/>
                <w:szCs w:val="20"/>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07" w:type="pct"/>
            <w:vAlign w:val="center"/>
          </w:tcPr>
          <w:p>
            <w:pPr>
              <w:snapToGrid w:val="0"/>
              <w:spacing w:line="300" w:lineRule="exact"/>
              <w:ind w:firstLine="0" w:firstLineChars="0"/>
              <w:jc w:val="center"/>
              <w:rPr>
                <w:kern w:val="20"/>
                <w:sz w:val="21"/>
                <w:szCs w:val="20"/>
              </w:rPr>
            </w:pPr>
            <w:r>
              <w:rPr>
                <w:kern w:val="20"/>
                <w:sz w:val="21"/>
                <w:szCs w:val="20"/>
              </w:rPr>
              <w:t>GB5084-2005</w:t>
            </w:r>
            <w:r>
              <w:rPr>
                <w:rFonts w:hint="eastAsia"/>
                <w:kern w:val="20"/>
                <w:sz w:val="21"/>
                <w:szCs w:val="20"/>
              </w:rPr>
              <w:t>，</w:t>
            </w:r>
          </w:p>
          <w:p>
            <w:pPr>
              <w:snapToGrid w:val="0"/>
              <w:spacing w:line="300" w:lineRule="exact"/>
              <w:ind w:firstLine="0" w:firstLineChars="0"/>
              <w:jc w:val="center"/>
              <w:rPr>
                <w:kern w:val="20"/>
                <w:sz w:val="21"/>
                <w:szCs w:val="20"/>
              </w:rPr>
            </w:pPr>
            <w:r>
              <w:rPr>
                <w:rFonts w:hint="eastAsia"/>
                <w:kern w:val="20"/>
                <w:sz w:val="21"/>
                <w:szCs w:val="20"/>
              </w:rPr>
              <w:t>旱</w:t>
            </w:r>
            <w:r>
              <w:rPr>
                <w:kern w:val="20"/>
                <w:sz w:val="21"/>
                <w:szCs w:val="20"/>
              </w:rPr>
              <w:t>作类</w:t>
            </w:r>
            <w:r>
              <w:rPr>
                <w:rFonts w:hint="eastAsia"/>
                <w:kern w:val="20"/>
                <w:sz w:val="21"/>
                <w:szCs w:val="20"/>
              </w:rPr>
              <w:t>标准</w:t>
            </w:r>
          </w:p>
        </w:tc>
        <w:tc>
          <w:tcPr>
            <w:tcW w:w="635" w:type="pct"/>
            <w:vAlign w:val="center"/>
          </w:tcPr>
          <w:p>
            <w:pPr>
              <w:snapToGrid w:val="0"/>
              <w:spacing w:line="300" w:lineRule="exact"/>
              <w:ind w:firstLine="0" w:firstLineChars="0"/>
              <w:jc w:val="center"/>
              <w:rPr>
                <w:kern w:val="20"/>
                <w:sz w:val="21"/>
                <w:szCs w:val="20"/>
              </w:rPr>
            </w:pPr>
            <w:r>
              <w:rPr>
                <w:rFonts w:hint="eastAsia"/>
                <w:kern w:val="20"/>
                <w:sz w:val="21"/>
                <w:szCs w:val="20"/>
              </w:rPr>
              <w:t>5.5～8.5</w:t>
            </w:r>
          </w:p>
        </w:tc>
        <w:tc>
          <w:tcPr>
            <w:tcW w:w="674" w:type="pct"/>
            <w:vAlign w:val="center"/>
          </w:tcPr>
          <w:p>
            <w:pPr>
              <w:snapToGrid w:val="0"/>
              <w:spacing w:line="300" w:lineRule="exact"/>
              <w:ind w:firstLine="0" w:firstLineChars="0"/>
              <w:jc w:val="center"/>
              <w:rPr>
                <w:kern w:val="20"/>
                <w:sz w:val="21"/>
                <w:szCs w:val="20"/>
              </w:rPr>
            </w:pPr>
            <w:r>
              <w:rPr>
                <w:kern w:val="20"/>
                <w:sz w:val="21"/>
                <w:szCs w:val="20"/>
              </w:rPr>
              <w:t>≤</w:t>
            </w:r>
            <w:r>
              <w:rPr>
                <w:rFonts w:hint="eastAsia"/>
                <w:kern w:val="20"/>
                <w:sz w:val="21"/>
                <w:szCs w:val="20"/>
              </w:rPr>
              <w:t>200</w:t>
            </w:r>
          </w:p>
        </w:tc>
        <w:tc>
          <w:tcPr>
            <w:tcW w:w="693" w:type="pct"/>
            <w:vAlign w:val="center"/>
          </w:tcPr>
          <w:p>
            <w:pPr>
              <w:snapToGrid w:val="0"/>
              <w:spacing w:line="300" w:lineRule="exact"/>
              <w:ind w:firstLine="0" w:firstLineChars="0"/>
              <w:jc w:val="center"/>
              <w:rPr>
                <w:kern w:val="20"/>
                <w:sz w:val="21"/>
                <w:szCs w:val="20"/>
              </w:rPr>
            </w:pPr>
            <w:r>
              <w:rPr>
                <w:rFonts w:hint="eastAsia"/>
                <w:kern w:val="20"/>
                <w:sz w:val="21"/>
                <w:szCs w:val="20"/>
              </w:rPr>
              <w:t>/</w:t>
            </w:r>
          </w:p>
        </w:tc>
        <w:tc>
          <w:tcPr>
            <w:tcW w:w="703" w:type="pct"/>
            <w:vAlign w:val="center"/>
          </w:tcPr>
          <w:p>
            <w:pPr>
              <w:snapToGrid w:val="0"/>
              <w:spacing w:line="300" w:lineRule="exact"/>
              <w:ind w:firstLine="0" w:firstLineChars="0"/>
              <w:jc w:val="center"/>
              <w:rPr>
                <w:kern w:val="20"/>
                <w:sz w:val="21"/>
                <w:szCs w:val="20"/>
              </w:rPr>
            </w:pPr>
            <w:r>
              <w:rPr>
                <w:rFonts w:hint="eastAsia"/>
                <w:kern w:val="20"/>
                <w:sz w:val="21"/>
                <w:szCs w:val="20"/>
              </w:rPr>
              <w:t>/</w:t>
            </w:r>
          </w:p>
        </w:tc>
        <w:tc>
          <w:tcPr>
            <w:tcW w:w="1286" w:type="pct"/>
            <w:vAlign w:val="center"/>
          </w:tcPr>
          <w:p>
            <w:pPr>
              <w:snapToGrid w:val="0"/>
              <w:spacing w:line="300" w:lineRule="exact"/>
              <w:ind w:firstLine="0" w:firstLineChars="0"/>
              <w:jc w:val="center"/>
              <w:rPr>
                <w:kern w:val="20"/>
                <w:sz w:val="21"/>
                <w:szCs w:val="20"/>
              </w:rPr>
            </w:pPr>
            <w:r>
              <w:rPr>
                <w:kern w:val="20"/>
                <w:sz w:val="21"/>
                <w:szCs w:val="20"/>
              </w:rPr>
              <w:t>≤</w:t>
            </w:r>
            <w:r>
              <w:rPr>
                <w:rFonts w:hint="eastAsia"/>
                <w:kern w:val="20"/>
                <w:sz w:val="21"/>
                <w:szCs w:val="20"/>
              </w:rPr>
              <w:t>4000个</w:t>
            </w:r>
            <w:r>
              <w:rPr>
                <w:kern w:val="20"/>
                <w:sz w:val="21"/>
                <w:szCs w:val="20"/>
              </w:rPr>
              <w:t>/</w:t>
            </w:r>
            <w:r>
              <w:rPr>
                <w:rFonts w:hint="eastAsia"/>
                <w:kern w:val="20"/>
                <w:sz w:val="21"/>
                <w:szCs w:val="20"/>
              </w:rPr>
              <w:t>100m</w:t>
            </w:r>
            <w:r>
              <w:rPr>
                <w:kern w:val="20"/>
                <w:sz w:val="21"/>
                <w:szCs w:val="20"/>
              </w:rPr>
              <w:t>L</w:t>
            </w:r>
          </w:p>
        </w:tc>
      </w:tr>
    </w:tbl>
    <w:p>
      <w:pPr>
        <w:spacing w:before="120" w:beforeLines="50"/>
        <w:ind w:firstLine="480"/>
      </w:pPr>
      <w:r>
        <w:rPr>
          <w:rFonts w:hint="eastAsia"/>
        </w:rPr>
        <w:t>（</w:t>
      </w:r>
      <w:r>
        <w:t>3</w:t>
      </w:r>
      <w:r>
        <w:rPr>
          <w:rFonts w:hint="eastAsia"/>
        </w:rPr>
        <w:t>）地下水</w:t>
      </w:r>
    </w:p>
    <w:p>
      <w:pPr>
        <w:ind w:firstLine="480"/>
      </w:pPr>
      <w:r>
        <w:rPr>
          <w:rFonts w:hint="eastAsia"/>
        </w:rPr>
        <w:t>项目地下水执行《地下水质量标准》（</w:t>
      </w:r>
      <w:r>
        <w:t>GB/T14848-</w:t>
      </w:r>
      <w:r>
        <w:rPr>
          <w:rFonts w:hint="eastAsia"/>
        </w:rPr>
        <w:t>2017）中的</w:t>
      </w:r>
      <w:r>
        <w:t>III</w:t>
      </w:r>
      <w:r>
        <w:rPr>
          <w:rFonts w:hint="eastAsia"/>
        </w:rPr>
        <w:t>类，具体标准见表1.3</w:t>
      </w:r>
      <w:r>
        <w:t>-4</w:t>
      </w:r>
      <w:r>
        <w:rPr>
          <w:rFonts w:hint="eastAsia"/>
        </w:rPr>
        <w:t>。</w:t>
      </w:r>
    </w:p>
    <w:p>
      <w:pPr>
        <w:pStyle w:val="11"/>
      </w:pPr>
      <w:r>
        <w:t xml:space="preserve">表1.3- </w:t>
      </w:r>
      <w:r>
        <w:fldChar w:fldCharType="begin"/>
      </w:r>
      <w:r>
        <w:instrText xml:space="preserve"> SEQ 表1.3- \* ARABIC </w:instrText>
      </w:r>
      <w:r>
        <w:fldChar w:fldCharType="separate"/>
      </w:r>
      <w:r>
        <w:t>4</w:t>
      </w:r>
      <w:r>
        <w:fldChar w:fldCharType="end"/>
      </w:r>
      <w:r>
        <w:rPr>
          <w:rFonts w:hint="eastAsia"/>
        </w:rPr>
        <w:t xml:space="preserve">  地下水质量标准单位：</w:t>
      </w:r>
      <w:r>
        <w:t>mg/L</w:t>
      </w:r>
      <w:r>
        <w:rPr>
          <w:rFonts w:hint="eastAsia"/>
        </w:rPr>
        <w:t>，</w:t>
      </w:r>
      <w:r>
        <w:t>pH</w:t>
      </w:r>
      <w:r>
        <w:rPr>
          <w:rFonts w:hint="eastAsia"/>
        </w:rPr>
        <w:t>值除外</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20"/>
        <w:gridCol w:w="1394"/>
        <w:gridCol w:w="1988"/>
        <w:gridCol w:w="1412"/>
        <w:gridCol w:w="22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73" w:type="pct"/>
            <w:vAlign w:val="center"/>
          </w:tcPr>
          <w:p>
            <w:pPr>
              <w:pStyle w:val="8"/>
              <w:ind w:firstLine="0" w:firstLineChars="0"/>
            </w:pPr>
            <w:r>
              <w:rPr>
                <w:rFonts w:hint="eastAsia"/>
              </w:rPr>
              <w:t>项目</w:t>
            </w:r>
          </w:p>
        </w:tc>
        <w:tc>
          <w:tcPr>
            <w:tcW w:w="779" w:type="pct"/>
            <w:vAlign w:val="center"/>
          </w:tcPr>
          <w:p>
            <w:pPr>
              <w:pStyle w:val="8"/>
              <w:ind w:firstLine="0" w:firstLineChars="0"/>
            </w:pPr>
            <w:r>
              <w:t>pH</w:t>
            </w:r>
          </w:p>
        </w:tc>
        <w:tc>
          <w:tcPr>
            <w:tcW w:w="1111" w:type="pct"/>
            <w:vAlign w:val="center"/>
          </w:tcPr>
          <w:p>
            <w:pPr>
              <w:pStyle w:val="8"/>
              <w:ind w:firstLine="0" w:firstLineChars="0"/>
              <w:rPr>
                <w:highlight w:val="yellow"/>
              </w:rPr>
            </w:pPr>
            <w:r>
              <w:rPr>
                <w:szCs w:val="21"/>
              </w:rPr>
              <w:t>硫酸盐</w:t>
            </w:r>
          </w:p>
        </w:tc>
        <w:tc>
          <w:tcPr>
            <w:tcW w:w="789" w:type="pct"/>
            <w:vAlign w:val="center"/>
          </w:tcPr>
          <w:p>
            <w:pPr>
              <w:pStyle w:val="8"/>
              <w:ind w:firstLine="0" w:firstLineChars="0"/>
            </w:pPr>
            <w:r>
              <w:rPr>
                <w:rFonts w:hint="eastAsia"/>
              </w:rPr>
              <w:t>氨氮</w:t>
            </w:r>
          </w:p>
        </w:tc>
        <w:tc>
          <w:tcPr>
            <w:tcW w:w="1246" w:type="pct"/>
            <w:vAlign w:val="center"/>
          </w:tcPr>
          <w:p>
            <w:pPr>
              <w:pStyle w:val="8"/>
              <w:ind w:firstLine="0" w:firstLineChars="0"/>
              <w:rPr>
                <w:highlight w:val="yellow"/>
              </w:rPr>
            </w:pPr>
            <w:r>
              <w:rPr>
                <w:szCs w:val="21"/>
              </w:rPr>
              <w:t>氟化物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073" w:type="pct"/>
            <w:vMerge w:val="restart"/>
            <w:vAlign w:val="center"/>
          </w:tcPr>
          <w:p>
            <w:pPr>
              <w:pStyle w:val="8"/>
              <w:ind w:firstLine="0" w:firstLineChars="0"/>
            </w:pPr>
            <w:r>
              <w:t>GB/T14848-</w:t>
            </w:r>
            <w:r>
              <w:rPr>
                <w:rFonts w:hint="eastAsia"/>
              </w:rPr>
              <w:t>2017，III类</w:t>
            </w:r>
          </w:p>
        </w:tc>
        <w:tc>
          <w:tcPr>
            <w:tcW w:w="779" w:type="pct"/>
            <w:vAlign w:val="center"/>
          </w:tcPr>
          <w:p>
            <w:pPr>
              <w:pStyle w:val="8"/>
              <w:ind w:firstLine="0" w:firstLineChars="0"/>
            </w:pPr>
            <w:r>
              <w:t>6.5~8.5</w:t>
            </w:r>
          </w:p>
        </w:tc>
        <w:tc>
          <w:tcPr>
            <w:tcW w:w="1111" w:type="pct"/>
            <w:vAlign w:val="center"/>
          </w:tcPr>
          <w:p>
            <w:pPr>
              <w:pStyle w:val="8"/>
              <w:ind w:firstLine="0" w:firstLineChars="0"/>
              <w:rPr>
                <w:highlight w:val="yellow"/>
              </w:rPr>
            </w:pPr>
            <w:r>
              <w:rPr>
                <w:szCs w:val="21"/>
              </w:rPr>
              <w:t>≤250</w:t>
            </w:r>
          </w:p>
        </w:tc>
        <w:tc>
          <w:tcPr>
            <w:tcW w:w="789" w:type="pct"/>
            <w:vAlign w:val="center"/>
          </w:tcPr>
          <w:p>
            <w:pPr>
              <w:pStyle w:val="8"/>
              <w:ind w:firstLine="0" w:firstLineChars="0"/>
            </w:pPr>
            <w:r>
              <w:t>≤0.50</w:t>
            </w:r>
          </w:p>
        </w:tc>
        <w:tc>
          <w:tcPr>
            <w:tcW w:w="1246" w:type="pct"/>
            <w:vAlign w:val="center"/>
          </w:tcPr>
          <w:p>
            <w:pPr>
              <w:pStyle w:val="8"/>
              <w:ind w:firstLine="0" w:firstLineChars="0"/>
              <w:rPr>
                <w:highlight w:val="yellow"/>
              </w:rPr>
            </w:pPr>
            <w:r>
              <w:rPr>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73" w:type="pct"/>
            <w:vMerge w:val="continue"/>
            <w:vAlign w:val="center"/>
          </w:tcPr>
          <w:p>
            <w:pPr>
              <w:pStyle w:val="8"/>
              <w:ind w:firstLine="0" w:firstLineChars="0"/>
              <w:rPr>
                <w:highlight w:val="yellow"/>
              </w:rPr>
            </w:pPr>
          </w:p>
        </w:tc>
        <w:tc>
          <w:tcPr>
            <w:tcW w:w="779" w:type="pct"/>
            <w:vAlign w:val="center"/>
          </w:tcPr>
          <w:p>
            <w:pPr>
              <w:pStyle w:val="8"/>
              <w:ind w:firstLine="0" w:firstLineChars="0"/>
              <w:rPr>
                <w:highlight w:val="yellow"/>
              </w:rPr>
            </w:pPr>
            <w:r>
              <w:rPr>
                <w:szCs w:val="21"/>
              </w:rPr>
              <w:t>耗氧量</w:t>
            </w:r>
          </w:p>
        </w:tc>
        <w:tc>
          <w:tcPr>
            <w:tcW w:w="1111" w:type="pct"/>
            <w:vAlign w:val="center"/>
          </w:tcPr>
          <w:p>
            <w:pPr>
              <w:pStyle w:val="8"/>
              <w:ind w:firstLine="0" w:firstLineChars="0"/>
            </w:pPr>
            <w:r>
              <w:t>挥发性酚类</w:t>
            </w:r>
          </w:p>
        </w:tc>
        <w:tc>
          <w:tcPr>
            <w:tcW w:w="789" w:type="pct"/>
            <w:vAlign w:val="center"/>
          </w:tcPr>
          <w:p>
            <w:pPr>
              <w:pStyle w:val="8"/>
              <w:ind w:firstLine="0" w:firstLineChars="0"/>
            </w:pPr>
            <w:r>
              <w:rPr>
                <w:rFonts w:hint="eastAsia"/>
              </w:rPr>
              <w:t>总硬度</w:t>
            </w:r>
          </w:p>
        </w:tc>
        <w:tc>
          <w:tcPr>
            <w:tcW w:w="1246" w:type="pct"/>
            <w:vAlign w:val="center"/>
          </w:tcPr>
          <w:p>
            <w:pPr>
              <w:pStyle w:val="8"/>
              <w:ind w:firstLine="0" w:firstLineChars="0"/>
              <w:rPr>
                <w:highlight w:val="yellow"/>
              </w:rPr>
            </w:pPr>
            <w:r>
              <w:rPr>
                <w:rFonts w:hint="eastAsia"/>
              </w:rPr>
              <w:t>总大肠菌群（MPN/100mL）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1" w:hRule="atLeast"/>
          <w:jc w:val="center"/>
        </w:trPr>
        <w:tc>
          <w:tcPr>
            <w:tcW w:w="1073" w:type="pct"/>
            <w:vMerge w:val="continue"/>
            <w:vAlign w:val="center"/>
          </w:tcPr>
          <w:p>
            <w:pPr>
              <w:pStyle w:val="8"/>
              <w:ind w:firstLine="0" w:firstLineChars="0"/>
              <w:rPr>
                <w:highlight w:val="yellow"/>
              </w:rPr>
            </w:pPr>
          </w:p>
        </w:tc>
        <w:tc>
          <w:tcPr>
            <w:tcW w:w="779" w:type="pct"/>
            <w:vAlign w:val="center"/>
          </w:tcPr>
          <w:p>
            <w:pPr>
              <w:pStyle w:val="8"/>
              <w:ind w:firstLine="0" w:firstLineChars="0"/>
              <w:rPr>
                <w:szCs w:val="21"/>
              </w:rPr>
            </w:pPr>
            <w:r>
              <w:rPr>
                <w:szCs w:val="21"/>
              </w:rPr>
              <w:t>≤3.0</w:t>
            </w:r>
          </w:p>
        </w:tc>
        <w:tc>
          <w:tcPr>
            <w:tcW w:w="1111" w:type="pct"/>
            <w:vAlign w:val="center"/>
          </w:tcPr>
          <w:p>
            <w:pPr>
              <w:pStyle w:val="8"/>
              <w:ind w:firstLine="0" w:firstLineChars="0"/>
            </w:pPr>
            <w:r>
              <w:rPr>
                <w:szCs w:val="21"/>
              </w:rPr>
              <w:t>≤0.002</w:t>
            </w:r>
          </w:p>
        </w:tc>
        <w:tc>
          <w:tcPr>
            <w:tcW w:w="789" w:type="pct"/>
            <w:vAlign w:val="center"/>
          </w:tcPr>
          <w:p>
            <w:pPr>
              <w:pStyle w:val="8"/>
              <w:ind w:firstLine="0" w:firstLineChars="0"/>
            </w:pPr>
            <w:r>
              <w:rPr>
                <w:szCs w:val="21"/>
              </w:rPr>
              <w:t>≤450</w:t>
            </w:r>
          </w:p>
        </w:tc>
        <w:tc>
          <w:tcPr>
            <w:tcW w:w="1246" w:type="pct"/>
            <w:vAlign w:val="center"/>
          </w:tcPr>
          <w:p>
            <w:pPr>
              <w:pStyle w:val="8"/>
              <w:ind w:firstLine="0" w:firstLineChars="0"/>
              <w:rPr>
                <w:highlight w:val="yellow"/>
              </w:rPr>
            </w:pPr>
            <w:r>
              <w:rPr>
                <w:szCs w:val="21"/>
              </w:rPr>
              <w:t>≤3.0</w:t>
            </w:r>
          </w:p>
        </w:tc>
      </w:tr>
    </w:tbl>
    <w:p>
      <w:pPr>
        <w:spacing w:before="120" w:beforeLines="50"/>
        <w:ind w:firstLine="480"/>
      </w:pPr>
      <w:r>
        <w:rPr>
          <w:rFonts w:hint="eastAsia"/>
        </w:rPr>
        <w:t>（</w:t>
      </w:r>
      <w:r>
        <w:t>4</w:t>
      </w:r>
      <w:r>
        <w:rPr>
          <w:rFonts w:hint="eastAsia"/>
        </w:rPr>
        <w:t>）声环境</w:t>
      </w:r>
    </w:p>
    <w:p>
      <w:pPr>
        <w:ind w:firstLine="480"/>
      </w:pPr>
      <w:r>
        <w:rPr>
          <w:rFonts w:hint="eastAsia"/>
        </w:rPr>
        <w:t>项目所在区域声环境执行《声环境质量标准》（</w:t>
      </w:r>
      <w:r>
        <w:t>GB3095-2008</w:t>
      </w:r>
      <w:r>
        <w:rPr>
          <w:rFonts w:hint="eastAsia"/>
        </w:rPr>
        <w:t>）中</w:t>
      </w:r>
      <w:r>
        <w:t>2</w:t>
      </w:r>
      <w:r>
        <w:rPr>
          <w:rFonts w:hint="eastAsia"/>
        </w:rPr>
        <w:t>类标准，见表1.3</w:t>
      </w:r>
      <w:r>
        <w:t>-5</w:t>
      </w:r>
      <w:r>
        <w:rPr>
          <w:rFonts w:hint="eastAsia"/>
        </w:rPr>
        <w:t>。</w:t>
      </w:r>
    </w:p>
    <w:p>
      <w:pPr>
        <w:pStyle w:val="11"/>
        <w:rPr>
          <w:rFonts w:hint="eastAsia"/>
        </w:rPr>
      </w:pPr>
    </w:p>
    <w:p>
      <w:pPr>
        <w:pStyle w:val="11"/>
        <w:rPr>
          <w:rFonts w:hint="eastAsia"/>
        </w:rPr>
      </w:pPr>
    </w:p>
    <w:p>
      <w:pPr>
        <w:pStyle w:val="11"/>
        <w:rPr>
          <w:rFonts w:hint="eastAsia"/>
        </w:rPr>
      </w:pPr>
    </w:p>
    <w:p>
      <w:pPr>
        <w:pStyle w:val="11"/>
      </w:pPr>
      <w:r>
        <w:t xml:space="preserve">表1.3- </w:t>
      </w:r>
      <w:r>
        <w:fldChar w:fldCharType="begin"/>
      </w:r>
      <w:r>
        <w:instrText xml:space="preserve"> SEQ 表1.3- \* ARABIC </w:instrText>
      </w:r>
      <w:r>
        <w:fldChar w:fldCharType="separate"/>
      </w:r>
      <w:r>
        <w:t>5</w:t>
      </w:r>
      <w:r>
        <w:fldChar w:fldCharType="end"/>
      </w:r>
      <w:r>
        <w:rPr>
          <w:rFonts w:hint="eastAsia"/>
        </w:rPr>
        <w:t xml:space="preserve">  </w:t>
      </w:r>
      <w:r>
        <w:t xml:space="preserve"> </w:t>
      </w:r>
      <w:r>
        <w:rPr>
          <w:rFonts w:hint="eastAsia"/>
        </w:rPr>
        <w:t>声环境质量标准单位：</w:t>
      </w:r>
      <w:r>
        <w:t>dB</w:t>
      </w:r>
      <w:r>
        <w:rPr>
          <w:rFonts w:hint="eastAsia"/>
        </w:rPr>
        <w:t>（</w:t>
      </w:r>
      <w:r>
        <w:t>A</w:t>
      </w:r>
      <w:r>
        <w:rPr>
          <w:rFonts w:hint="eastAsia"/>
        </w:rPr>
        <w:t>）</w:t>
      </w:r>
    </w:p>
    <w:tbl>
      <w:tblPr>
        <w:tblStyle w:val="21"/>
        <w:tblW w:w="87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91"/>
        <w:gridCol w:w="2599"/>
        <w:gridCol w:w="2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91" w:type="dxa"/>
            <w:vAlign w:val="center"/>
          </w:tcPr>
          <w:p>
            <w:pPr>
              <w:pStyle w:val="8"/>
              <w:ind w:firstLine="0" w:firstLineChars="0"/>
            </w:pPr>
            <w:r>
              <w:rPr>
                <w:rFonts w:hint="eastAsia"/>
              </w:rPr>
              <w:t>类别</w:t>
            </w:r>
          </w:p>
        </w:tc>
        <w:tc>
          <w:tcPr>
            <w:tcW w:w="2599" w:type="dxa"/>
            <w:vAlign w:val="center"/>
          </w:tcPr>
          <w:p>
            <w:pPr>
              <w:pStyle w:val="8"/>
              <w:ind w:firstLine="0" w:firstLineChars="0"/>
            </w:pPr>
            <w:r>
              <w:rPr>
                <w:rFonts w:hint="eastAsia"/>
              </w:rPr>
              <w:t>昼间</w:t>
            </w:r>
          </w:p>
        </w:tc>
        <w:tc>
          <w:tcPr>
            <w:tcW w:w="2169" w:type="dxa"/>
            <w:vAlign w:val="center"/>
          </w:tcPr>
          <w:p>
            <w:pPr>
              <w:pStyle w:val="8"/>
              <w:ind w:firstLine="0" w:firstLineChars="0"/>
            </w:pPr>
            <w:r>
              <w:rPr>
                <w:rFonts w:hint="eastAsia"/>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jc w:val="center"/>
        </w:trPr>
        <w:tc>
          <w:tcPr>
            <w:tcW w:w="3991" w:type="dxa"/>
            <w:vAlign w:val="center"/>
          </w:tcPr>
          <w:p>
            <w:pPr>
              <w:pStyle w:val="8"/>
              <w:ind w:firstLine="0" w:firstLineChars="0"/>
            </w:pPr>
            <w:r>
              <w:rPr>
                <w:rFonts w:hint="eastAsia"/>
              </w:rPr>
              <w:t>（</w:t>
            </w:r>
            <w:r>
              <w:t>GB3095-2008</w:t>
            </w:r>
            <w:r>
              <w:rPr>
                <w:rFonts w:hint="eastAsia"/>
              </w:rPr>
              <w:t>）中</w:t>
            </w:r>
            <w:r>
              <w:t>2</w:t>
            </w:r>
            <w:r>
              <w:rPr>
                <w:rFonts w:hint="eastAsia"/>
              </w:rPr>
              <w:t>类标准</w:t>
            </w:r>
          </w:p>
        </w:tc>
        <w:tc>
          <w:tcPr>
            <w:tcW w:w="2599" w:type="dxa"/>
            <w:vAlign w:val="center"/>
          </w:tcPr>
          <w:p>
            <w:pPr>
              <w:pStyle w:val="8"/>
              <w:ind w:firstLine="0" w:firstLineChars="0"/>
            </w:pPr>
            <w:r>
              <w:t>60</w:t>
            </w:r>
          </w:p>
        </w:tc>
        <w:tc>
          <w:tcPr>
            <w:tcW w:w="2169" w:type="dxa"/>
            <w:vAlign w:val="center"/>
          </w:tcPr>
          <w:p>
            <w:pPr>
              <w:pStyle w:val="8"/>
              <w:ind w:firstLine="0" w:firstLineChars="0"/>
            </w:pPr>
            <w:r>
              <w:t>50</w:t>
            </w:r>
          </w:p>
        </w:tc>
      </w:tr>
    </w:tbl>
    <w:p>
      <w:pPr>
        <w:spacing w:before="120" w:beforeLines="50"/>
        <w:ind w:firstLine="480"/>
      </w:pPr>
      <w:bookmarkStart w:id="102" w:name="_Toc468689107"/>
      <w:r>
        <w:rPr>
          <w:rFonts w:hint="eastAsia"/>
        </w:rPr>
        <w:t>（5）土壤环境</w:t>
      </w:r>
    </w:p>
    <w:p>
      <w:pPr>
        <w:ind w:firstLine="480"/>
      </w:pPr>
      <w:r>
        <w:rPr>
          <w:rFonts w:hint="eastAsia"/>
        </w:rPr>
        <w:t>根据评价范围的土地使用功能，项目属于设施农用地，执行《畜禽养殖产地环境评价规范》（HJ568-2010）中《畜禽养殖场和养殖小区内土壤环境质量评价指标限值》。标准值见1.3-6</w:t>
      </w:r>
      <w:r>
        <w:t>。</w:t>
      </w:r>
    </w:p>
    <w:p>
      <w:pPr>
        <w:pStyle w:val="11"/>
      </w:pPr>
      <w:r>
        <w:t xml:space="preserve">表1.3- </w:t>
      </w:r>
      <w:r>
        <w:fldChar w:fldCharType="begin"/>
      </w:r>
      <w:r>
        <w:instrText xml:space="preserve"> SEQ 表1.3- \* ARABIC </w:instrText>
      </w:r>
      <w:r>
        <w:fldChar w:fldCharType="separate"/>
      </w:r>
      <w:r>
        <w:t>6</w:t>
      </w:r>
      <w:r>
        <w:fldChar w:fldCharType="end"/>
      </w:r>
      <w:r>
        <w:rPr>
          <w:rFonts w:hint="eastAsia"/>
        </w:rPr>
        <w:t xml:space="preserve">  </w:t>
      </w:r>
      <w:r>
        <w:t>土壤环境质量标准单位：mg/kg，pH值除外</w:t>
      </w:r>
    </w:p>
    <w:tbl>
      <w:tblPr>
        <w:tblStyle w:val="21"/>
        <w:tblW w:w="94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2"/>
        <w:gridCol w:w="942"/>
        <w:gridCol w:w="942"/>
        <w:gridCol w:w="942"/>
        <w:gridCol w:w="942"/>
        <w:gridCol w:w="942"/>
        <w:gridCol w:w="942"/>
        <w:gridCol w:w="942"/>
        <w:gridCol w:w="942"/>
        <w:gridCol w:w="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3" w:hRule="atLeast"/>
          <w:jc w:val="center"/>
        </w:trPr>
        <w:tc>
          <w:tcPr>
            <w:tcW w:w="942" w:type="dxa"/>
            <w:vAlign w:val="center"/>
          </w:tcPr>
          <w:p>
            <w:pPr>
              <w:pStyle w:val="8"/>
              <w:ind w:firstLine="0" w:firstLineChars="0"/>
            </w:pPr>
            <w:r>
              <w:rPr>
                <w:rFonts w:hint="eastAsia"/>
              </w:rPr>
              <w:t>区域</w:t>
            </w:r>
          </w:p>
        </w:tc>
        <w:tc>
          <w:tcPr>
            <w:tcW w:w="942" w:type="dxa"/>
            <w:vAlign w:val="center"/>
          </w:tcPr>
          <w:p>
            <w:pPr>
              <w:pStyle w:val="8"/>
              <w:ind w:firstLine="0" w:firstLineChars="0"/>
            </w:pPr>
            <w:r>
              <w:rPr>
                <w:rFonts w:hint="eastAsia"/>
              </w:rPr>
              <w:t>pH</w:t>
            </w:r>
          </w:p>
        </w:tc>
        <w:tc>
          <w:tcPr>
            <w:tcW w:w="942" w:type="dxa"/>
            <w:vAlign w:val="center"/>
          </w:tcPr>
          <w:p>
            <w:pPr>
              <w:pStyle w:val="8"/>
              <w:ind w:firstLine="0" w:firstLineChars="0"/>
            </w:pPr>
            <w:r>
              <w:t>镉</w:t>
            </w:r>
          </w:p>
        </w:tc>
        <w:tc>
          <w:tcPr>
            <w:tcW w:w="942" w:type="dxa"/>
            <w:vAlign w:val="center"/>
          </w:tcPr>
          <w:p>
            <w:pPr>
              <w:pStyle w:val="8"/>
              <w:ind w:firstLine="0" w:firstLineChars="0"/>
            </w:pPr>
            <w:r>
              <w:t>汞</w:t>
            </w:r>
          </w:p>
        </w:tc>
        <w:tc>
          <w:tcPr>
            <w:tcW w:w="942" w:type="dxa"/>
            <w:vAlign w:val="center"/>
          </w:tcPr>
          <w:p>
            <w:pPr>
              <w:pStyle w:val="8"/>
              <w:ind w:firstLine="0" w:firstLineChars="0"/>
            </w:pPr>
            <w:r>
              <w:t>砷</w:t>
            </w:r>
          </w:p>
        </w:tc>
        <w:tc>
          <w:tcPr>
            <w:tcW w:w="942" w:type="dxa"/>
            <w:vAlign w:val="center"/>
          </w:tcPr>
          <w:p>
            <w:pPr>
              <w:pStyle w:val="8"/>
              <w:ind w:firstLine="0" w:firstLineChars="0"/>
            </w:pPr>
            <w:r>
              <w:t>铜</w:t>
            </w:r>
          </w:p>
        </w:tc>
        <w:tc>
          <w:tcPr>
            <w:tcW w:w="942" w:type="dxa"/>
            <w:vAlign w:val="center"/>
          </w:tcPr>
          <w:p>
            <w:pPr>
              <w:pStyle w:val="8"/>
              <w:ind w:firstLine="0" w:firstLineChars="0"/>
            </w:pPr>
            <w:r>
              <w:t>铅</w:t>
            </w:r>
          </w:p>
        </w:tc>
        <w:tc>
          <w:tcPr>
            <w:tcW w:w="942" w:type="dxa"/>
            <w:vAlign w:val="center"/>
          </w:tcPr>
          <w:p>
            <w:pPr>
              <w:pStyle w:val="8"/>
              <w:ind w:firstLine="0" w:firstLineChars="0"/>
            </w:pPr>
            <w:r>
              <w:t>铬</w:t>
            </w:r>
          </w:p>
        </w:tc>
        <w:tc>
          <w:tcPr>
            <w:tcW w:w="942" w:type="dxa"/>
            <w:vAlign w:val="center"/>
          </w:tcPr>
          <w:p>
            <w:pPr>
              <w:pStyle w:val="8"/>
              <w:ind w:firstLine="0" w:firstLineChars="0"/>
            </w:pPr>
            <w:r>
              <w:rPr>
                <w:rFonts w:hint="eastAsia"/>
              </w:rPr>
              <w:t>锌</w:t>
            </w:r>
          </w:p>
        </w:tc>
        <w:tc>
          <w:tcPr>
            <w:tcW w:w="950" w:type="dxa"/>
            <w:vAlign w:val="center"/>
          </w:tcPr>
          <w:p>
            <w:pPr>
              <w:pStyle w:val="8"/>
              <w:ind w:firstLine="0" w:firstLineChars="0"/>
            </w:pPr>
            <w:r>
              <w:t>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07" w:hRule="atLeast"/>
          <w:jc w:val="center"/>
        </w:trPr>
        <w:tc>
          <w:tcPr>
            <w:tcW w:w="942" w:type="dxa"/>
            <w:vAlign w:val="center"/>
          </w:tcPr>
          <w:p>
            <w:pPr>
              <w:pStyle w:val="8"/>
              <w:ind w:firstLine="0" w:firstLineChars="0"/>
            </w:pPr>
            <w:r>
              <w:rPr>
                <w:rFonts w:hint="eastAsia"/>
              </w:rPr>
              <w:t>养殖场</w:t>
            </w:r>
          </w:p>
        </w:tc>
        <w:tc>
          <w:tcPr>
            <w:tcW w:w="942" w:type="dxa"/>
            <w:vAlign w:val="center"/>
          </w:tcPr>
          <w:p>
            <w:pPr>
              <w:pStyle w:val="8"/>
              <w:ind w:firstLine="0" w:firstLineChars="0"/>
            </w:pPr>
            <w:r>
              <w:rPr>
                <w:rFonts w:hint="eastAsia"/>
              </w:rPr>
              <w:t>_</w:t>
            </w:r>
          </w:p>
        </w:tc>
        <w:tc>
          <w:tcPr>
            <w:tcW w:w="942" w:type="dxa"/>
            <w:vAlign w:val="center"/>
          </w:tcPr>
          <w:p>
            <w:pPr>
              <w:pStyle w:val="8"/>
              <w:ind w:firstLine="0" w:firstLineChars="0"/>
            </w:pPr>
            <w:r>
              <w:rPr>
                <w:rFonts w:hint="eastAsia"/>
              </w:rPr>
              <w:t>1.0</w:t>
            </w:r>
          </w:p>
        </w:tc>
        <w:tc>
          <w:tcPr>
            <w:tcW w:w="942" w:type="dxa"/>
            <w:vAlign w:val="center"/>
          </w:tcPr>
          <w:p>
            <w:pPr>
              <w:pStyle w:val="8"/>
              <w:ind w:firstLine="0" w:firstLineChars="0"/>
            </w:pPr>
            <w:r>
              <w:rPr>
                <w:rFonts w:hint="eastAsia"/>
              </w:rPr>
              <w:t>1.5</w:t>
            </w:r>
          </w:p>
        </w:tc>
        <w:tc>
          <w:tcPr>
            <w:tcW w:w="942" w:type="dxa"/>
            <w:vAlign w:val="center"/>
          </w:tcPr>
          <w:p>
            <w:pPr>
              <w:pStyle w:val="8"/>
              <w:ind w:firstLine="0" w:firstLineChars="0"/>
            </w:pPr>
            <w:r>
              <w:rPr>
                <w:rFonts w:hint="eastAsia"/>
              </w:rPr>
              <w:t>40</w:t>
            </w:r>
          </w:p>
        </w:tc>
        <w:tc>
          <w:tcPr>
            <w:tcW w:w="942" w:type="dxa"/>
            <w:vAlign w:val="center"/>
          </w:tcPr>
          <w:p>
            <w:pPr>
              <w:pStyle w:val="8"/>
              <w:ind w:firstLine="0" w:firstLineChars="0"/>
            </w:pPr>
            <w:r>
              <w:rPr>
                <w:rFonts w:hint="eastAsia"/>
              </w:rPr>
              <w:t>400</w:t>
            </w:r>
          </w:p>
        </w:tc>
        <w:tc>
          <w:tcPr>
            <w:tcW w:w="942" w:type="dxa"/>
            <w:vAlign w:val="center"/>
          </w:tcPr>
          <w:p>
            <w:pPr>
              <w:pStyle w:val="8"/>
              <w:ind w:firstLine="0" w:firstLineChars="0"/>
            </w:pPr>
            <w:r>
              <w:rPr>
                <w:rFonts w:hint="eastAsia"/>
              </w:rPr>
              <w:t>500</w:t>
            </w:r>
          </w:p>
        </w:tc>
        <w:tc>
          <w:tcPr>
            <w:tcW w:w="942" w:type="dxa"/>
            <w:vAlign w:val="center"/>
          </w:tcPr>
          <w:p>
            <w:pPr>
              <w:pStyle w:val="8"/>
              <w:ind w:firstLine="0" w:firstLineChars="0"/>
            </w:pPr>
            <w:r>
              <w:rPr>
                <w:rFonts w:hint="eastAsia"/>
              </w:rPr>
              <w:t>300</w:t>
            </w:r>
          </w:p>
        </w:tc>
        <w:tc>
          <w:tcPr>
            <w:tcW w:w="942" w:type="dxa"/>
            <w:vAlign w:val="center"/>
          </w:tcPr>
          <w:p>
            <w:pPr>
              <w:pStyle w:val="8"/>
              <w:ind w:firstLine="0" w:firstLineChars="0"/>
            </w:pPr>
            <w:r>
              <w:rPr>
                <w:rFonts w:hint="eastAsia"/>
              </w:rPr>
              <w:t>500</w:t>
            </w:r>
          </w:p>
        </w:tc>
        <w:tc>
          <w:tcPr>
            <w:tcW w:w="950" w:type="dxa"/>
            <w:vAlign w:val="center"/>
          </w:tcPr>
          <w:p>
            <w:pPr>
              <w:pStyle w:val="8"/>
              <w:ind w:firstLine="0" w:firstLineChars="0"/>
            </w:pPr>
            <w:r>
              <w:rPr>
                <w:rFonts w:hint="eastAsia"/>
              </w:rPr>
              <w:t>200</w:t>
            </w:r>
          </w:p>
        </w:tc>
      </w:tr>
    </w:tbl>
    <w:p>
      <w:pPr>
        <w:spacing w:before="120" w:beforeLines="50"/>
        <w:ind w:firstLine="480"/>
      </w:pPr>
      <w:r>
        <w:rPr>
          <w:rFonts w:hint="eastAsia"/>
        </w:rPr>
        <w:t>1</w:t>
      </w:r>
      <w:r>
        <w:t>.3.2.2</w:t>
      </w:r>
      <w:r>
        <w:rPr>
          <w:rFonts w:hint="eastAsia"/>
        </w:rPr>
        <w:t>污染物排放标准</w:t>
      </w:r>
      <w:bookmarkEnd w:id="102"/>
    </w:p>
    <w:p>
      <w:pPr>
        <w:ind w:firstLine="480"/>
      </w:pPr>
      <w:r>
        <w:rPr>
          <w:rFonts w:hint="eastAsia"/>
        </w:rPr>
        <w:t>（</w:t>
      </w:r>
      <w:r>
        <w:t>1</w:t>
      </w:r>
      <w:r>
        <w:rPr>
          <w:rFonts w:hint="eastAsia"/>
        </w:rPr>
        <w:t>）废气</w:t>
      </w:r>
    </w:p>
    <w:p>
      <w:pPr>
        <w:ind w:firstLine="480"/>
      </w:pPr>
      <w:r>
        <w:rPr>
          <w:rFonts w:hint="eastAsia"/>
        </w:rPr>
        <w:t>项目无组织排放的臭气浓度执行《畜禽养殖业污染物排放标准》（</w:t>
      </w:r>
      <w:r>
        <w:t>GB18595-2001</w:t>
      </w:r>
      <w:r>
        <w:rPr>
          <w:rFonts w:hint="eastAsia"/>
        </w:rPr>
        <w:t>），</w:t>
      </w:r>
      <w:r>
        <w:t>H</w:t>
      </w:r>
      <w:r>
        <w:rPr>
          <w:vertAlign w:val="subscript"/>
        </w:rPr>
        <w:t>2</w:t>
      </w:r>
      <w:r>
        <w:t>S</w:t>
      </w:r>
      <w:r>
        <w:rPr>
          <w:rFonts w:hint="eastAsia"/>
        </w:rPr>
        <w:t>和</w:t>
      </w:r>
      <w:r>
        <w:t>NH</w:t>
      </w:r>
      <w:r>
        <w:rPr>
          <w:vertAlign w:val="subscript"/>
        </w:rPr>
        <w:t>3</w:t>
      </w:r>
      <w:r>
        <w:rPr>
          <w:rFonts w:hint="eastAsia"/>
        </w:rPr>
        <w:t>执行《恶臭污染物排放标准》（</w:t>
      </w:r>
      <w:r>
        <w:t>GB14554-93</w:t>
      </w:r>
      <w:r>
        <w:rPr>
          <w:rFonts w:hint="eastAsia"/>
        </w:rPr>
        <w:t>）中无组织排放场界标准限值二级新改扩建要求；食堂油烟废气排放执行《饮食业油烟排放标准</w:t>
      </w:r>
      <w:r>
        <w:t>(</w:t>
      </w:r>
      <w:r>
        <w:rPr>
          <w:rFonts w:hint="eastAsia"/>
        </w:rPr>
        <w:t>试行</w:t>
      </w:r>
      <w:r>
        <w:t>)</w:t>
      </w:r>
      <w:r>
        <w:rPr>
          <w:rFonts w:hint="eastAsia"/>
        </w:rPr>
        <w:t>》（</w:t>
      </w:r>
      <w:r>
        <w:t>GB18483-2001</w:t>
      </w:r>
      <w:r>
        <w:rPr>
          <w:rFonts w:hint="eastAsia"/>
        </w:rPr>
        <w:t>）。具体见表1.3</w:t>
      </w:r>
      <w:r>
        <w:t>-</w:t>
      </w:r>
      <w:r>
        <w:rPr>
          <w:rFonts w:hint="eastAsia"/>
        </w:rPr>
        <w:t>7、表1.3</w:t>
      </w:r>
      <w:r>
        <w:t>-</w:t>
      </w:r>
      <w:r>
        <w:rPr>
          <w:rFonts w:hint="eastAsia"/>
        </w:rPr>
        <w:t>8、表1.3-9、表1.3-10：</w:t>
      </w:r>
    </w:p>
    <w:p>
      <w:pPr>
        <w:pStyle w:val="11"/>
      </w:pPr>
      <w:r>
        <w:t xml:space="preserve">表1.3- </w:t>
      </w:r>
      <w:r>
        <w:fldChar w:fldCharType="begin"/>
      </w:r>
      <w:r>
        <w:instrText xml:space="preserve"> SEQ 表1.3- \* ARABIC </w:instrText>
      </w:r>
      <w:r>
        <w:fldChar w:fldCharType="separate"/>
      </w:r>
      <w:r>
        <w:t>7</w:t>
      </w:r>
      <w:r>
        <w:fldChar w:fldCharType="end"/>
      </w:r>
      <w:r>
        <w:rPr>
          <w:rFonts w:hint="eastAsia"/>
        </w:rPr>
        <w:t xml:space="preserve">  集约化畜禽养殖业恶臭污染物场界排放标准</w:t>
      </w:r>
    </w:p>
    <w:tbl>
      <w:tblPr>
        <w:tblStyle w:val="21"/>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60"/>
        <w:gridCol w:w="43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4360" w:type="dxa"/>
            <w:vAlign w:val="center"/>
          </w:tcPr>
          <w:p>
            <w:pPr>
              <w:pStyle w:val="8"/>
              <w:ind w:firstLine="0" w:firstLineChars="0"/>
            </w:pPr>
            <w:r>
              <w:rPr>
                <w:rFonts w:hint="eastAsia"/>
              </w:rPr>
              <w:t>控制项目</w:t>
            </w:r>
          </w:p>
        </w:tc>
        <w:tc>
          <w:tcPr>
            <w:tcW w:w="4360" w:type="dxa"/>
            <w:vAlign w:val="center"/>
          </w:tcPr>
          <w:p>
            <w:pPr>
              <w:pStyle w:val="8"/>
              <w:ind w:firstLine="0" w:firstLineChars="0"/>
            </w:pPr>
            <w:r>
              <w:rPr>
                <w:rFonts w:hint="eastAsia"/>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4360" w:type="dxa"/>
            <w:vAlign w:val="center"/>
          </w:tcPr>
          <w:p>
            <w:pPr>
              <w:pStyle w:val="8"/>
              <w:ind w:firstLine="0" w:firstLineChars="0"/>
            </w:pPr>
            <w:r>
              <w:rPr>
                <w:rFonts w:hint="eastAsia"/>
              </w:rPr>
              <w:t>臭气浓度（无量纲）</w:t>
            </w:r>
          </w:p>
        </w:tc>
        <w:tc>
          <w:tcPr>
            <w:tcW w:w="4360" w:type="dxa"/>
            <w:vAlign w:val="center"/>
          </w:tcPr>
          <w:p>
            <w:pPr>
              <w:pStyle w:val="8"/>
              <w:ind w:firstLine="0" w:firstLineChars="0"/>
            </w:pPr>
            <w:r>
              <w:t>70</w:t>
            </w:r>
            <w:r>
              <w:rPr>
                <w:rFonts w:hint="eastAsia"/>
              </w:rPr>
              <w:t>（参照《畜禽养殖业污染物排放标准》）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4360" w:type="dxa"/>
            <w:vAlign w:val="center"/>
          </w:tcPr>
          <w:p>
            <w:pPr>
              <w:pStyle w:val="8"/>
              <w:ind w:firstLine="0" w:firstLineChars="0"/>
            </w:pPr>
            <w:r>
              <w:t>NH</w:t>
            </w:r>
            <w:r>
              <w:rPr>
                <w:vertAlign w:val="subscript"/>
              </w:rPr>
              <w:t>3</w:t>
            </w:r>
          </w:p>
        </w:tc>
        <w:tc>
          <w:tcPr>
            <w:tcW w:w="4360" w:type="dxa"/>
            <w:vAlign w:val="center"/>
          </w:tcPr>
          <w:p>
            <w:pPr>
              <w:pStyle w:val="8"/>
              <w:ind w:firstLine="0" w:firstLineChars="0"/>
            </w:pPr>
            <w:r>
              <w:t>1.5 mg/m</w:t>
            </w:r>
            <w:r>
              <w:rPr>
                <w:vertAlign w:val="superscript"/>
              </w:rPr>
              <w:t>3</w:t>
            </w:r>
            <w:r>
              <w:rPr>
                <w:rFonts w:hint="eastAsia"/>
              </w:rPr>
              <w:t>（参照《恶臭污染物排放标准》）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4360" w:type="dxa"/>
            <w:vAlign w:val="center"/>
          </w:tcPr>
          <w:p>
            <w:pPr>
              <w:pStyle w:val="8"/>
              <w:ind w:firstLine="0" w:firstLineChars="0"/>
            </w:pPr>
            <w:r>
              <w:t>H</w:t>
            </w:r>
            <w:r>
              <w:rPr>
                <w:vertAlign w:val="subscript"/>
              </w:rPr>
              <w:t>2</w:t>
            </w:r>
            <w:r>
              <w:t>S</w:t>
            </w:r>
          </w:p>
        </w:tc>
        <w:tc>
          <w:tcPr>
            <w:tcW w:w="4360" w:type="dxa"/>
            <w:vAlign w:val="center"/>
          </w:tcPr>
          <w:p>
            <w:pPr>
              <w:pStyle w:val="8"/>
              <w:ind w:firstLine="0" w:firstLineChars="0"/>
            </w:pPr>
            <w:r>
              <w:t>0.06 mg/m</w:t>
            </w:r>
            <w:r>
              <w:rPr>
                <w:vertAlign w:val="superscript"/>
              </w:rPr>
              <w:t>3</w:t>
            </w:r>
            <w:r>
              <w:rPr>
                <w:rFonts w:hint="eastAsia"/>
              </w:rPr>
              <w:t>（参照《恶臭污染物排放标准》）</w:t>
            </w:r>
          </w:p>
        </w:tc>
      </w:tr>
    </w:tbl>
    <w:p>
      <w:pPr>
        <w:pStyle w:val="11"/>
      </w:pPr>
      <w:r>
        <w:t xml:space="preserve">表1.3- </w:t>
      </w:r>
      <w:r>
        <w:fldChar w:fldCharType="begin"/>
      </w:r>
      <w:r>
        <w:instrText xml:space="preserve"> SEQ 表1.3- \* ARABIC </w:instrText>
      </w:r>
      <w:r>
        <w:fldChar w:fldCharType="separate"/>
      </w:r>
      <w:r>
        <w:t>8</w:t>
      </w:r>
      <w:r>
        <w:fldChar w:fldCharType="end"/>
      </w:r>
      <w:r>
        <w:rPr>
          <w:rFonts w:hint="eastAsia"/>
        </w:rPr>
        <w:t xml:space="preserve">  饮食业油烟排放标准</w:t>
      </w:r>
    </w:p>
    <w:tbl>
      <w:tblPr>
        <w:tblStyle w:val="21"/>
        <w:tblW w:w="87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13"/>
        <w:gridCol w:w="1910"/>
        <w:gridCol w:w="1798"/>
        <w:gridCol w:w="12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813" w:type="dxa"/>
            <w:vAlign w:val="center"/>
          </w:tcPr>
          <w:p>
            <w:pPr>
              <w:pStyle w:val="8"/>
              <w:ind w:firstLine="0" w:firstLineChars="0"/>
            </w:pPr>
            <w:r>
              <w:rPr>
                <w:rFonts w:hint="eastAsia"/>
              </w:rPr>
              <w:t>规模</w:t>
            </w:r>
          </w:p>
        </w:tc>
        <w:tc>
          <w:tcPr>
            <w:tcW w:w="1910" w:type="dxa"/>
            <w:vAlign w:val="center"/>
          </w:tcPr>
          <w:p>
            <w:pPr>
              <w:pStyle w:val="8"/>
              <w:ind w:firstLine="0" w:firstLineChars="0"/>
            </w:pPr>
            <w:r>
              <w:rPr>
                <w:rFonts w:hint="eastAsia"/>
              </w:rPr>
              <w:t>小型</w:t>
            </w:r>
          </w:p>
        </w:tc>
        <w:tc>
          <w:tcPr>
            <w:tcW w:w="1798" w:type="dxa"/>
            <w:vAlign w:val="center"/>
          </w:tcPr>
          <w:p>
            <w:pPr>
              <w:pStyle w:val="8"/>
              <w:ind w:firstLine="0" w:firstLineChars="0"/>
            </w:pPr>
            <w:r>
              <w:rPr>
                <w:rFonts w:hint="eastAsia"/>
              </w:rPr>
              <w:t>中型</w:t>
            </w:r>
          </w:p>
        </w:tc>
        <w:tc>
          <w:tcPr>
            <w:tcW w:w="1211" w:type="dxa"/>
            <w:vAlign w:val="center"/>
          </w:tcPr>
          <w:p>
            <w:pPr>
              <w:pStyle w:val="8"/>
              <w:ind w:firstLine="0" w:firstLineChars="0"/>
            </w:pPr>
            <w:r>
              <w:rPr>
                <w:rFonts w:hint="eastAsia"/>
              </w:rPr>
              <w:t>大型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3813" w:type="dxa"/>
            <w:vAlign w:val="center"/>
          </w:tcPr>
          <w:p>
            <w:pPr>
              <w:pStyle w:val="8"/>
              <w:ind w:firstLine="0" w:firstLineChars="0"/>
            </w:pPr>
            <w:r>
              <w:rPr>
                <w:rFonts w:hint="eastAsia"/>
              </w:rPr>
              <w:t>基准灶头数</w:t>
            </w:r>
          </w:p>
        </w:tc>
        <w:tc>
          <w:tcPr>
            <w:tcW w:w="1910" w:type="dxa"/>
            <w:vAlign w:val="center"/>
          </w:tcPr>
          <w:p>
            <w:pPr>
              <w:pStyle w:val="8"/>
              <w:ind w:firstLine="0" w:firstLineChars="0"/>
            </w:pPr>
            <w:r>
              <w:t>≥1</w:t>
            </w:r>
            <w:r>
              <w:rPr>
                <w:rFonts w:hint="eastAsia"/>
              </w:rPr>
              <w:t>，</w:t>
            </w:r>
            <w:r>
              <w:t>&lt;3</w:t>
            </w:r>
          </w:p>
        </w:tc>
        <w:tc>
          <w:tcPr>
            <w:tcW w:w="1798" w:type="dxa"/>
            <w:vAlign w:val="center"/>
          </w:tcPr>
          <w:p>
            <w:pPr>
              <w:pStyle w:val="8"/>
              <w:ind w:firstLine="0" w:firstLineChars="0"/>
            </w:pPr>
            <w:r>
              <w:t>≥3</w:t>
            </w:r>
            <w:r>
              <w:rPr>
                <w:rFonts w:hint="eastAsia"/>
              </w:rPr>
              <w:t>，</w:t>
            </w:r>
            <w:r>
              <w:t>&lt;6</w:t>
            </w:r>
          </w:p>
        </w:tc>
        <w:tc>
          <w:tcPr>
            <w:tcW w:w="1211" w:type="dxa"/>
            <w:vAlign w:val="center"/>
          </w:tcPr>
          <w:p>
            <w:pPr>
              <w:pStyle w:val="8"/>
              <w:ind w:firstLine="0" w:firstLineChars="0"/>
            </w:pPr>
            <w: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 w:hRule="atLeast"/>
          <w:jc w:val="center"/>
        </w:trPr>
        <w:tc>
          <w:tcPr>
            <w:tcW w:w="3813" w:type="dxa"/>
            <w:vAlign w:val="center"/>
          </w:tcPr>
          <w:p>
            <w:pPr>
              <w:pStyle w:val="8"/>
              <w:ind w:firstLine="0" w:firstLineChars="0"/>
            </w:pPr>
            <w:r>
              <w:rPr>
                <w:rFonts w:hint="eastAsia"/>
              </w:rPr>
              <w:t>对应灶头总功率（</w:t>
            </w:r>
            <w:r>
              <w:t>108J/h</w:t>
            </w:r>
            <w:r>
              <w:rPr>
                <w:rFonts w:hint="eastAsia"/>
              </w:rPr>
              <w:t>）</w:t>
            </w:r>
          </w:p>
        </w:tc>
        <w:tc>
          <w:tcPr>
            <w:tcW w:w="1910" w:type="dxa"/>
            <w:vAlign w:val="center"/>
          </w:tcPr>
          <w:p>
            <w:pPr>
              <w:pStyle w:val="8"/>
              <w:ind w:firstLine="0" w:firstLineChars="0"/>
            </w:pPr>
            <w:r>
              <w:t>≥1.67</w:t>
            </w:r>
            <w:r>
              <w:rPr>
                <w:rFonts w:hint="eastAsia"/>
              </w:rPr>
              <w:t>，</w:t>
            </w:r>
            <w:r>
              <w:t>&lt;5.00</w:t>
            </w:r>
          </w:p>
        </w:tc>
        <w:tc>
          <w:tcPr>
            <w:tcW w:w="1798" w:type="dxa"/>
            <w:vAlign w:val="center"/>
          </w:tcPr>
          <w:p>
            <w:pPr>
              <w:pStyle w:val="8"/>
              <w:ind w:firstLine="0" w:firstLineChars="0"/>
            </w:pPr>
            <w:r>
              <w:t>≥5.00</w:t>
            </w:r>
            <w:r>
              <w:rPr>
                <w:rFonts w:hint="eastAsia"/>
              </w:rPr>
              <w:t>，</w:t>
            </w:r>
            <w:r>
              <w:t>&lt;10</w:t>
            </w:r>
          </w:p>
        </w:tc>
        <w:tc>
          <w:tcPr>
            <w:tcW w:w="1211" w:type="dxa"/>
            <w:vAlign w:val="center"/>
          </w:tcPr>
          <w:p>
            <w:pPr>
              <w:pStyle w:val="8"/>
              <w:ind w:firstLine="0" w:firstLineChars="0"/>
            </w:pP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3813" w:type="dxa"/>
            <w:vAlign w:val="center"/>
          </w:tcPr>
          <w:p>
            <w:pPr>
              <w:pStyle w:val="8"/>
              <w:ind w:firstLine="0" w:firstLineChars="0"/>
            </w:pPr>
            <w:r>
              <w:rPr>
                <w:rFonts w:hint="eastAsia"/>
              </w:rPr>
              <w:t>最高允许排放浓度（</w:t>
            </w:r>
            <w:r>
              <w:t>mg/m</w:t>
            </w:r>
            <w:r>
              <w:rPr>
                <w:vertAlign w:val="superscript"/>
              </w:rPr>
              <w:t>3</w:t>
            </w:r>
            <w:r>
              <w:rPr>
                <w:rFonts w:hint="eastAsia"/>
              </w:rPr>
              <w:t>）</w:t>
            </w:r>
          </w:p>
        </w:tc>
        <w:tc>
          <w:tcPr>
            <w:tcW w:w="4919" w:type="dxa"/>
            <w:gridSpan w:val="3"/>
            <w:vAlign w:val="center"/>
          </w:tcPr>
          <w:p>
            <w:pPr>
              <w:pStyle w:val="8"/>
              <w:ind w:firstLine="0" w:firstLineChars="0"/>
            </w:pPr>
            <w: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3813" w:type="dxa"/>
            <w:vAlign w:val="center"/>
          </w:tcPr>
          <w:p>
            <w:pPr>
              <w:pStyle w:val="8"/>
              <w:ind w:firstLine="0" w:firstLineChars="0"/>
            </w:pPr>
            <w:r>
              <w:rPr>
                <w:rFonts w:hint="eastAsia"/>
              </w:rPr>
              <w:t>净化设备最低去除率（</w:t>
            </w:r>
            <w:r>
              <w:t>%</w:t>
            </w:r>
            <w:r>
              <w:rPr>
                <w:rFonts w:hint="eastAsia"/>
              </w:rPr>
              <w:t>）</w:t>
            </w:r>
          </w:p>
        </w:tc>
        <w:tc>
          <w:tcPr>
            <w:tcW w:w="1910" w:type="dxa"/>
            <w:vAlign w:val="center"/>
          </w:tcPr>
          <w:p>
            <w:pPr>
              <w:pStyle w:val="8"/>
              <w:ind w:firstLine="0" w:firstLineChars="0"/>
            </w:pPr>
            <w:r>
              <w:t>60</w:t>
            </w:r>
          </w:p>
        </w:tc>
        <w:tc>
          <w:tcPr>
            <w:tcW w:w="1798" w:type="dxa"/>
            <w:vAlign w:val="center"/>
          </w:tcPr>
          <w:p>
            <w:pPr>
              <w:pStyle w:val="8"/>
              <w:ind w:firstLine="0" w:firstLineChars="0"/>
            </w:pPr>
            <w:r>
              <w:t>75</w:t>
            </w:r>
          </w:p>
        </w:tc>
        <w:tc>
          <w:tcPr>
            <w:tcW w:w="1211" w:type="dxa"/>
            <w:vAlign w:val="center"/>
          </w:tcPr>
          <w:p>
            <w:pPr>
              <w:pStyle w:val="8"/>
              <w:ind w:firstLine="0" w:firstLineChars="0"/>
            </w:pPr>
            <w: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 w:hRule="atLeast"/>
          <w:jc w:val="center"/>
        </w:trPr>
        <w:tc>
          <w:tcPr>
            <w:tcW w:w="3813" w:type="dxa"/>
            <w:vAlign w:val="center"/>
          </w:tcPr>
          <w:p>
            <w:pPr>
              <w:pStyle w:val="8"/>
              <w:ind w:firstLine="0" w:firstLineChars="0"/>
            </w:pPr>
            <w:r>
              <w:rPr>
                <w:rFonts w:hint="eastAsia"/>
              </w:rPr>
              <w:t>备注</w:t>
            </w:r>
          </w:p>
        </w:tc>
        <w:tc>
          <w:tcPr>
            <w:tcW w:w="4919" w:type="dxa"/>
            <w:gridSpan w:val="3"/>
            <w:vAlign w:val="center"/>
          </w:tcPr>
          <w:p>
            <w:pPr>
              <w:pStyle w:val="8"/>
              <w:ind w:firstLine="0" w:firstLineChars="0"/>
            </w:pPr>
            <w:r>
              <w:rPr>
                <w:rFonts w:hint="eastAsia"/>
              </w:rPr>
              <w:t>单个灶头基准排风量：大、中、小型均为</w:t>
            </w:r>
            <w:r>
              <w:t>2000m</w:t>
            </w:r>
            <w:r>
              <w:rPr>
                <w:vertAlign w:val="superscript"/>
              </w:rPr>
              <w:t>3</w:t>
            </w:r>
            <w:r>
              <w:t>/h</w:t>
            </w:r>
            <w:r>
              <w:rPr>
                <w:rFonts w:hint="eastAsia"/>
              </w:rPr>
              <w:t>。</w:t>
            </w:r>
          </w:p>
        </w:tc>
      </w:tr>
    </w:tbl>
    <w:p>
      <w:pPr>
        <w:spacing w:before="120" w:beforeLines="50"/>
        <w:ind w:firstLine="480"/>
      </w:pPr>
      <w:r>
        <w:rPr>
          <w:rFonts w:hint="eastAsia"/>
        </w:rPr>
        <w:t>（</w:t>
      </w:r>
      <w:r>
        <w:t>2</w:t>
      </w:r>
      <w:r>
        <w:rPr>
          <w:rFonts w:hint="eastAsia"/>
        </w:rPr>
        <w:t>）废水</w:t>
      </w:r>
    </w:p>
    <w:p>
      <w:pPr>
        <w:ind w:firstLine="480"/>
      </w:pPr>
      <w:r>
        <w:rPr>
          <w:rFonts w:hint="eastAsia"/>
        </w:rPr>
        <w:t>项目设有微生物异位发酵床系统，生产、生活废水进入发酵床处理后，垫料作为有机肥料外售有机肥厂，因此，项目废水均不外排地表水体。</w:t>
      </w:r>
    </w:p>
    <w:p>
      <w:pPr>
        <w:ind w:firstLine="480"/>
      </w:pPr>
      <w:r>
        <w:rPr>
          <w:rFonts w:hint="eastAsia"/>
        </w:rPr>
        <w:t>（</w:t>
      </w:r>
      <w:r>
        <w:t>3</w:t>
      </w:r>
      <w:r>
        <w:rPr>
          <w:rFonts w:hint="eastAsia"/>
        </w:rPr>
        <w:t>）噪声</w:t>
      </w:r>
    </w:p>
    <w:p>
      <w:pPr>
        <w:ind w:firstLine="480"/>
      </w:pPr>
      <w:r>
        <w:rPr>
          <w:rFonts w:hint="eastAsia"/>
        </w:rPr>
        <w:t>项目施工期噪声执行《建筑施工场界环境噪声排放标准》（</w:t>
      </w:r>
      <w:r>
        <w:t>GB12523-2011</w:t>
      </w:r>
      <w:r>
        <w:rPr>
          <w:rFonts w:hint="eastAsia"/>
        </w:rPr>
        <w:t>）中标准，营运期噪声执行《工业企业厂界环境噪声排放标准》</w:t>
      </w:r>
      <w:r>
        <w:t>(GB12348-2008)</w:t>
      </w:r>
      <w:r>
        <w:rPr>
          <w:rFonts w:hint="eastAsia"/>
        </w:rPr>
        <w:t>中</w:t>
      </w:r>
      <w:r>
        <w:t>2</w:t>
      </w:r>
      <w:r>
        <w:rPr>
          <w:rFonts w:hint="eastAsia"/>
        </w:rPr>
        <w:t>类标准，具体见下表。</w:t>
      </w:r>
    </w:p>
    <w:p>
      <w:pPr>
        <w:pStyle w:val="11"/>
      </w:pPr>
      <w:r>
        <w:t xml:space="preserve">表1.3- </w:t>
      </w:r>
      <w:r>
        <w:fldChar w:fldCharType="begin"/>
      </w:r>
      <w:r>
        <w:instrText xml:space="preserve"> SEQ 表1.3- \* ARABIC </w:instrText>
      </w:r>
      <w:r>
        <w:fldChar w:fldCharType="separate"/>
      </w:r>
      <w:r>
        <w:t>9</w:t>
      </w:r>
      <w:r>
        <w:fldChar w:fldCharType="end"/>
      </w:r>
      <w:r>
        <w:rPr>
          <w:rFonts w:hint="eastAsia"/>
        </w:rPr>
        <w:t xml:space="preserve">  建筑施工场界环境噪声排放限值单位：</w:t>
      </w:r>
      <w:r>
        <w:t>dB</w:t>
      </w:r>
      <w:r>
        <w:rPr>
          <w:rFonts w:hint="eastAsia"/>
        </w:rPr>
        <w:t>（</w:t>
      </w:r>
      <w:r>
        <w:t>A</w:t>
      </w:r>
      <w:r>
        <w:rPr>
          <w:rFonts w:hint="eastAsia"/>
        </w:rPr>
        <w:t>）</w:t>
      </w:r>
    </w:p>
    <w:tbl>
      <w:tblPr>
        <w:tblStyle w:val="21"/>
        <w:tblW w:w="87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26"/>
        <w:gridCol w:w="4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4426" w:type="dxa"/>
            <w:vAlign w:val="center"/>
          </w:tcPr>
          <w:p>
            <w:pPr>
              <w:pStyle w:val="8"/>
              <w:ind w:firstLine="0" w:firstLineChars="0"/>
            </w:pPr>
            <w:r>
              <w:rPr>
                <w:rFonts w:hint="eastAsia"/>
              </w:rPr>
              <w:t>昼间</w:t>
            </w:r>
          </w:p>
        </w:tc>
        <w:tc>
          <w:tcPr>
            <w:tcW w:w="4302" w:type="dxa"/>
            <w:vAlign w:val="center"/>
          </w:tcPr>
          <w:p>
            <w:pPr>
              <w:pStyle w:val="8"/>
              <w:ind w:firstLine="0" w:firstLineChars="0"/>
            </w:pPr>
            <w:r>
              <w:rPr>
                <w:rFonts w:hint="eastAsia"/>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4426" w:type="dxa"/>
            <w:vAlign w:val="center"/>
          </w:tcPr>
          <w:p>
            <w:pPr>
              <w:pStyle w:val="8"/>
              <w:ind w:firstLine="0" w:firstLineChars="0"/>
            </w:pPr>
            <w:r>
              <w:t>70</w:t>
            </w:r>
          </w:p>
        </w:tc>
        <w:tc>
          <w:tcPr>
            <w:tcW w:w="4302" w:type="dxa"/>
            <w:vAlign w:val="center"/>
          </w:tcPr>
          <w:p>
            <w:pPr>
              <w:pStyle w:val="8"/>
              <w:ind w:firstLine="0" w:firstLineChars="0"/>
            </w:pPr>
            <w:r>
              <w:t>55</w:t>
            </w:r>
          </w:p>
        </w:tc>
      </w:tr>
    </w:tbl>
    <w:p>
      <w:pPr>
        <w:pStyle w:val="11"/>
      </w:pPr>
      <w:r>
        <w:t xml:space="preserve">表1.3- </w:t>
      </w:r>
      <w:r>
        <w:fldChar w:fldCharType="begin"/>
      </w:r>
      <w:r>
        <w:instrText xml:space="preserve"> SEQ 表1.3- \* ARABIC </w:instrText>
      </w:r>
      <w:r>
        <w:fldChar w:fldCharType="separate"/>
      </w:r>
      <w:r>
        <w:t>10</w:t>
      </w:r>
      <w:r>
        <w:fldChar w:fldCharType="end"/>
      </w:r>
      <w:r>
        <w:rPr>
          <w:rFonts w:hint="eastAsia"/>
        </w:rPr>
        <w:t xml:space="preserve">  工业企业场界环境噪声排放标准单位：</w:t>
      </w:r>
      <w:r>
        <w:t>dB</w:t>
      </w:r>
      <w:r>
        <w:rPr>
          <w:rFonts w:hint="eastAsia"/>
        </w:rPr>
        <w:t>（</w:t>
      </w:r>
      <w:r>
        <w:t>A</w:t>
      </w:r>
      <w:r>
        <w:rPr>
          <w:rFonts w:hint="eastAsia"/>
        </w:rPr>
        <w:t>）</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11"/>
        <w:gridCol w:w="2911"/>
        <w:gridCol w:w="29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2911" w:type="dxa"/>
            <w:vAlign w:val="center"/>
          </w:tcPr>
          <w:p>
            <w:pPr>
              <w:pStyle w:val="8"/>
              <w:ind w:firstLine="0" w:firstLineChars="0"/>
            </w:pPr>
            <w:r>
              <w:rPr>
                <w:rFonts w:hint="eastAsia"/>
              </w:rPr>
              <w:t>类别</w:t>
            </w:r>
          </w:p>
        </w:tc>
        <w:tc>
          <w:tcPr>
            <w:tcW w:w="2911" w:type="dxa"/>
            <w:vAlign w:val="center"/>
          </w:tcPr>
          <w:p>
            <w:pPr>
              <w:pStyle w:val="8"/>
              <w:ind w:firstLine="0" w:firstLineChars="0"/>
            </w:pPr>
            <w:r>
              <w:rPr>
                <w:rFonts w:hint="eastAsia"/>
              </w:rPr>
              <w:t>昼间</w:t>
            </w:r>
          </w:p>
        </w:tc>
        <w:tc>
          <w:tcPr>
            <w:tcW w:w="2909" w:type="dxa"/>
            <w:vAlign w:val="center"/>
          </w:tcPr>
          <w:p>
            <w:pPr>
              <w:pStyle w:val="8"/>
              <w:ind w:firstLine="0" w:firstLineChars="0"/>
            </w:pPr>
            <w:r>
              <w:rPr>
                <w:rFonts w:hint="eastAsia"/>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2911" w:type="dxa"/>
            <w:vAlign w:val="center"/>
          </w:tcPr>
          <w:p>
            <w:pPr>
              <w:pStyle w:val="8"/>
              <w:ind w:firstLine="0" w:firstLineChars="0"/>
            </w:pPr>
            <w:r>
              <w:t>2</w:t>
            </w:r>
            <w:r>
              <w:rPr>
                <w:rFonts w:hint="eastAsia"/>
              </w:rPr>
              <w:t>类</w:t>
            </w:r>
          </w:p>
        </w:tc>
        <w:tc>
          <w:tcPr>
            <w:tcW w:w="2911" w:type="dxa"/>
            <w:vAlign w:val="center"/>
          </w:tcPr>
          <w:p>
            <w:pPr>
              <w:pStyle w:val="8"/>
              <w:ind w:firstLine="0" w:firstLineChars="0"/>
            </w:pPr>
            <w:r>
              <w:t>60</w:t>
            </w:r>
          </w:p>
        </w:tc>
        <w:tc>
          <w:tcPr>
            <w:tcW w:w="2909" w:type="dxa"/>
            <w:vAlign w:val="center"/>
          </w:tcPr>
          <w:p>
            <w:pPr>
              <w:pStyle w:val="8"/>
              <w:ind w:firstLine="0" w:firstLineChars="0"/>
            </w:pPr>
            <w:r>
              <w:t>50</w:t>
            </w:r>
          </w:p>
        </w:tc>
      </w:tr>
    </w:tbl>
    <w:p>
      <w:pPr>
        <w:spacing w:before="120" w:beforeLines="50"/>
        <w:ind w:firstLine="480"/>
      </w:pPr>
      <w:r>
        <w:rPr>
          <w:rFonts w:hint="eastAsia"/>
        </w:rPr>
        <w:t>（</w:t>
      </w:r>
      <w:r>
        <w:t>4</w:t>
      </w:r>
      <w:r>
        <w:rPr>
          <w:rFonts w:hint="eastAsia"/>
        </w:rPr>
        <w:t>）固体废物</w:t>
      </w:r>
    </w:p>
    <w:p>
      <w:pPr>
        <w:ind w:firstLine="480"/>
      </w:pPr>
      <w:r>
        <w:rPr>
          <w:rFonts w:hint="eastAsia"/>
        </w:rPr>
        <w:t>项目必须设置废渣的固定储存设施和场所，储存场所要有防止粪便渗漏、溢流措施，其废渣执行《畜禽养殖业污染物排放标准》</w:t>
      </w:r>
      <w:r>
        <w:t>(GB18595-2001)</w:t>
      </w:r>
      <w:r>
        <w:rPr>
          <w:rFonts w:hint="eastAsia"/>
        </w:rPr>
        <w:t>中的废渣无害化标准，具体指标见表1.3</w:t>
      </w:r>
      <w:r>
        <w:t>-1</w:t>
      </w:r>
      <w:r>
        <w:rPr>
          <w:rFonts w:hint="eastAsia"/>
        </w:rPr>
        <w:t>3</w:t>
      </w:r>
      <w:r>
        <w:t>。</w:t>
      </w:r>
    </w:p>
    <w:p>
      <w:pPr>
        <w:pStyle w:val="11"/>
      </w:pPr>
      <w:r>
        <w:t xml:space="preserve">表1.3- </w:t>
      </w:r>
      <w:r>
        <w:fldChar w:fldCharType="begin"/>
      </w:r>
      <w:r>
        <w:instrText xml:space="preserve"> SEQ 表1.3- \* ARABIC </w:instrText>
      </w:r>
      <w:r>
        <w:fldChar w:fldCharType="separate"/>
      </w:r>
      <w:r>
        <w:t>11</w:t>
      </w:r>
      <w:r>
        <w:fldChar w:fldCharType="end"/>
      </w:r>
      <w:r>
        <w:rPr>
          <w:rFonts w:hint="eastAsia"/>
        </w:rPr>
        <w:t xml:space="preserve">   畜禽养殖业废渣无害化环境标准</w:t>
      </w:r>
    </w:p>
    <w:tbl>
      <w:tblPr>
        <w:tblStyle w:val="21"/>
        <w:tblW w:w="87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03"/>
        <w:gridCol w:w="44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4303" w:type="dxa"/>
            <w:vAlign w:val="center"/>
          </w:tcPr>
          <w:p>
            <w:pPr>
              <w:pStyle w:val="8"/>
              <w:ind w:firstLine="0" w:firstLineChars="0"/>
            </w:pPr>
            <w:r>
              <w:rPr>
                <w:rFonts w:hint="eastAsia"/>
              </w:rPr>
              <w:t>控制项目</w:t>
            </w:r>
          </w:p>
        </w:tc>
        <w:tc>
          <w:tcPr>
            <w:tcW w:w="4476" w:type="dxa"/>
            <w:vAlign w:val="center"/>
          </w:tcPr>
          <w:p>
            <w:pPr>
              <w:pStyle w:val="8"/>
              <w:ind w:firstLine="0" w:firstLineChars="0"/>
            </w:pPr>
            <w:r>
              <w:rPr>
                <w:rFonts w:hint="eastAsia"/>
              </w:rPr>
              <w:t>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4303" w:type="dxa"/>
            <w:vAlign w:val="center"/>
          </w:tcPr>
          <w:p>
            <w:pPr>
              <w:pStyle w:val="8"/>
              <w:ind w:firstLine="0" w:firstLineChars="0"/>
            </w:pPr>
            <w:r>
              <w:rPr>
                <w:rFonts w:hint="eastAsia"/>
              </w:rPr>
              <w:t>粪大肠菌群数</w:t>
            </w:r>
          </w:p>
        </w:tc>
        <w:tc>
          <w:tcPr>
            <w:tcW w:w="4476" w:type="dxa"/>
            <w:vAlign w:val="center"/>
          </w:tcPr>
          <w:p>
            <w:pPr>
              <w:pStyle w:val="8"/>
              <w:ind w:firstLine="0" w:firstLineChars="0"/>
            </w:pPr>
            <w:r>
              <w:t>≤105</w:t>
            </w:r>
            <w:r>
              <w:rPr>
                <w:rFonts w:hint="eastAsia"/>
              </w:rPr>
              <w:t>个</w:t>
            </w:r>
            <w:r>
              <w:t>/</w:t>
            </w:r>
            <w:r>
              <w:rPr>
                <w:rFonts w:hint="eastAsia"/>
              </w:rPr>
              <w:t>公斤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4303" w:type="dxa"/>
            <w:vAlign w:val="center"/>
          </w:tcPr>
          <w:p>
            <w:pPr>
              <w:pStyle w:val="8"/>
              <w:ind w:firstLine="0" w:firstLineChars="0"/>
            </w:pPr>
            <w:r>
              <w:rPr>
                <w:rFonts w:hint="eastAsia"/>
              </w:rPr>
              <w:t>蛔虫卵</w:t>
            </w:r>
          </w:p>
        </w:tc>
        <w:tc>
          <w:tcPr>
            <w:tcW w:w="4476" w:type="dxa"/>
            <w:vAlign w:val="center"/>
          </w:tcPr>
          <w:p>
            <w:pPr>
              <w:pStyle w:val="8"/>
              <w:ind w:firstLine="0" w:firstLineChars="0"/>
            </w:pPr>
            <w:r>
              <w:rPr>
                <w:rFonts w:hint="eastAsia"/>
              </w:rPr>
              <w:t>死亡率</w:t>
            </w:r>
            <w:r>
              <w:t>≥95%</w:t>
            </w:r>
          </w:p>
        </w:tc>
      </w:tr>
    </w:tbl>
    <w:p>
      <w:pPr>
        <w:ind w:firstLine="480"/>
      </w:pPr>
      <w:r>
        <w:rPr>
          <w:rFonts w:hint="eastAsia"/>
        </w:rPr>
        <w:t>病死猪处理执行《病害动物和病害动物产品生物安全处理规程》（</w:t>
      </w:r>
      <w:r>
        <w:t>GB16548-2006</w:t>
      </w:r>
      <w:r>
        <w:rPr>
          <w:rFonts w:hint="eastAsia"/>
        </w:rPr>
        <w:t>），同理满足《畜禽养殖业污染防治技术规范》（</w:t>
      </w:r>
      <w:r>
        <w:t>HJ/T8-2001</w:t>
      </w:r>
      <w:r>
        <w:rPr>
          <w:rFonts w:hint="eastAsia"/>
        </w:rPr>
        <w:t>）中的相关要求；粪便处理执行《粪便无害化卫生标准》（</w:t>
      </w:r>
      <w:r>
        <w:t>GB7959-1987</w:t>
      </w:r>
      <w:r>
        <w:rPr>
          <w:rFonts w:hint="eastAsia"/>
        </w:rPr>
        <w:t>）；</w:t>
      </w:r>
      <w:bookmarkStart w:id="103" w:name="_Toc289344518"/>
      <w:bookmarkStart w:id="104" w:name="_Toc287083441"/>
      <w:bookmarkStart w:id="105" w:name="_Toc266887655"/>
      <w:bookmarkStart w:id="106" w:name="_Toc219258499"/>
      <w:bookmarkStart w:id="107" w:name="_Toc249433216"/>
      <w:bookmarkStart w:id="108" w:name="_Toc220122773"/>
      <w:r>
        <w:rPr>
          <w:rFonts w:hint="eastAsia"/>
        </w:rPr>
        <w:t>生活垃圾执行《生活垃圾填埋场污染物控制标准》（</w:t>
      </w:r>
      <w:r>
        <w:t>GB16889-2008</w:t>
      </w:r>
      <w:r>
        <w:rPr>
          <w:rFonts w:hint="eastAsia"/>
        </w:rPr>
        <w:t>）；其它固体废物处置执行《一般工业固体废物贮存、处置场污染控制标准》</w:t>
      </w:r>
      <w:r>
        <w:t>GB18599-2001</w:t>
      </w:r>
      <w:r>
        <w:rPr>
          <w:rFonts w:hint="eastAsia"/>
        </w:rPr>
        <w:t>及</w:t>
      </w:r>
      <w:r>
        <w:t>2013</w:t>
      </w:r>
      <w:r>
        <w:rPr>
          <w:rFonts w:hint="eastAsia"/>
        </w:rPr>
        <w:t>年修改单。医疗废物执行《危险废物贮存污染控制标准》（</w:t>
      </w:r>
      <w:r>
        <w:t>GB18597-2001</w:t>
      </w:r>
      <w:r>
        <w:rPr>
          <w:rFonts w:hint="eastAsia"/>
        </w:rPr>
        <w:t>）及</w:t>
      </w:r>
      <w:r>
        <w:t>2013</w:t>
      </w:r>
      <w:r>
        <w:rPr>
          <w:rFonts w:hint="eastAsia"/>
        </w:rPr>
        <w:t>年修改单。</w:t>
      </w:r>
    </w:p>
    <w:bookmarkEnd w:id="103"/>
    <w:bookmarkEnd w:id="104"/>
    <w:bookmarkEnd w:id="105"/>
    <w:p>
      <w:pPr>
        <w:pStyle w:val="4"/>
        <w:spacing w:before="48" w:after="48"/>
      </w:pPr>
      <w:bookmarkStart w:id="109" w:name="_Toc24827"/>
      <w:bookmarkStart w:id="110" w:name="_Toc289344519"/>
      <w:bookmarkStart w:id="111" w:name="_Toc468689110"/>
      <w:r>
        <w:rPr>
          <w:rFonts w:hint="eastAsia"/>
        </w:rPr>
        <w:t>1.4评价工作等级</w:t>
      </w:r>
      <w:bookmarkEnd w:id="106"/>
      <w:r>
        <w:rPr>
          <w:rFonts w:hint="eastAsia"/>
        </w:rPr>
        <w:t>及评价范围</w:t>
      </w:r>
      <w:bookmarkEnd w:id="107"/>
      <w:bookmarkEnd w:id="108"/>
      <w:bookmarkEnd w:id="109"/>
      <w:bookmarkEnd w:id="110"/>
      <w:bookmarkEnd w:id="111"/>
    </w:p>
    <w:p>
      <w:pPr>
        <w:pStyle w:val="5"/>
        <w:spacing w:before="48" w:after="48"/>
      </w:pPr>
      <w:bookmarkStart w:id="112" w:name="_Toc468689111"/>
      <w:bookmarkStart w:id="113" w:name="_Toc207600090"/>
      <w:bookmarkStart w:id="114" w:name="_Toc197181325"/>
      <w:r>
        <w:rPr>
          <w:rFonts w:hint="eastAsia"/>
        </w:rPr>
        <w:t>1.4.1大气环境评价工作等级和评价范围</w:t>
      </w:r>
      <w:bookmarkEnd w:id="112"/>
      <w:bookmarkEnd w:id="113"/>
      <w:bookmarkEnd w:id="114"/>
    </w:p>
    <w:p>
      <w:pPr>
        <w:ind w:firstLine="480"/>
      </w:pPr>
      <w:r>
        <w:rPr>
          <w:rFonts w:hint="eastAsia"/>
        </w:rPr>
        <w:t>本项目无组织排放的废气主要为猪舍、集污池、发酵床车间等排放的恶臭气体（</w:t>
      </w:r>
      <w:r>
        <w:t>H</w:t>
      </w:r>
      <w:r>
        <w:rPr>
          <w:vertAlign w:val="subscript"/>
        </w:rPr>
        <w:t>2</w:t>
      </w:r>
      <w:r>
        <w:t>S</w:t>
      </w:r>
      <w:r>
        <w:rPr>
          <w:rFonts w:hint="eastAsia"/>
        </w:rPr>
        <w:t>和</w:t>
      </w:r>
      <w:r>
        <w:t>NH</w:t>
      </w:r>
      <w:r>
        <w:rPr>
          <w:vertAlign w:val="subscript"/>
        </w:rPr>
        <w:t>3</w:t>
      </w:r>
      <w:r>
        <w:rPr>
          <w:rFonts w:hint="eastAsia"/>
        </w:rPr>
        <w:t>）。</w:t>
      </w:r>
    </w:p>
    <w:p>
      <w:pPr>
        <w:ind w:firstLine="480"/>
      </w:pPr>
      <w:r>
        <w:rPr>
          <w:rFonts w:hint="eastAsia"/>
        </w:rPr>
        <w:t>按照《环境影响评价技术导则大气环境》（HJ2.2-2018）的规定，大气环境评价工作的分级是根据项目污染源调查结果，分别计算项目排放主要污染物的最</w:t>
      </w:r>
    </w:p>
    <w:p>
      <w:pPr>
        <w:ind w:firstLine="480"/>
      </w:pPr>
      <w:r>
        <w:rPr>
          <w:rFonts w:hint="eastAsia"/>
        </w:rPr>
        <w:t>大地面空气质量浓度占标率 Pi（第 i 个污染物），及第 i 个污染物的地面浓度达标准限值 10%时所对应的最远距离 D10%。其中 Pi 定义为：</w:t>
      </w:r>
    </w:p>
    <w:p>
      <w:pPr>
        <w:ind w:firstLine="480"/>
      </w:pPr>
      <w:r>
        <w:pict>
          <v:shape id="对象 3" o:spid="_x0000_s1034" o:spt="75" type="#_x0000_t75" style="position:absolute;left:0pt;margin-left:121.05pt;margin-top:2.2pt;height:37pt;width:85.55pt;mso-wrap-distance-bottom:0pt;mso-wrap-distance-left:0pt;mso-wrap-distance-right:0pt;mso-wrap-distance-top:0pt;z-index:251677696;mso-width-relative:page;mso-height-relative:page;" o:ole="t" filled="t" o:preferrelative="t" stroked="f" coordsize="21600,21600">
            <v:path/>
            <v:fill on="t" color2="#000000" focussize="0,0"/>
            <v:stroke on="f" joinstyle="miter"/>
            <v:imagedata r:id="rId26" o:title=""/>
            <o:lock v:ext="edit" aspectratio="t"/>
            <w10:wrap type="square" side="largest"/>
          </v:shape>
          <o:OLEObject Type="Embed" ProgID="Equation.3" ShapeID="对象 3" DrawAspect="Content" ObjectID="_1468075725" r:id="rId25">
            <o:LockedField>false</o:LockedField>
          </o:OLEObject>
        </w:pict>
      </w:r>
    </w:p>
    <w:p>
      <w:pPr>
        <w:ind w:firstLine="480"/>
      </w:pPr>
      <w:r>
        <w:rPr>
          <w:rFonts w:hint="eastAsia"/>
        </w:rPr>
        <w:t>式中：</w:t>
      </w:r>
    </w:p>
    <w:p>
      <w:pPr>
        <w:ind w:firstLine="480"/>
      </w:pPr>
      <w:r>
        <w:t>P</w:t>
      </w:r>
      <w:r>
        <w:rPr>
          <w:vertAlign w:val="subscript"/>
        </w:rPr>
        <w:t>i</w:t>
      </w:r>
      <w:r>
        <w:t>—第i个污染物的最大地面浓度占标率，%；</w:t>
      </w:r>
    </w:p>
    <w:p>
      <w:pPr>
        <w:ind w:firstLine="480"/>
      </w:pPr>
      <w:r>
        <w:t>C</w:t>
      </w:r>
      <w:r>
        <w:rPr>
          <w:vertAlign w:val="subscript"/>
        </w:rPr>
        <w:t>i</w:t>
      </w:r>
      <w:r>
        <w:t>—采用估算模式计算出的第i个污染物的最大地面浓度，mg/m</w:t>
      </w:r>
      <w:r>
        <w:rPr>
          <w:vertAlign w:val="superscript"/>
        </w:rPr>
        <w:t>3</w:t>
      </w:r>
      <w:r>
        <w:t>；</w:t>
      </w:r>
    </w:p>
    <w:p>
      <w:pPr>
        <w:ind w:firstLine="480"/>
      </w:pPr>
      <w:r>
        <w:t>C</w:t>
      </w:r>
      <w:r>
        <w:rPr>
          <w:vertAlign w:val="subscript"/>
        </w:rPr>
        <w:t>0i</w:t>
      </w:r>
      <w:r>
        <w:t>—第i个污染物的环境空气质量标准，mg/m</w:t>
      </w:r>
      <w:r>
        <w:rPr>
          <w:vertAlign w:val="superscript"/>
        </w:rPr>
        <w:t>3</w:t>
      </w:r>
      <w:r>
        <w:t>。</w:t>
      </w:r>
    </w:p>
    <w:p>
      <w:pPr>
        <w:ind w:firstLine="480"/>
      </w:pPr>
      <w:r>
        <w:rPr>
          <w:rFonts w:hint="eastAsia"/>
        </w:rPr>
        <w:t>C</w:t>
      </w:r>
      <w:r>
        <w:rPr>
          <w:rFonts w:hint="eastAsia"/>
          <w:vertAlign w:val="subscript"/>
        </w:rPr>
        <w:t>0i</w:t>
      </w:r>
      <w:r>
        <w:rPr>
          <w:rFonts w:hint="eastAsia"/>
        </w:rPr>
        <w:t xml:space="preserve"> 一般选用GB3095 中1小时平均质量浓度的二级浓度限值；如项目位于一类环境功能区，应选择相应的一级浓度限值；该标准中未包含的污染物，参照《环境影响评价技术导则 大气环境》（HJ2.2-2018）中5.2确定的各评价因子1h 平均质量浓度限值。对于仅有 8h 平均质量浓度限值、日平均质量浓度限值、年平均质量浓度限值的，可分别按2倍、3倍、6倍折算为1h平均质量浓度限值。</w:t>
      </w:r>
    </w:p>
    <w:p>
      <w:pPr>
        <w:ind w:firstLine="480"/>
      </w:pPr>
      <w:r>
        <w:rPr>
          <w:rFonts w:hint="eastAsia"/>
        </w:rPr>
        <w:t>评价等级划分表见下表：</w:t>
      </w:r>
    </w:p>
    <w:p>
      <w:pPr>
        <w:pStyle w:val="11"/>
      </w:pPr>
      <w:r>
        <w:t xml:space="preserve">1.4- </w:t>
      </w:r>
      <w:r>
        <w:fldChar w:fldCharType="begin"/>
      </w:r>
      <w:r>
        <w:instrText xml:space="preserve"> SEQ 1.4- \* ARABIC </w:instrText>
      </w:r>
      <w:r>
        <w:fldChar w:fldCharType="separate"/>
      </w:r>
      <w:r>
        <w:t>1</w:t>
      </w:r>
      <w:r>
        <w:fldChar w:fldCharType="end"/>
      </w:r>
      <w:r>
        <w:rPr>
          <w:rFonts w:hint="eastAsia"/>
        </w:rPr>
        <w:t xml:space="preserve">  评价等级划分表</w:t>
      </w:r>
    </w:p>
    <w:tbl>
      <w:tblPr>
        <w:tblStyle w:val="21"/>
        <w:tblW w:w="85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03"/>
        <w:gridCol w:w="48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3703" w:type="dxa"/>
            <w:vAlign w:val="center"/>
          </w:tcPr>
          <w:p>
            <w:pPr>
              <w:snapToGrid w:val="0"/>
              <w:spacing w:line="240" w:lineRule="atLeast"/>
              <w:ind w:firstLine="420"/>
              <w:jc w:val="center"/>
              <w:rPr>
                <w:sz w:val="21"/>
                <w:szCs w:val="21"/>
              </w:rPr>
            </w:pPr>
            <w:r>
              <w:rPr>
                <w:sz w:val="21"/>
                <w:szCs w:val="21"/>
              </w:rPr>
              <w:t>评价工作等级</w:t>
            </w:r>
          </w:p>
        </w:tc>
        <w:tc>
          <w:tcPr>
            <w:tcW w:w="4836" w:type="dxa"/>
            <w:vAlign w:val="center"/>
          </w:tcPr>
          <w:p>
            <w:pPr>
              <w:snapToGrid w:val="0"/>
              <w:spacing w:line="240" w:lineRule="atLeast"/>
              <w:ind w:firstLine="420"/>
              <w:jc w:val="center"/>
              <w:rPr>
                <w:sz w:val="21"/>
                <w:szCs w:val="21"/>
              </w:rPr>
            </w:pPr>
            <w:r>
              <w:rPr>
                <w:sz w:val="21"/>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3703" w:type="dxa"/>
            <w:vAlign w:val="center"/>
          </w:tcPr>
          <w:p>
            <w:pPr>
              <w:snapToGrid w:val="0"/>
              <w:spacing w:line="240" w:lineRule="atLeast"/>
              <w:ind w:firstLine="420"/>
              <w:jc w:val="center"/>
              <w:rPr>
                <w:sz w:val="21"/>
                <w:szCs w:val="21"/>
              </w:rPr>
            </w:pPr>
            <w:r>
              <w:rPr>
                <w:sz w:val="21"/>
                <w:szCs w:val="21"/>
              </w:rPr>
              <w:t>一级评价</w:t>
            </w:r>
          </w:p>
        </w:tc>
        <w:tc>
          <w:tcPr>
            <w:tcW w:w="4836" w:type="dxa"/>
            <w:vAlign w:val="center"/>
          </w:tcPr>
          <w:p>
            <w:pPr>
              <w:snapToGrid w:val="0"/>
              <w:spacing w:line="240" w:lineRule="atLeast"/>
              <w:ind w:firstLine="420"/>
              <w:jc w:val="center"/>
              <w:rPr>
                <w:sz w:val="21"/>
                <w:szCs w:val="21"/>
              </w:rPr>
            </w:pPr>
            <w:r>
              <w:rPr>
                <w:sz w:val="21"/>
                <w:szCs w:val="21"/>
              </w:rPr>
              <w:t>Pmax≥10%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3703" w:type="dxa"/>
            <w:vAlign w:val="center"/>
          </w:tcPr>
          <w:p>
            <w:pPr>
              <w:snapToGrid w:val="0"/>
              <w:spacing w:line="240" w:lineRule="atLeast"/>
              <w:ind w:firstLine="420"/>
              <w:jc w:val="center"/>
              <w:rPr>
                <w:sz w:val="21"/>
                <w:szCs w:val="21"/>
              </w:rPr>
            </w:pPr>
            <w:r>
              <w:rPr>
                <w:sz w:val="21"/>
                <w:szCs w:val="21"/>
              </w:rPr>
              <w:t>二级评价</w:t>
            </w:r>
          </w:p>
        </w:tc>
        <w:tc>
          <w:tcPr>
            <w:tcW w:w="4836" w:type="dxa"/>
            <w:vAlign w:val="center"/>
          </w:tcPr>
          <w:p>
            <w:pPr>
              <w:snapToGrid w:val="0"/>
              <w:spacing w:line="240" w:lineRule="atLeast"/>
              <w:ind w:firstLine="420"/>
              <w:jc w:val="center"/>
              <w:rPr>
                <w:sz w:val="21"/>
                <w:szCs w:val="21"/>
              </w:rPr>
            </w:pPr>
            <w:r>
              <w:rPr>
                <w:sz w:val="21"/>
                <w:szCs w:val="21"/>
              </w:rPr>
              <w:t>1%≤Pmax＜10%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3703" w:type="dxa"/>
            <w:vAlign w:val="center"/>
          </w:tcPr>
          <w:p>
            <w:pPr>
              <w:snapToGrid w:val="0"/>
              <w:spacing w:line="240" w:lineRule="atLeast"/>
              <w:ind w:firstLine="420"/>
              <w:jc w:val="center"/>
              <w:rPr>
                <w:sz w:val="21"/>
                <w:szCs w:val="21"/>
              </w:rPr>
            </w:pPr>
            <w:r>
              <w:rPr>
                <w:sz w:val="21"/>
                <w:szCs w:val="21"/>
              </w:rPr>
              <w:t>三级评价</w:t>
            </w:r>
          </w:p>
        </w:tc>
        <w:tc>
          <w:tcPr>
            <w:tcW w:w="4836" w:type="dxa"/>
            <w:vAlign w:val="center"/>
          </w:tcPr>
          <w:p>
            <w:pPr>
              <w:snapToGrid w:val="0"/>
              <w:spacing w:line="240" w:lineRule="atLeast"/>
              <w:ind w:firstLine="420"/>
              <w:jc w:val="center"/>
              <w:rPr>
                <w:sz w:val="21"/>
                <w:szCs w:val="21"/>
              </w:rPr>
            </w:pPr>
            <w:r>
              <w:rPr>
                <w:sz w:val="21"/>
                <w:szCs w:val="21"/>
              </w:rPr>
              <w:t>Pmax＜1%</w:t>
            </w:r>
          </w:p>
        </w:tc>
      </w:tr>
    </w:tbl>
    <w:p>
      <w:pPr>
        <w:spacing w:before="120" w:beforeLines="50"/>
        <w:ind w:firstLine="480"/>
      </w:pPr>
      <w:r>
        <w:rPr>
          <w:rFonts w:hint="eastAsia"/>
        </w:rPr>
        <w:t>本次评价采用 AERSCREEN 估算模式进行估算，其污染物排放源强见表4.2-5。根据计算结果，项目养殖区无组织排放的</w:t>
      </w:r>
      <w:r>
        <w:t>NH</w:t>
      </w:r>
      <w:r>
        <w:rPr>
          <w:vertAlign w:val="subscript"/>
        </w:rPr>
        <w:t>3</w:t>
      </w:r>
      <w:r>
        <w:rPr>
          <w:rFonts w:hint="eastAsia"/>
        </w:rPr>
        <w:t>、</w:t>
      </w:r>
      <w:r>
        <w:t>H</w:t>
      </w:r>
      <w:r>
        <w:rPr>
          <w:vertAlign w:val="subscript"/>
        </w:rPr>
        <w:t>2</w:t>
      </w:r>
      <w:r>
        <w:t>S</w:t>
      </w:r>
      <w:r>
        <w:rPr>
          <w:rFonts w:hint="eastAsia"/>
        </w:rPr>
        <w:t>，其最大落地浓度占标率最大值为1.59%，低于</w:t>
      </w:r>
      <w:r>
        <w:t>10%</w:t>
      </w:r>
      <w:r>
        <w:rPr>
          <w:rFonts w:hint="eastAsia"/>
        </w:rPr>
        <w:t>，根据《环境影响评价技术导则大气环境》（</w:t>
      </w:r>
      <w:r>
        <w:t>HJ2.2-20</w:t>
      </w:r>
      <w:r>
        <w:rPr>
          <w:rFonts w:hint="eastAsia"/>
        </w:rPr>
        <w:t>1</w:t>
      </w:r>
      <w:r>
        <w:t>8</w:t>
      </w:r>
      <w:r>
        <w:rPr>
          <w:rFonts w:hint="eastAsia"/>
        </w:rPr>
        <w:t>）中的判定依据，本项目大气环境影响评价等级确定为二级。评价范围是为以养殖区为中心，边长为</w:t>
      </w:r>
      <w:r>
        <w:t>5km</w:t>
      </w:r>
      <w:r>
        <w:rPr>
          <w:rFonts w:hint="eastAsia"/>
        </w:rPr>
        <w:t>的矩形区域。</w:t>
      </w:r>
    </w:p>
    <w:p>
      <w:pPr>
        <w:pStyle w:val="5"/>
        <w:spacing w:before="48" w:after="48"/>
      </w:pPr>
      <w:bookmarkStart w:id="115" w:name="_Toc468689113"/>
      <w:r>
        <w:rPr>
          <w:rFonts w:hint="eastAsia"/>
        </w:rPr>
        <w:t>1.4.2水环境影响评价工作等级和评价范围</w:t>
      </w:r>
      <w:bookmarkEnd w:id="115"/>
    </w:p>
    <w:p>
      <w:pPr>
        <w:spacing w:line="440" w:lineRule="exact"/>
        <w:ind w:firstLine="480"/>
      </w:pPr>
      <w:r>
        <w:rPr>
          <w:rFonts w:hint="eastAsia"/>
        </w:rPr>
        <w:t>（</w:t>
      </w:r>
      <w:r>
        <w:t>1</w:t>
      </w:r>
      <w:r>
        <w:rPr>
          <w:rFonts w:hint="eastAsia"/>
        </w:rPr>
        <w:t>）地表水</w:t>
      </w:r>
    </w:p>
    <w:p>
      <w:pPr>
        <w:spacing w:line="440" w:lineRule="exact"/>
        <w:ind w:firstLine="480"/>
      </w:pPr>
      <w:r>
        <w:rPr>
          <w:rFonts w:hint="eastAsia"/>
        </w:rPr>
        <w:t>本项目废水主要来源养殖废水和场区员工生活污水，场区废水水质复杂程度为简单；本项目生活污水与养殖废水进入异位发酵床车间处理后作为有机肥外售给有机肥厂，本项目无废水不外排地表水环境。根据《环境影响评价技术导则地面水环境》（</w:t>
      </w:r>
      <w:r>
        <w:t>HJ2.3-</w:t>
      </w:r>
      <w:r>
        <w:rPr>
          <w:rFonts w:hint="eastAsia"/>
        </w:rPr>
        <w:t>2018）的规定，本项目地表水环境影响评价等级为三级B。评价范围包括项目东南面550m处农灌渠1流经约1.6km汇入农灌渠2（与场界的最近距离1740</w:t>
      </w:r>
      <w:r>
        <w:t>m</w:t>
      </w:r>
      <w:r>
        <w:rPr>
          <w:rFonts w:hint="eastAsia"/>
        </w:rPr>
        <w:t>），农灌渠2流经6.3km汇入涔水。</w:t>
      </w:r>
    </w:p>
    <w:p>
      <w:pPr>
        <w:spacing w:line="440" w:lineRule="exact"/>
        <w:ind w:firstLine="480"/>
      </w:pPr>
      <w:bookmarkStart w:id="116" w:name="_Toc468689114"/>
      <w:r>
        <w:rPr>
          <w:rFonts w:hint="eastAsia"/>
        </w:rPr>
        <w:t>（</w:t>
      </w:r>
      <w:r>
        <w:t>2</w:t>
      </w:r>
      <w:r>
        <w:rPr>
          <w:rFonts w:hint="eastAsia"/>
        </w:rPr>
        <w:t>）地下水</w:t>
      </w:r>
      <w:bookmarkEnd w:id="116"/>
    </w:p>
    <w:p>
      <w:pPr>
        <w:spacing w:line="440" w:lineRule="exact"/>
        <w:ind w:firstLine="480"/>
      </w:pPr>
      <w:r>
        <w:rPr>
          <w:rFonts w:hint="eastAsia"/>
        </w:rPr>
        <w:t>根据《环境影响评价技术导则地下水环境》（</w:t>
      </w:r>
      <w:r>
        <w:t>HJ610-2016</w:t>
      </w:r>
      <w:r>
        <w:rPr>
          <w:rFonts w:hint="eastAsia"/>
        </w:rPr>
        <w:t>）中，拟建项目不处于集中式饮水水源准保护区、不属于热水、矿泉水、温泉等特殊地下水源保护区、也不属于补给径流区，属于一般地区，地下水环境不敏感。</w:t>
      </w:r>
    </w:p>
    <w:p>
      <w:pPr>
        <w:spacing w:line="440" w:lineRule="exact"/>
        <w:ind w:firstLine="480"/>
      </w:pPr>
      <w:r>
        <w:t>建设项目地下水环境影响评价工作等级划分见</w:t>
      </w:r>
      <w:r>
        <w:rPr>
          <w:rFonts w:hint="eastAsia"/>
        </w:rPr>
        <w:t>下</w:t>
      </w:r>
      <w:r>
        <w:t>表。</w:t>
      </w:r>
    </w:p>
    <w:p>
      <w:pPr>
        <w:pStyle w:val="11"/>
      </w:pPr>
      <w:r>
        <w:t xml:space="preserve">1.4- </w:t>
      </w:r>
      <w:r>
        <w:fldChar w:fldCharType="begin"/>
      </w:r>
      <w:r>
        <w:instrText xml:space="preserve"> SEQ 1.4- \* ARABIC </w:instrText>
      </w:r>
      <w:r>
        <w:fldChar w:fldCharType="separate"/>
      </w:r>
      <w:r>
        <w:t>2</w:t>
      </w:r>
      <w:r>
        <w:fldChar w:fldCharType="end"/>
      </w:r>
      <w:r>
        <w:rPr>
          <w:rFonts w:hint="eastAsia"/>
        </w:rPr>
        <w:t xml:space="preserve">  </w:t>
      </w:r>
      <w:r>
        <w:t>地下水评价工作等级分级表</w:t>
      </w:r>
    </w:p>
    <w:tbl>
      <w:tblPr>
        <w:tblStyle w:val="21"/>
        <w:tblW w:w="8459"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08"/>
        <w:gridCol w:w="1621"/>
        <w:gridCol w:w="2114"/>
        <w:gridCol w:w="2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2608" w:type="dxa"/>
            <w:vAlign w:val="center"/>
          </w:tcPr>
          <w:p>
            <w:pPr>
              <w:pStyle w:val="8"/>
              <w:ind w:firstLine="0" w:firstLineChars="0"/>
            </w:pPr>
            <w:r>
              <w:t>项目类别</w:t>
            </w:r>
          </w:p>
          <w:p>
            <w:pPr>
              <w:pStyle w:val="8"/>
              <w:ind w:firstLine="0" w:firstLineChars="0"/>
            </w:pPr>
            <w:r>
              <w:t>环境敏感程度</w:t>
            </w:r>
          </w:p>
        </w:tc>
        <w:tc>
          <w:tcPr>
            <w:tcW w:w="1621" w:type="dxa"/>
            <w:vAlign w:val="center"/>
          </w:tcPr>
          <w:p>
            <w:pPr>
              <w:pStyle w:val="8"/>
              <w:ind w:firstLine="0" w:firstLineChars="0"/>
            </w:pPr>
            <w:r>
              <w:fldChar w:fldCharType="begin"/>
            </w:r>
            <w:r>
              <w:instrText xml:space="preserve"> = 1 \* ROMAN </w:instrText>
            </w:r>
            <w:r>
              <w:fldChar w:fldCharType="separate"/>
            </w:r>
            <w:r>
              <w:t>I</w:t>
            </w:r>
            <w:r>
              <w:fldChar w:fldCharType="end"/>
            </w:r>
          </w:p>
        </w:tc>
        <w:tc>
          <w:tcPr>
            <w:tcW w:w="2114" w:type="dxa"/>
            <w:vAlign w:val="center"/>
          </w:tcPr>
          <w:p>
            <w:pPr>
              <w:pStyle w:val="8"/>
              <w:ind w:firstLine="0" w:firstLineChars="0"/>
            </w:pPr>
            <w:r>
              <w:fldChar w:fldCharType="begin"/>
            </w:r>
            <w:r>
              <w:instrText xml:space="preserve"> = 2 \* ROMAN </w:instrText>
            </w:r>
            <w:r>
              <w:fldChar w:fldCharType="separate"/>
            </w:r>
            <w:r>
              <w:t>II</w:t>
            </w:r>
            <w:r>
              <w:fldChar w:fldCharType="end"/>
            </w:r>
          </w:p>
        </w:tc>
        <w:tc>
          <w:tcPr>
            <w:tcW w:w="2116" w:type="dxa"/>
            <w:vAlign w:val="center"/>
          </w:tcPr>
          <w:p>
            <w:pPr>
              <w:pStyle w:val="8"/>
              <w:ind w:firstLine="0" w:firstLineChars="0"/>
            </w:pPr>
            <w:r>
              <w:fldChar w:fldCharType="begin"/>
            </w:r>
            <w:r>
              <w:instrText xml:space="preserve"> = 3 \* ROMAN </w:instrText>
            </w:r>
            <w:r>
              <w:fldChar w:fldCharType="separate"/>
            </w:r>
            <w:r>
              <w:t>III</w:t>
            </w:r>
            <w: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608" w:type="dxa"/>
            <w:vAlign w:val="center"/>
          </w:tcPr>
          <w:p>
            <w:pPr>
              <w:pStyle w:val="8"/>
              <w:ind w:firstLine="0" w:firstLineChars="0"/>
            </w:pPr>
            <w:r>
              <w:t>敏感</w:t>
            </w:r>
          </w:p>
        </w:tc>
        <w:tc>
          <w:tcPr>
            <w:tcW w:w="1621" w:type="dxa"/>
            <w:vAlign w:val="center"/>
          </w:tcPr>
          <w:p>
            <w:pPr>
              <w:pStyle w:val="8"/>
              <w:ind w:firstLine="0" w:firstLineChars="0"/>
            </w:pPr>
            <w:r>
              <w:t>一</w:t>
            </w:r>
          </w:p>
        </w:tc>
        <w:tc>
          <w:tcPr>
            <w:tcW w:w="2114" w:type="dxa"/>
            <w:vAlign w:val="center"/>
          </w:tcPr>
          <w:p>
            <w:pPr>
              <w:pStyle w:val="8"/>
              <w:ind w:firstLine="0" w:firstLineChars="0"/>
            </w:pPr>
            <w:r>
              <w:t>一</w:t>
            </w:r>
          </w:p>
        </w:tc>
        <w:tc>
          <w:tcPr>
            <w:tcW w:w="2116" w:type="dxa"/>
            <w:vAlign w:val="center"/>
          </w:tcPr>
          <w:p>
            <w:pPr>
              <w:pStyle w:val="8"/>
              <w:ind w:firstLine="0" w:firstLineChars="0"/>
            </w:pPr>
            <w: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5" w:hRule="atLeast"/>
        </w:trPr>
        <w:tc>
          <w:tcPr>
            <w:tcW w:w="2608" w:type="dxa"/>
            <w:vAlign w:val="center"/>
          </w:tcPr>
          <w:p>
            <w:pPr>
              <w:pStyle w:val="8"/>
              <w:ind w:firstLine="0" w:firstLineChars="0"/>
            </w:pPr>
            <w:r>
              <w:t>较敏感</w:t>
            </w:r>
          </w:p>
        </w:tc>
        <w:tc>
          <w:tcPr>
            <w:tcW w:w="1621" w:type="dxa"/>
            <w:vAlign w:val="center"/>
          </w:tcPr>
          <w:p>
            <w:pPr>
              <w:pStyle w:val="8"/>
              <w:ind w:firstLine="0" w:firstLineChars="0"/>
            </w:pPr>
            <w:r>
              <w:t>一</w:t>
            </w:r>
          </w:p>
        </w:tc>
        <w:tc>
          <w:tcPr>
            <w:tcW w:w="2114" w:type="dxa"/>
            <w:vAlign w:val="center"/>
          </w:tcPr>
          <w:p>
            <w:pPr>
              <w:pStyle w:val="8"/>
              <w:ind w:firstLine="0" w:firstLineChars="0"/>
            </w:pPr>
            <w:r>
              <w:t>二</w:t>
            </w:r>
          </w:p>
        </w:tc>
        <w:tc>
          <w:tcPr>
            <w:tcW w:w="2116" w:type="dxa"/>
            <w:vAlign w:val="center"/>
          </w:tcPr>
          <w:p>
            <w:pPr>
              <w:pStyle w:val="8"/>
              <w:ind w:firstLine="0" w:firstLineChars="0"/>
            </w:pPr>
            <w: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2608" w:type="dxa"/>
            <w:vAlign w:val="center"/>
          </w:tcPr>
          <w:p>
            <w:pPr>
              <w:pStyle w:val="8"/>
              <w:ind w:firstLine="0" w:firstLineChars="0"/>
            </w:pPr>
            <w:r>
              <w:t>不敏感</w:t>
            </w:r>
          </w:p>
        </w:tc>
        <w:tc>
          <w:tcPr>
            <w:tcW w:w="1621" w:type="dxa"/>
            <w:vAlign w:val="center"/>
          </w:tcPr>
          <w:p>
            <w:pPr>
              <w:pStyle w:val="8"/>
              <w:ind w:firstLine="0" w:firstLineChars="0"/>
            </w:pPr>
            <w:r>
              <w:t>二</w:t>
            </w:r>
          </w:p>
        </w:tc>
        <w:tc>
          <w:tcPr>
            <w:tcW w:w="2114" w:type="dxa"/>
            <w:vAlign w:val="center"/>
          </w:tcPr>
          <w:p>
            <w:pPr>
              <w:pStyle w:val="8"/>
              <w:ind w:firstLine="0" w:firstLineChars="0"/>
            </w:pPr>
            <w:r>
              <w:t>三</w:t>
            </w:r>
          </w:p>
        </w:tc>
        <w:tc>
          <w:tcPr>
            <w:tcW w:w="2116" w:type="dxa"/>
            <w:vAlign w:val="center"/>
          </w:tcPr>
          <w:p>
            <w:pPr>
              <w:pStyle w:val="8"/>
              <w:ind w:firstLine="0" w:firstLineChars="0"/>
            </w:pPr>
            <w:r>
              <w:t>三</w:t>
            </w:r>
          </w:p>
        </w:tc>
      </w:tr>
    </w:tbl>
    <w:p>
      <w:pPr>
        <w:spacing w:before="120" w:beforeLines="50"/>
        <w:ind w:firstLine="480"/>
      </w:pPr>
      <w:r>
        <w:rPr>
          <w:rFonts w:hint="eastAsia"/>
        </w:rPr>
        <w:t>根据附录A，本项目的地下水环境影响评价项目类别为Ⅲ类项目，对照《环境影响评价技术导则地下水环境》（</w:t>
      </w:r>
      <w:r>
        <w:t>HJ610-2016</w:t>
      </w:r>
      <w:r>
        <w:rPr>
          <w:rFonts w:hint="eastAsia"/>
        </w:rPr>
        <w:t>）中的评价等级分级表，确定本项目育肥场地下水环境影响评价等级为三级，评价范围为项目建设地周边</w:t>
      </w:r>
      <w:r>
        <w:t>6km</w:t>
      </w:r>
      <w:r>
        <w:rPr>
          <w:rFonts w:hint="eastAsia"/>
          <w:vertAlign w:val="superscript"/>
        </w:rPr>
        <w:t>2</w:t>
      </w:r>
      <w:r>
        <w:rPr>
          <w:rFonts w:hint="eastAsia"/>
        </w:rPr>
        <w:t>范围内。</w:t>
      </w:r>
    </w:p>
    <w:p>
      <w:pPr>
        <w:pStyle w:val="5"/>
        <w:spacing w:before="48" w:after="48"/>
      </w:pPr>
      <w:bookmarkStart w:id="117" w:name="_Toc468689115"/>
      <w:r>
        <w:rPr>
          <w:rFonts w:hint="eastAsia"/>
        </w:rPr>
        <w:t>1.4.3声环境评价工作等级和评价范围</w:t>
      </w:r>
      <w:bookmarkEnd w:id="117"/>
    </w:p>
    <w:p>
      <w:pPr>
        <w:spacing w:line="440" w:lineRule="exact"/>
        <w:ind w:firstLine="480"/>
      </w:pPr>
      <w:r>
        <w:rPr>
          <w:rFonts w:hint="eastAsia"/>
        </w:rPr>
        <w:t>项目所在地声环境功能区属于《声环境质量标准》</w:t>
      </w:r>
      <w:r>
        <w:t>(GB3096-2008)</w:t>
      </w:r>
      <w:r>
        <w:rPr>
          <w:rFonts w:hint="eastAsia"/>
        </w:rPr>
        <w:t>规定的</w:t>
      </w:r>
      <w:r>
        <w:t>2</w:t>
      </w:r>
      <w:r>
        <w:rPr>
          <w:rFonts w:hint="eastAsia"/>
        </w:rPr>
        <w:t>类，建设前后敏感目标噪声级增高量在</w:t>
      </w:r>
      <w:r>
        <w:t>3dB（A）以下，</w:t>
      </w:r>
      <w:r>
        <w:rPr>
          <w:rFonts w:hint="eastAsia"/>
        </w:rPr>
        <w:t>场界</w:t>
      </w:r>
      <w:r>
        <w:t>200m内周围基本无居民分布，评价范围内受影响的人数无显著变化。</w:t>
      </w:r>
      <w:r>
        <w:rPr>
          <w:rFonts w:hint="eastAsia"/>
        </w:rPr>
        <w:t>按《环境影响评价技术导则声环境》（</w:t>
      </w:r>
      <w:r>
        <w:t>HJ/T2.4-2009</w:t>
      </w:r>
      <w:r>
        <w:rPr>
          <w:rFonts w:hint="eastAsia"/>
        </w:rPr>
        <w:t>）中规定要求声环境影响评价工作等级定应为二级，评价范围为场界外</w:t>
      </w:r>
      <w:r>
        <w:t>200m</w:t>
      </w:r>
      <w:r>
        <w:rPr>
          <w:rFonts w:hint="eastAsia"/>
        </w:rPr>
        <w:t>范围内。</w:t>
      </w:r>
    </w:p>
    <w:p>
      <w:pPr>
        <w:pStyle w:val="5"/>
        <w:spacing w:before="48" w:after="48"/>
      </w:pPr>
      <w:bookmarkStart w:id="118" w:name="_Toc468689116"/>
      <w:r>
        <w:rPr>
          <w:rFonts w:hint="eastAsia"/>
        </w:rPr>
        <w:t>1.4.4生态环境评价工作等级和评价范围</w:t>
      </w:r>
      <w:bookmarkEnd w:id="118"/>
    </w:p>
    <w:p>
      <w:pPr>
        <w:spacing w:line="440" w:lineRule="exact"/>
        <w:ind w:firstLine="480"/>
      </w:pPr>
      <w:r>
        <w:rPr>
          <w:rFonts w:hint="eastAsia"/>
        </w:rPr>
        <w:t>本项目占地面积约为21.89亩=0.014</w:t>
      </w:r>
      <w:r>
        <w:t>km</w:t>
      </w:r>
      <w:r>
        <w:rPr>
          <w:vertAlign w:val="superscript"/>
        </w:rPr>
        <w:t>2</w:t>
      </w:r>
      <w:r>
        <w:rPr>
          <w:rFonts w:hint="eastAsia"/>
        </w:rPr>
        <w:t>＜</w:t>
      </w:r>
      <w:r>
        <w:t>2km</w:t>
      </w:r>
      <w:r>
        <w:rPr>
          <w:vertAlign w:val="superscript"/>
        </w:rPr>
        <w:t>2</w:t>
      </w:r>
      <w:r>
        <w:rPr>
          <w:rFonts w:hint="eastAsia"/>
        </w:rPr>
        <w:t>，项目所在地为一般区域，确定本次生态环境影响评价为三级，评价范围项目所在地范围内及周边</w:t>
      </w:r>
      <w:r>
        <w:t>200m</w:t>
      </w:r>
      <w:r>
        <w:rPr>
          <w:rFonts w:hint="eastAsia"/>
        </w:rPr>
        <w:t>区域的生态环境调查及评价。</w:t>
      </w:r>
    </w:p>
    <w:p>
      <w:pPr>
        <w:pStyle w:val="11"/>
      </w:pPr>
      <w:r>
        <w:t xml:space="preserve">1.4- </w:t>
      </w:r>
      <w:r>
        <w:fldChar w:fldCharType="begin"/>
      </w:r>
      <w:r>
        <w:instrText xml:space="preserve"> SEQ 1.4- \* ARABIC </w:instrText>
      </w:r>
      <w:r>
        <w:fldChar w:fldCharType="separate"/>
      </w:r>
      <w:r>
        <w:t>3</w:t>
      </w:r>
      <w:r>
        <w:fldChar w:fldCharType="end"/>
      </w:r>
      <w:r>
        <w:rPr>
          <w:rFonts w:hint="eastAsia"/>
        </w:rPr>
        <w:t xml:space="preserve">  生态影响评价工作等级划分表</w:t>
      </w:r>
    </w:p>
    <w:tbl>
      <w:tblPr>
        <w:tblStyle w:val="21"/>
        <w:tblW w:w="87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38"/>
        <w:gridCol w:w="2008"/>
        <w:gridCol w:w="2968"/>
        <w:gridCol w:w="20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1738" w:type="dxa"/>
            <w:vMerge w:val="restart"/>
            <w:vAlign w:val="center"/>
          </w:tcPr>
          <w:p>
            <w:pPr>
              <w:pStyle w:val="8"/>
              <w:ind w:firstLine="0" w:firstLineChars="0"/>
            </w:pPr>
            <w:r>
              <w:rPr>
                <w:rFonts w:hint="eastAsia"/>
              </w:rPr>
              <w:t>影响区域生态</w:t>
            </w:r>
          </w:p>
          <w:p>
            <w:pPr>
              <w:pStyle w:val="8"/>
              <w:ind w:firstLine="0" w:firstLineChars="0"/>
            </w:pPr>
            <w:r>
              <w:rPr>
                <w:rFonts w:hint="eastAsia"/>
              </w:rPr>
              <w:t>敏感性</w:t>
            </w:r>
          </w:p>
        </w:tc>
        <w:tc>
          <w:tcPr>
            <w:tcW w:w="7001" w:type="dxa"/>
            <w:gridSpan w:val="3"/>
            <w:vAlign w:val="center"/>
          </w:tcPr>
          <w:p>
            <w:pPr>
              <w:pStyle w:val="8"/>
              <w:ind w:firstLine="0" w:firstLineChars="0"/>
            </w:pPr>
            <w:r>
              <w:rPr>
                <w:rFonts w:hint="eastAsia"/>
              </w:rPr>
              <w:t>工程占地（水域）范围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1738" w:type="dxa"/>
            <w:vMerge w:val="continue"/>
            <w:vAlign w:val="center"/>
          </w:tcPr>
          <w:p>
            <w:pPr>
              <w:pStyle w:val="8"/>
              <w:ind w:firstLine="0" w:firstLineChars="0"/>
            </w:pPr>
          </w:p>
        </w:tc>
        <w:tc>
          <w:tcPr>
            <w:tcW w:w="2008" w:type="dxa"/>
            <w:vAlign w:val="center"/>
          </w:tcPr>
          <w:p>
            <w:pPr>
              <w:pStyle w:val="8"/>
              <w:ind w:firstLine="0" w:firstLineChars="0"/>
            </w:pPr>
            <w:r>
              <w:rPr>
                <w:rFonts w:hint="eastAsia"/>
              </w:rPr>
              <w:t>面积</w:t>
            </w:r>
            <w:r>
              <w:t>≥20km</w:t>
            </w:r>
            <w:r>
              <w:rPr>
                <w:vertAlign w:val="superscript"/>
              </w:rPr>
              <w:t>2</w:t>
            </w:r>
            <w:r>
              <w:rPr>
                <w:rFonts w:hint="eastAsia"/>
              </w:rPr>
              <w:t>或长度</w:t>
            </w:r>
            <w:r>
              <w:t>≥100km</w:t>
            </w:r>
          </w:p>
        </w:tc>
        <w:tc>
          <w:tcPr>
            <w:tcW w:w="2968" w:type="dxa"/>
            <w:vAlign w:val="center"/>
          </w:tcPr>
          <w:p>
            <w:pPr>
              <w:pStyle w:val="8"/>
              <w:ind w:firstLine="0" w:firstLineChars="0"/>
            </w:pPr>
            <w:r>
              <w:rPr>
                <w:rFonts w:hint="eastAsia"/>
              </w:rPr>
              <w:t>面积</w:t>
            </w:r>
            <w:r>
              <w:t>2km</w:t>
            </w:r>
            <w:r>
              <w:rPr>
                <w:vertAlign w:val="superscript"/>
              </w:rPr>
              <w:t>2</w:t>
            </w:r>
            <w:r>
              <w:t>~20km</w:t>
            </w:r>
            <w:r>
              <w:rPr>
                <w:vertAlign w:val="superscript"/>
              </w:rPr>
              <w:t>2</w:t>
            </w:r>
            <w:r>
              <w:rPr>
                <w:rFonts w:hint="eastAsia"/>
              </w:rPr>
              <w:t>或长度</w:t>
            </w:r>
            <w:r>
              <w:t>50km~100km</w:t>
            </w:r>
          </w:p>
        </w:tc>
        <w:tc>
          <w:tcPr>
            <w:tcW w:w="2025" w:type="dxa"/>
            <w:vAlign w:val="center"/>
          </w:tcPr>
          <w:p>
            <w:pPr>
              <w:pStyle w:val="8"/>
              <w:ind w:firstLine="0" w:firstLineChars="0"/>
            </w:pPr>
            <w:r>
              <w:rPr>
                <w:rFonts w:hint="eastAsia"/>
              </w:rPr>
              <w:t>面积</w:t>
            </w:r>
            <w:r>
              <w:t>≤2km</w:t>
            </w:r>
            <w:r>
              <w:rPr>
                <w:vertAlign w:val="superscript"/>
              </w:rPr>
              <w:t>2</w:t>
            </w:r>
            <w:r>
              <w:rPr>
                <w:rFonts w:hint="eastAsia"/>
              </w:rPr>
              <w:t>或长度</w:t>
            </w:r>
            <w:r>
              <w:t>≤50km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1738" w:type="dxa"/>
            <w:vAlign w:val="center"/>
          </w:tcPr>
          <w:p>
            <w:pPr>
              <w:pStyle w:val="8"/>
              <w:ind w:firstLine="0" w:firstLineChars="0"/>
            </w:pPr>
            <w:r>
              <w:rPr>
                <w:rFonts w:hint="eastAsia"/>
              </w:rPr>
              <w:t>特殊生态敏感区</w:t>
            </w:r>
          </w:p>
        </w:tc>
        <w:tc>
          <w:tcPr>
            <w:tcW w:w="2008" w:type="dxa"/>
            <w:vAlign w:val="center"/>
          </w:tcPr>
          <w:p>
            <w:pPr>
              <w:pStyle w:val="8"/>
              <w:ind w:firstLine="0" w:firstLineChars="0"/>
            </w:pPr>
            <w:r>
              <w:rPr>
                <w:rFonts w:hint="eastAsia"/>
              </w:rPr>
              <w:t>一级</w:t>
            </w:r>
          </w:p>
        </w:tc>
        <w:tc>
          <w:tcPr>
            <w:tcW w:w="2968" w:type="dxa"/>
            <w:vAlign w:val="center"/>
          </w:tcPr>
          <w:p>
            <w:pPr>
              <w:pStyle w:val="8"/>
              <w:ind w:firstLine="0" w:firstLineChars="0"/>
            </w:pPr>
            <w:r>
              <w:rPr>
                <w:rFonts w:hint="eastAsia"/>
              </w:rPr>
              <w:t>一级</w:t>
            </w:r>
          </w:p>
        </w:tc>
        <w:tc>
          <w:tcPr>
            <w:tcW w:w="2025" w:type="dxa"/>
            <w:vAlign w:val="center"/>
          </w:tcPr>
          <w:p>
            <w:pPr>
              <w:pStyle w:val="8"/>
              <w:ind w:firstLine="0" w:firstLineChars="0"/>
            </w:pPr>
            <w:r>
              <w:rPr>
                <w:rFonts w:hint="eastAsia"/>
              </w:rPr>
              <w:t>一级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1738" w:type="dxa"/>
            <w:vAlign w:val="center"/>
          </w:tcPr>
          <w:p>
            <w:pPr>
              <w:pStyle w:val="8"/>
              <w:ind w:firstLine="0" w:firstLineChars="0"/>
            </w:pPr>
            <w:r>
              <w:rPr>
                <w:rFonts w:hint="eastAsia"/>
              </w:rPr>
              <w:t>重要生态敏感区</w:t>
            </w:r>
          </w:p>
        </w:tc>
        <w:tc>
          <w:tcPr>
            <w:tcW w:w="2008" w:type="dxa"/>
            <w:vAlign w:val="center"/>
          </w:tcPr>
          <w:p>
            <w:pPr>
              <w:pStyle w:val="8"/>
              <w:ind w:firstLine="0" w:firstLineChars="0"/>
            </w:pPr>
            <w:r>
              <w:rPr>
                <w:rFonts w:hint="eastAsia"/>
              </w:rPr>
              <w:t>一级</w:t>
            </w:r>
          </w:p>
        </w:tc>
        <w:tc>
          <w:tcPr>
            <w:tcW w:w="2968" w:type="dxa"/>
            <w:vAlign w:val="center"/>
          </w:tcPr>
          <w:p>
            <w:pPr>
              <w:pStyle w:val="8"/>
              <w:ind w:firstLine="0" w:firstLineChars="0"/>
            </w:pPr>
            <w:r>
              <w:rPr>
                <w:rFonts w:hint="eastAsia"/>
              </w:rPr>
              <w:t>二级</w:t>
            </w:r>
          </w:p>
        </w:tc>
        <w:tc>
          <w:tcPr>
            <w:tcW w:w="2025" w:type="dxa"/>
            <w:vAlign w:val="center"/>
          </w:tcPr>
          <w:p>
            <w:pPr>
              <w:pStyle w:val="8"/>
              <w:ind w:firstLine="0" w:firstLineChars="0"/>
            </w:pPr>
            <w:r>
              <w:rPr>
                <w:rFonts w:hint="eastAsia"/>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1738" w:type="dxa"/>
            <w:vAlign w:val="center"/>
          </w:tcPr>
          <w:p>
            <w:pPr>
              <w:pStyle w:val="8"/>
              <w:ind w:firstLine="0" w:firstLineChars="0"/>
            </w:pPr>
            <w:r>
              <w:rPr>
                <w:rFonts w:hint="eastAsia"/>
              </w:rPr>
              <w:t>一般区域</w:t>
            </w:r>
          </w:p>
        </w:tc>
        <w:tc>
          <w:tcPr>
            <w:tcW w:w="2008" w:type="dxa"/>
            <w:vAlign w:val="center"/>
          </w:tcPr>
          <w:p>
            <w:pPr>
              <w:pStyle w:val="8"/>
              <w:ind w:firstLine="0" w:firstLineChars="0"/>
            </w:pPr>
            <w:r>
              <w:rPr>
                <w:rFonts w:hint="eastAsia"/>
              </w:rPr>
              <w:t>二级</w:t>
            </w:r>
          </w:p>
        </w:tc>
        <w:tc>
          <w:tcPr>
            <w:tcW w:w="2968" w:type="dxa"/>
            <w:vAlign w:val="center"/>
          </w:tcPr>
          <w:p>
            <w:pPr>
              <w:pStyle w:val="8"/>
              <w:ind w:firstLine="0" w:firstLineChars="0"/>
            </w:pPr>
            <w:r>
              <w:rPr>
                <w:rFonts w:hint="eastAsia"/>
              </w:rPr>
              <w:t>三级</w:t>
            </w:r>
          </w:p>
        </w:tc>
        <w:tc>
          <w:tcPr>
            <w:tcW w:w="2025" w:type="dxa"/>
            <w:vAlign w:val="center"/>
          </w:tcPr>
          <w:p>
            <w:pPr>
              <w:pStyle w:val="8"/>
              <w:ind w:firstLine="0" w:firstLineChars="0"/>
            </w:pPr>
            <w:r>
              <w:rPr>
                <w:rFonts w:hint="eastAsia"/>
              </w:rPr>
              <w:t>三级</w:t>
            </w:r>
          </w:p>
        </w:tc>
      </w:tr>
    </w:tbl>
    <w:p>
      <w:pPr>
        <w:pStyle w:val="5"/>
        <w:spacing w:before="48" w:after="48"/>
      </w:pPr>
      <w:bookmarkStart w:id="119" w:name="_Toc468689118"/>
      <w:bookmarkStart w:id="120" w:name="_Toc220122772"/>
      <w:bookmarkStart w:id="121" w:name="_Toc249433215"/>
      <w:bookmarkStart w:id="122" w:name="_Toc289344520"/>
      <w:bookmarkStart w:id="123" w:name="_Toc219258498"/>
      <w:r>
        <w:rPr>
          <w:rFonts w:hint="eastAsia"/>
        </w:rPr>
        <w:t>1.4.5环境风险评价工作等级及评价范围</w:t>
      </w:r>
    </w:p>
    <w:p>
      <w:pPr>
        <w:spacing w:line="440" w:lineRule="exact"/>
        <w:ind w:firstLine="480"/>
      </w:pPr>
      <w:r>
        <w:rPr>
          <w:rFonts w:hint="eastAsia"/>
        </w:rPr>
        <w:t>本项目环境风险物质最大存在总量与临界量比值Q=q1/Q1＜1，根据《建设项目环境风险评价技术导则》（HJ/T169-2018）的相关要求，判定本项目环境风险潜势均为Ⅰ，即本项目环境风险可开展简要分析。见表 1.4-4。本项目通过对风险评价因子的定性分析，确定</w:t>
      </w:r>
      <w:r>
        <w:t>生产过程排放的“三废”污染物等进行分析</w:t>
      </w:r>
      <w:r>
        <w:rPr>
          <w:rFonts w:hint="eastAsia"/>
        </w:rPr>
        <w:t>，从而提出合理可行的措施。</w:t>
      </w:r>
    </w:p>
    <w:p>
      <w:pPr>
        <w:pStyle w:val="11"/>
      </w:pPr>
      <w:r>
        <w:t xml:space="preserve">1.4- </w:t>
      </w:r>
      <w:r>
        <w:fldChar w:fldCharType="begin"/>
      </w:r>
      <w:r>
        <w:instrText xml:space="preserve"> SEQ 1.4- \* ARABIC </w:instrText>
      </w:r>
      <w:r>
        <w:fldChar w:fldCharType="separate"/>
      </w:r>
      <w:r>
        <w:t>4</w:t>
      </w:r>
      <w:r>
        <w:fldChar w:fldCharType="end"/>
      </w:r>
      <w:r>
        <w:rPr>
          <w:rFonts w:hint="eastAsia"/>
        </w:rPr>
        <w:t xml:space="preserve">  </w:t>
      </w:r>
      <w:r>
        <w:t>风险评价等级判据表</w:t>
      </w:r>
    </w:p>
    <w:tbl>
      <w:tblPr>
        <w:tblStyle w:val="21"/>
        <w:tblW w:w="94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58"/>
        <w:gridCol w:w="1395"/>
        <w:gridCol w:w="1726"/>
        <w:gridCol w:w="1724"/>
        <w:gridCol w:w="23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2158" w:type="dxa"/>
            <w:vAlign w:val="center"/>
          </w:tcPr>
          <w:p>
            <w:pPr>
              <w:pStyle w:val="8"/>
              <w:ind w:firstLine="0" w:firstLineChars="0"/>
            </w:pPr>
            <w:r>
              <w:t>环境风险潜势</w:t>
            </w:r>
          </w:p>
        </w:tc>
        <w:tc>
          <w:tcPr>
            <w:tcW w:w="1395" w:type="dxa"/>
            <w:vAlign w:val="center"/>
          </w:tcPr>
          <w:p>
            <w:pPr>
              <w:pStyle w:val="8"/>
              <w:ind w:firstLine="0" w:firstLineChars="0"/>
            </w:pPr>
            <w:r>
              <w:t xml:space="preserve">Ⅳ、Ⅳ+ </w:t>
            </w:r>
          </w:p>
        </w:tc>
        <w:tc>
          <w:tcPr>
            <w:tcW w:w="1726" w:type="dxa"/>
            <w:vAlign w:val="center"/>
          </w:tcPr>
          <w:p>
            <w:pPr>
              <w:pStyle w:val="8"/>
              <w:ind w:firstLine="0" w:firstLineChars="0"/>
            </w:pPr>
            <w:r>
              <w:t>Ⅲ</w:t>
            </w:r>
          </w:p>
        </w:tc>
        <w:tc>
          <w:tcPr>
            <w:tcW w:w="1724" w:type="dxa"/>
            <w:vAlign w:val="center"/>
          </w:tcPr>
          <w:p>
            <w:pPr>
              <w:pStyle w:val="8"/>
              <w:ind w:firstLine="0" w:firstLineChars="0"/>
            </w:pPr>
            <w:r>
              <w:t>Ⅱ</w:t>
            </w:r>
          </w:p>
        </w:tc>
        <w:tc>
          <w:tcPr>
            <w:tcW w:w="2397" w:type="dxa"/>
            <w:vAlign w:val="center"/>
          </w:tcPr>
          <w:p>
            <w:pPr>
              <w:pStyle w:val="8"/>
              <w:ind w:firstLine="0" w:firstLineChars="0"/>
            </w:pPr>
            <w: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2158" w:type="dxa"/>
            <w:vAlign w:val="center"/>
          </w:tcPr>
          <w:p>
            <w:pPr>
              <w:pStyle w:val="8"/>
              <w:ind w:firstLine="0" w:firstLineChars="0"/>
            </w:pPr>
            <w:r>
              <w:t>评价工作等级</w:t>
            </w:r>
          </w:p>
        </w:tc>
        <w:tc>
          <w:tcPr>
            <w:tcW w:w="1395" w:type="dxa"/>
            <w:vAlign w:val="center"/>
          </w:tcPr>
          <w:p>
            <w:pPr>
              <w:pStyle w:val="8"/>
              <w:ind w:firstLine="0" w:firstLineChars="0"/>
            </w:pPr>
            <w:r>
              <w:t>一</w:t>
            </w:r>
          </w:p>
        </w:tc>
        <w:tc>
          <w:tcPr>
            <w:tcW w:w="1726" w:type="dxa"/>
            <w:vAlign w:val="center"/>
          </w:tcPr>
          <w:p>
            <w:pPr>
              <w:pStyle w:val="8"/>
              <w:ind w:firstLine="0" w:firstLineChars="0"/>
            </w:pPr>
            <w:r>
              <w:t>二</w:t>
            </w:r>
          </w:p>
        </w:tc>
        <w:tc>
          <w:tcPr>
            <w:tcW w:w="1724" w:type="dxa"/>
            <w:vAlign w:val="center"/>
          </w:tcPr>
          <w:p>
            <w:pPr>
              <w:pStyle w:val="8"/>
              <w:ind w:firstLine="0" w:firstLineChars="0"/>
            </w:pPr>
            <w:r>
              <w:t>三</w:t>
            </w:r>
          </w:p>
        </w:tc>
        <w:tc>
          <w:tcPr>
            <w:tcW w:w="2397" w:type="dxa"/>
            <w:vAlign w:val="center"/>
          </w:tcPr>
          <w:p>
            <w:pPr>
              <w:pStyle w:val="8"/>
              <w:ind w:firstLine="0" w:firstLineChars="0"/>
            </w:pPr>
            <w:r>
              <w:t>简单分析a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9400" w:type="dxa"/>
            <w:gridSpan w:val="5"/>
            <w:vAlign w:val="center"/>
          </w:tcPr>
          <w:p>
            <w:pPr>
              <w:pStyle w:val="8"/>
              <w:ind w:firstLine="0" w:firstLineChars="0"/>
            </w:pPr>
            <w:r>
              <w:t>a 是相对于详细评价工作内容而言，在描述危险物质、环境影响途径、环境危害后果、风险防范措施等方面给出定性的说明</w:t>
            </w:r>
          </w:p>
        </w:tc>
      </w:tr>
    </w:tbl>
    <w:p>
      <w:pPr>
        <w:spacing w:before="120" w:beforeLines="50"/>
        <w:ind w:firstLine="480"/>
      </w:pPr>
      <w:r>
        <w:rPr>
          <w:rFonts w:hint="eastAsia"/>
        </w:rPr>
        <w:t>评价范围：以项目所在地为中心</w:t>
      </w:r>
      <w:r>
        <w:t>，3km</w:t>
      </w:r>
      <w:r>
        <w:rPr>
          <w:rFonts w:hint="eastAsia"/>
        </w:rPr>
        <w:t>范围内区域。</w:t>
      </w:r>
    </w:p>
    <w:p>
      <w:pPr>
        <w:pStyle w:val="5"/>
        <w:spacing w:before="48" w:after="48"/>
      </w:pPr>
      <w:r>
        <w:rPr>
          <w:rFonts w:hint="eastAsia"/>
        </w:rPr>
        <w:t>1.4.6土壤环境评价及评价范围</w:t>
      </w:r>
    </w:p>
    <w:p>
      <w:pPr>
        <w:spacing w:line="440" w:lineRule="exact"/>
        <w:ind w:firstLine="480"/>
      </w:pPr>
      <w:r>
        <w:rPr>
          <w:rFonts w:hint="eastAsia"/>
        </w:rPr>
        <w:t>本项目为牲猪养殖，属于农林牧渔业。根据</w:t>
      </w:r>
      <w:r>
        <w:t xml:space="preserve">《环境影响评价技术导则 </w:t>
      </w:r>
      <w:r>
        <w:rPr>
          <w:rFonts w:hint="eastAsia"/>
        </w:rPr>
        <w:t>土壤环境（试行）</w:t>
      </w:r>
      <w:r>
        <w:t>》（HJ</w:t>
      </w:r>
      <w:r>
        <w:rPr>
          <w:rFonts w:hint="eastAsia"/>
        </w:rPr>
        <w:t>964-2018</w:t>
      </w:r>
      <w:r>
        <w:t>）</w:t>
      </w:r>
      <w:r>
        <w:rPr>
          <w:rFonts w:hint="eastAsia"/>
        </w:rPr>
        <w:t>附录A，土壤环境影响评价类别为III类。</w:t>
      </w:r>
    </w:p>
    <w:p>
      <w:pPr>
        <w:spacing w:line="440" w:lineRule="exact"/>
        <w:ind w:firstLine="480"/>
      </w:pPr>
      <w:r>
        <w:rPr>
          <w:rFonts w:hint="eastAsia"/>
        </w:rPr>
        <w:t>本项目为污染影响型，项目永久占地规模为1.45hm</w:t>
      </w:r>
      <w:r>
        <w:rPr>
          <w:rFonts w:hint="eastAsia"/>
          <w:vertAlign w:val="superscript"/>
        </w:rPr>
        <w:t>2</w:t>
      </w:r>
      <w:r>
        <w:rPr>
          <w:rFonts w:hint="eastAsia"/>
        </w:rPr>
        <w:t>，小于5hm</w:t>
      </w:r>
      <w:r>
        <w:rPr>
          <w:rFonts w:hint="eastAsia"/>
          <w:vertAlign w:val="superscript"/>
        </w:rPr>
        <w:t>2</w:t>
      </w:r>
      <w:r>
        <w:rPr>
          <w:rFonts w:hint="eastAsia"/>
        </w:rPr>
        <w:t>，根据</w:t>
      </w:r>
      <w:r>
        <w:t xml:space="preserve">《环境影响评价技术导则 </w:t>
      </w:r>
      <w:r>
        <w:rPr>
          <w:rFonts w:hint="eastAsia"/>
        </w:rPr>
        <w:t>土壤环境（试行）</w:t>
      </w:r>
      <w:r>
        <w:t>》（HJ</w:t>
      </w:r>
      <w:r>
        <w:rPr>
          <w:rFonts w:hint="eastAsia"/>
        </w:rPr>
        <w:t>964-2018</w:t>
      </w:r>
      <w:r>
        <w:t>）</w:t>
      </w:r>
      <w:r>
        <w:rPr>
          <w:rFonts w:hint="eastAsia"/>
        </w:rPr>
        <w:t>，占地规模为小型。</w:t>
      </w:r>
    </w:p>
    <w:p>
      <w:pPr>
        <w:spacing w:line="440" w:lineRule="exact"/>
        <w:ind w:firstLine="480"/>
      </w:pPr>
      <w:r>
        <w:rPr>
          <w:rFonts w:hint="eastAsia"/>
        </w:rPr>
        <w:t xml:space="preserve">项目所在地周边土壤环境敏感程度判定依据如表1.4-5所示。本项目所在地经周边存在耕地，故土壤环境敏感程度判定为敏感。     </w:t>
      </w:r>
    </w:p>
    <w:p>
      <w:pPr>
        <w:pStyle w:val="11"/>
      </w:pPr>
      <w:r>
        <w:t xml:space="preserve">1.4- </w:t>
      </w:r>
      <w:r>
        <w:fldChar w:fldCharType="begin"/>
      </w:r>
      <w:r>
        <w:instrText xml:space="preserve"> SEQ 1.4- \* ARABIC </w:instrText>
      </w:r>
      <w:r>
        <w:fldChar w:fldCharType="separate"/>
      </w:r>
      <w:r>
        <w:t>5</w:t>
      </w:r>
      <w:r>
        <w:fldChar w:fldCharType="end"/>
      </w:r>
      <w:r>
        <w:rPr>
          <w:rFonts w:hint="eastAsia"/>
        </w:rPr>
        <w:t xml:space="preserve">  污染影响型敏感程度分级表</w:t>
      </w:r>
    </w:p>
    <w:tbl>
      <w:tblPr>
        <w:tblStyle w:val="21"/>
        <w:tblW w:w="85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52"/>
        <w:gridCol w:w="71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452" w:type="dxa"/>
            <w:vAlign w:val="center"/>
          </w:tcPr>
          <w:p>
            <w:pPr>
              <w:pStyle w:val="8"/>
              <w:ind w:firstLine="0" w:firstLineChars="0"/>
            </w:pPr>
            <w:r>
              <w:rPr>
                <w:rFonts w:hint="eastAsia"/>
              </w:rPr>
              <w:t>敏感程度</w:t>
            </w:r>
          </w:p>
        </w:tc>
        <w:tc>
          <w:tcPr>
            <w:tcW w:w="7147" w:type="dxa"/>
          </w:tcPr>
          <w:p>
            <w:pPr>
              <w:pStyle w:val="8"/>
              <w:ind w:firstLine="0" w:firstLineChars="0"/>
            </w:pPr>
            <w:r>
              <w:rPr>
                <w:rFonts w:hint="eastAsia"/>
              </w:rPr>
              <w:t>判别依据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1452" w:type="dxa"/>
            <w:vAlign w:val="center"/>
          </w:tcPr>
          <w:p>
            <w:pPr>
              <w:pStyle w:val="8"/>
              <w:ind w:firstLine="0" w:firstLineChars="0"/>
            </w:pPr>
            <w:r>
              <w:rPr>
                <w:rFonts w:hint="eastAsia"/>
              </w:rPr>
              <w:t>敏感</w:t>
            </w:r>
          </w:p>
        </w:tc>
        <w:tc>
          <w:tcPr>
            <w:tcW w:w="7147" w:type="dxa"/>
          </w:tcPr>
          <w:p>
            <w:pPr>
              <w:pStyle w:val="8"/>
              <w:ind w:firstLine="0" w:firstLineChars="0"/>
            </w:pPr>
            <w:r>
              <w:rPr>
                <w:rFonts w:hint="eastAsia"/>
              </w:rP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452" w:type="dxa"/>
            <w:vAlign w:val="center"/>
          </w:tcPr>
          <w:p>
            <w:pPr>
              <w:pStyle w:val="8"/>
              <w:ind w:firstLine="0" w:firstLineChars="0"/>
            </w:pPr>
            <w:r>
              <w:rPr>
                <w:rFonts w:hint="eastAsia"/>
              </w:rPr>
              <w:t>较敏感</w:t>
            </w:r>
          </w:p>
        </w:tc>
        <w:tc>
          <w:tcPr>
            <w:tcW w:w="7147" w:type="dxa"/>
          </w:tcPr>
          <w:p>
            <w:pPr>
              <w:pStyle w:val="8"/>
              <w:ind w:firstLine="0" w:firstLineChars="0"/>
            </w:pPr>
            <w:r>
              <w:rPr>
                <w:rFonts w:hint="eastAsia"/>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1452" w:type="dxa"/>
            <w:vAlign w:val="center"/>
          </w:tcPr>
          <w:p>
            <w:pPr>
              <w:pStyle w:val="8"/>
              <w:ind w:firstLine="0" w:firstLineChars="0"/>
            </w:pPr>
            <w:r>
              <w:t>不敏感</w:t>
            </w:r>
          </w:p>
        </w:tc>
        <w:tc>
          <w:tcPr>
            <w:tcW w:w="7147" w:type="dxa"/>
          </w:tcPr>
          <w:p>
            <w:pPr>
              <w:pStyle w:val="8"/>
              <w:ind w:firstLine="0" w:firstLineChars="0"/>
            </w:pPr>
            <w:r>
              <w:t>其他情况</w:t>
            </w:r>
          </w:p>
        </w:tc>
      </w:tr>
    </w:tbl>
    <w:p>
      <w:pPr>
        <w:spacing w:before="120" w:beforeLines="50"/>
        <w:ind w:firstLine="480"/>
      </w:pPr>
      <w:r>
        <w:t>根据土壤环境影响评价项目类别、占地规模与敏感程度划分评价工作等级，详见表</w:t>
      </w:r>
      <w:r>
        <w:rPr>
          <w:rFonts w:hint="eastAsia"/>
        </w:rPr>
        <w:t>1.4-6</w:t>
      </w:r>
      <w:r>
        <w:t xml:space="preserve">。     </w:t>
      </w:r>
    </w:p>
    <w:p>
      <w:pPr>
        <w:pStyle w:val="11"/>
        <w:rPr>
          <w:highlight w:val="yellow"/>
        </w:rPr>
      </w:pPr>
      <w:r>
        <w:t xml:space="preserve">1.4- </w:t>
      </w:r>
      <w:r>
        <w:fldChar w:fldCharType="begin"/>
      </w:r>
      <w:r>
        <w:instrText xml:space="preserve"> SEQ 1.4- \* ARABIC </w:instrText>
      </w:r>
      <w:r>
        <w:fldChar w:fldCharType="separate"/>
      </w:r>
      <w:r>
        <w:t>6</w:t>
      </w:r>
      <w:r>
        <w:fldChar w:fldCharType="end"/>
      </w:r>
      <w:r>
        <w:rPr>
          <w:rFonts w:hint="eastAsia"/>
        </w:rPr>
        <w:t xml:space="preserve">  </w:t>
      </w:r>
      <w:r>
        <w:t>污染影响型评价工作等级划分表</w:t>
      </w:r>
    </w:p>
    <w:tbl>
      <w:tblPr>
        <w:tblStyle w:val="21"/>
        <w:tblW w:w="93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4"/>
        <w:gridCol w:w="872"/>
        <w:gridCol w:w="872"/>
        <w:gridCol w:w="873"/>
        <w:gridCol w:w="872"/>
        <w:gridCol w:w="873"/>
        <w:gridCol w:w="873"/>
        <w:gridCol w:w="872"/>
        <w:gridCol w:w="872"/>
        <w:gridCol w:w="8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544" w:type="dxa"/>
            <w:vMerge w:val="restart"/>
          </w:tcPr>
          <w:p>
            <w:pPr>
              <w:pStyle w:val="8"/>
              <w:ind w:firstLine="0" w:firstLineChars="0"/>
            </w:pPr>
            <w:r>
              <w:rPr>
                <w:rFonts w:hint="eastAsia"/>
              </w:rPr>
              <w:t xml:space="preserve">    </w:t>
            </w:r>
            <w:r>
              <w:t>占地规模</w:t>
            </w:r>
          </w:p>
          <w:p>
            <w:pPr>
              <w:pStyle w:val="8"/>
              <w:ind w:firstLine="0" w:firstLineChars="0"/>
              <w:jc w:val="both"/>
            </w:pPr>
            <w:r>
              <w:t>敏感程度</w:t>
            </w:r>
          </w:p>
        </w:tc>
        <w:tc>
          <w:tcPr>
            <w:tcW w:w="2617" w:type="dxa"/>
            <w:gridSpan w:val="3"/>
          </w:tcPr>
          <w:p>
            <w:pPr>
              <w:pStyle w:val="8"/>
              <w:ind w:firstLine="0" w:firstLineChars="0"/>
            </w:pPr>
            <w:r>
              <w:t>I类</w:t>
            </w:r>
          </w:p>
        </w:tc>
        <w:tc>
          <w:tcPr>
            <w:tcW w:w="2618" w:type="dxa"/>
            <w:gridSpan w:val="3"/>
          </w:tcPr>
          <w:p>
            <w:pPr>
              <w:pStyle w:val="8"/>
              <w:ind w:firstLine="0" w:firstLineChars="0"/>
            </w:pPr>
            <w:r>
              <w:t>II类</w:t>
            </w:r>
          </w:p>
        </w:tc>
        <w:tc>
          <w:tcPr>
            <w:tcW w:w="2618" w:type="dxa"/>
            <w:gridSpan w:val="3"/>
          </w:tcPr>
          <w:p>
            <w:pPr>
              <w:pStyle w:val="8"/>
              <w:ind w:firstLine="0" w:firstLineChars="0"/>
            </w:pPr>
            <w:r>
              <w:t>III类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544" w:type="dxa"/>
            <w:vMerge w:val="continue"/>
          </w:tcPr>
          <w:p>
            <w:pPr>
              <w:pStyle w:val="8"/>
              <w:ind w:firstLine="0" w:firstLineChars="0"/>
            </w:pPr>
          </w:p>
        </w:tc>
        <w:tc>
          <w:tcPr>
            <w:tcW w:w="872" w:type="dxa"/>
          </w:tcPr>
          <w:p>
            <w:pPr>
              <w:pStyle w:val="8"/>
              <w:ind w:firstLine="0" w:firstLineChars="0"/>
            </w:pPr>
            <w:r>
              <w:t>大</w:t>
            </w:r>
          </w:p>
        </w:tc>
        <w:tc>
          <w:tcPr>
            <w:tcW w:w="872" w:type="dxa"/>
          </w:tcPr>
          <w:p>
            <w:pPr>
              <w:pStyle w:val="8"/>
              <w:ind w:firstLine="0" w:firstLineChars="0"/>
            </w:pPr>
            <w:r>
              <w:t>中</w:t>
            </w:r>
          </w:p>
        </w:tc>
        <w:tc>
          <w:tcPr>
            <w:tcW w:w="873" w:type="dxa"/>
          </w:tcPr>
          <w:p>
            <w:pPr>
              <w:pStyle w:val="8"/>
              <w:ind w:firstLine="0" w:firstLineChars="0"/>
            </w:pPr>
            <w:r>
              <w:t>小</w:t>
            </w:r>
          </w:p>
        </w:tc>
        <w:tc>
          <w:tcPr>
            <w:tcW w:w="872" w:type="dxa"/>
          </w:tcPr>
          <w:p>
            <w:pPr>
              <w:pStyle w:val="8"/>
              <w:ind w:firstLine="0" w:firstLineChars="0"/>
            </w:pPr>
            <w:r>
              <w:t>大</w:t>
            </w:r>
          </w:p>
        </w:tc>
        <w:tc>
          <w:tcPr>
            <w:tcW w:w="873" w:type="dxa"/>
          </w:tcPr>
          <w:p>
            <w:pPr>
              <w:pStyle w:val="8"/>
              <w:ind w:firstLine="0" w:firstLineChars="0"/>
            </w:pPr>
            <w:r>
              <w:t>中</w:t>
            </w:r>
          </w:p>
        </w:tc>
        <w:tc>
          <w:tcPr>
            <w:tcW w:w="873" w:type="dxa"/>
          </w:tcPr>
          <w:p>
            <w:pPr>
              <w:pStyle w:val="8"/>
              <w:ind w:firstLine="0" w:firstLineChars="0"/>
            </w:pPr>
            <w:r>
              <w:t>小</w:t>
            </w:r>
          </w:p>
        </w:tc>
        <w:tc>
          <w:tcPr>
            <w:tcW w:w="872" w:type="dxa"/>
          </w:tcPr>
          <w:p>
            <w:pPr>
              <w:pStyle w:val="8"/>
              <w:ind w:firstLine="0" w:firstLineChars="0"/>
            </w:pPr>
            <w:r>
              <w:t>大</w:t>
            </w:r>
          </w:p>
        </w:tc>
        <w:tc>
          <w:tcPr>
            <w:tcW w:w="872" w:type="dxa"/>
          </w:tcPr>
          <w:p>
            <w:pPr>
              <w:pStyle w:val="8"/>
              <w:ind w:firstLine="0" w:firstLineChars="0"/>
            </w:pPr>
            <w:r>
              <w:t>中</w:t>
            </w:r>
          </w:p>
        </w:tc>
        <w:tc>
          <w:tcPr>
            <w:tcW w:w="874" w:type="dxa"/>
          </w:tcPr>
          <w:p>
            <w:pPr>
              <w:pStyle w:val="8"/>
              <w:ind w:firstLine="0" w:firstLineChars="0"/>
            </w:pPr>
            <w: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544" w:type="dxa"/>
          </w:tcPr>
          <w:p>
            <w:pPr>
              <w:pStyle w:val="8"/>
              <w:ind w:firstLine="0" w:firstLineChars="0"/>
            </w:pPr>
            <w:r>
              <w:t>敏感</w:t>
            </w:r>
          </w:p>
        </w:tc>
        <w:tc>
          <w:tcPr>
            <w:tcW w:w="872" w:type="dxa"/>
          </w:tcPr>
          <w:p>
            <w:pPr>
              <w:pStyle w:val="8"/>
              <w:ind w:firstLine="0" w:firstLineChars="0"/>
            </w:pPr>
            <w:r>
              <w:t>一级</w:t>
            </w:r>
          </w:p>
        </w:tc>
        <w:tc>
          <w:tcPr>
            <w:tcW w:w="872" w:type="dxa"/>
          </w:tcPr>
          <w:p>
            <w:pPr>
              <w:pStyle w:val="8"/>
              <w:ind w:firstLine="0" w:firstLineChars="0"/>
            </w:pPr>
            <w:r>
              <w:t>一级</w:t>
            </w:r>
          </w:p>
        </w:tc>
        <w:tc>
          <w:tcPr>
            <w:tcW w:w="873" w:type="dxa"/>
          </w:tcPr>
          <w:p>
            <w:pPr>
              <w:pStyle w:val="8"/>
              <w:ind w:firstLine="0" w:firstLineChars="0"/>
            </w:pPr>
            <w:r>
              <w:t>一级</w:t>
            </w:r>
          </w:p>
        </w:tc>
        <w:tc>
          <w:tcPr>
            <w:tcW w:w="872" w:type="dxa"/>
          </w:tcPr>
          <w:p>
            <w:pPr>
              <w:pStyle w:val="8"/>
              <w:ind w:firstLine="0" w:firstLineChars="0"/>
            </w:pPr>
            <w:r>
              <w:t>二级</w:t>
            </w:r>
          </w:p>
        </w:tc>
        <w:tc>
          <w:tcPr>
            <w:tcW w:w="873" w:type="dxa"/>
          </w:tcPr>
          <w:p>
            <w:pPr>
              <w:pStyle w:val="8"/>
              <w:ind w:firstLine="0" w:firstLineChars="0"/>
            </w:pPr>
            <w:r>
              <w:t>二级</w:t>
            </w:r>
          </w:p>
        </w:tc>
        <w:tc>
          <w:tcPr>
            <w:tcW w:w="873" w:type="dxa"/>
          </w:tcPr>
          <w:p>
            <w:pPr>
              <w:pStyle w:val="8"/>
              <w:ind w:firstLine="0" w:firstLineChars="0"/>
            </w:pPr>
            <w:r>
              <w:t>二级</w:t>
            </w:r>
          </w:p>
        </w:tc>
        <w:tc>
          <w:tcPr>
            <w:tcW w:w="872" w:type="dxa"/>
          </w:tcPr>
          <w:p>
            <w:pPr>
              <w:pStyle w:val="8"/>
              <w:ind w:firstLine="0" w:firstLineChars="0"/>
            </w:pPr>
            <w:r>
              <w:t>三级</w:t>
            </w:r>
          </w:p>
        </w:tc>
        <w:tc>
          <w:tcPr>
            <w:tcW w:w="872" w:type="dxa"/>
          </w:tcPr>
          <w:p>
            <w:pPr>
              <w:pStyle w:val="8"/>
              <w:ind w:firstLine="0" w:firstLineChars="0"/>
            </w:pPr>
            <w:r>
              <w:t>三级</w:t>
            </w:r>
          </w:p>
        </w:tc>
        <w:tc>
          <w:tcPr>
            <w:tcW w:w="874" w:type="dxa"/>
          </w:tcPr>
          <w:p>
            <w:pPr>
              <w:pStyle w:val="8"/>
              <w:ind w:firstLine="0" w:firstLineChars="0"/>
            </w:pPr>
            <w: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544" w:type="dxa"/>
          </w:tcPr>
          <w:p>
            <w:pPr>
              <w:pStyle w:val="8"/>
              <w:ind w:firstLine="0" w:firstLineChars="0"/>
            </w:pPr>
            <w:r>
              <w:t>较敏感</w:t>
            </w:r>
          </w:p>
        </w:tc>
        <w:tc>
          <w:tcPr>
            <w:tcW w:w="872" w:type="dxa"/>
          </w:tcPr>
          <w:p>
            <w:pPr>
              <w:pStyle w:val="8"/>
              <w:ind w:firstLine="0" w:firstLineChars="0"/>
            </w:pPr>
            <w:r>
              <w:t>一级</w:t>
            </w:r>
          </w:p>
        </w:tc>
        <w:tc>
          <w:tcPr>
            <w:tcW w:w="872" w:type="dxa"/>
          </w:tcPr>
          <w:p>
            <w:pPr>
              <w:pStyle w:val="8"/>
              <w:ind w:firstLine="0" w:firstLineChars="0"/>
            </w:pPr>
            <w:r>
              <w:t>一级</w:t>
            </w:r>
          </w:p>
        </w:tc>
        <w:tc>
          <w:tcPr>
            <w:tcW w:w="873" w:type="dxa"/>
          </w:tcPr>
          <w:p>
            <w:pPr>
              <w:pStyle w:val="8"/>
              <w:ind w:firstLine="0" w:firstLineChars="0"/>
            </w:pPr>
            <w:r>
              <w:t>二级</w:t>
            </w:r>
          </w:p>
        </w:tc>
        <w:tc>
          <w:tcPr>
            <w:tcW w:w="872" w:type="dxa"/>
          </w:tcPr>
          <w:p>
            <w:pPr>
              <w:pStyle w:val="8"/>
              <w:ind w:firstLine="0" w:firstLineChars="0"/>
            </w:pPr>
            <w:r>
              <w:t>二级</w:t>
            </w:r>
          </w:p>
        </w:tc>
        <w:tc>
          <w:tcPr>
            <w:tcW w:w="873" w:type="dxa"/>
          </w:tcPr>
          <w:p>
            <w:pPr>
              <w:pStyle w:val="8"/>
              <w:ind w:firstLine="0" w:firstLineChars="0"/>
            </w:pPr>
            <w:r>
              <w:t>二级</w:t>
            </w:r>
          </w:p>
        </w:tc>
        <w:tc>
          <w:tcPr>
            <w:tcW w:w="873" w:type="dxa"/>
          </w:tcPr>
          <w:p>
            <w:pPr>
              <w:pStyle w:val="8"/>
              <w:ind w:firstLine="0" w:firstLineChars="0"/>
            </w:pPr>
            <w:r>
              <w:t>三级</w:t>
            </w:r>
          </w:p>
        </w:tc>
        <w:tc>
          <w:tcPr>
            <w:tcW w:w="872" w:type="dxa"/>
          </w:tcPr>
          <w:p>
            <w:pPr>
              <w:pStyle w:val="8"/>
              <w:ind w:firstLine="0" w:firstLineChars="0"/>
            </w:pPr>
            <w:r>
              <w:t>三级</w:t>
            </w:r>
          </w:p>
        </w:tc>
        <w:tc>
          <w:tcPr>
            <w:tcW w:w="872" w:type="dxa"/>
          </w:tcPr>
          <w:p>
            <w:pPr>
              <w:pStyle w:val="8"/>
              <w:ind w:firstLine="0" w:firstLineChars="0"/>
            </w:pPr>
            <w:r>
              <w:t>三级</w:t>
            </w:r>
          </w:p>
        </w:tc>
        <w:tc>
          <w:tcPr>
            <w:tcW w:w="874" w:type="dxa"/>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544" w:type="dxa"/>
          </w:tcPr>
          <w:p>
            <w:pPr>
              <w:pStyle w:val="8"/>
              <w:ind w:firstLine="0" w:firstLineChars="0"/>
            </w:pPr>
            <w:r>
              <w:t>不敏感</w:t>
            </w:r>
          </w:p>
        </w:tc>
        <w:tc>
          <w:tcPr>
            <w:tcW w:w="872" w:type="dxa"/>
          </w:tcPr>
          <w:p>
            <w:pPr>
              <w:pStyle w:val="8"/>
              <w:ind w:firstLine="0" w:firstLineChars="0"/>
            </w:pPr>
            <w:r>
              <w:t>一级</w:t>
            </w:r>
          </w:p>
        </w:tc>
        <w:tc>
          <w:tcPr>
            <w:tcW w:w="872" w:type="dxa"/>
          </w:tcPr>
          <w:p>
            <w:pPr>
              <w:pStyle w:val="8"/>
              <w:ind w:firstLine="0" w:firstLineChars="0"/>
            </w:pPr>
            <w:r>
              <w:t>二级</w:t>
            </w:r>
          </w:p>
        </w:tc>
        <w:tc>
          <w:tcPr>
            <w:tcW w:w="873" w:type="dxa"/>
          </w:tcPr>
          <w:p>
            <w:pPr>
              <w:pStyle w:val="8"/>
              <w:ind w:firstLine="0" w:firstLineChars="0"/>
            </w:pPr>
            <w:r>
              <w:t>二级</w:t>
            </w:r>
          </w:p>
        </w:tc>
        <w:tc>
          <w:tcPr>
            <w:tcW w:w="872" w:type="dxa"/>
          </w:tcPr>
          <w:p>
            <w:pPr>
              <w:pStyle w:val="8"/>
              <w:ind w:firstLine="0" w:firstLineChars="0"/>
            </w:pPr>
            <w:r>
              <w:t>二级</w:t>
            </w:r>
          </w:p>
        </w:tc>
        <w:tc>
          <w:tcPr>
            <w:tcW w:w="873" w:type="dxa"/>
          </w:tcPr>
          <w:p>
            <w:pPr>
              <w:pStyle w:val="8"/>
              <w:ind w:firstLine="0" w:firstLineChars="0"/>
            </w:pPr>
            <w:r>
              <w:t>三级</w:t>
            </w:r>
          </w:p>
        </w:tc>
        <w:tc>
          <w:tcPr>
            <w:tcW w:w="873" w:type="dxa"/>
          </w:tcPr>
          <w:p>
            <w:pPr>
              <w:pStyle w:val="8"/>
              <w:ind w:firstLine="0" w:firstLineChars="0"/>
            </w:pPr>
            <w:r>
              <w:t>三级</w:t>
            </w:r>
          </w:p>
        </w:tc>
        <w:tc>
          <w:tcPr>
            <w:tcW w:w="872" w:type="dxa"/>
          </w:tcPr>
          <w:p>
            <w:pPr>
              <w:pStyle w:val="8"/>
              <w:ind w:firstLine="0" w:firstLineChars="0"/>
            </w:pPr>
            <w:r>
              <w:t>三级</w:t>
            </w:r>
          </w:p>
        </w:tc>
        <w:tc>
          <w:tcPr>
            <w:tcW w:w="872" w:type="dxa"/>
          </w:tcPr>
          <w:p>
            <w:pPr>
              <w:pStyle w:val="8"/>
              <w:ind w:firstLine="0" w:firstLineChars="0"/>
            </w:pPr>
            <w:r>
              <w:t>-</w:t>
            </w:r>
          </w:p>
        </w:tc>
        <w:tc>
          <w:tcPr>
            <w:tcW w:w="874" w:type="dxa"/>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9397" w:type="dxa"/>
            <w:gridSpan w:val="10"/>
          </w:tcPr>
          <w:p>
            <w:pPr>
              <w:pStyle w:val="8"/>
              <w:ind w:firstLine="0" w:firstLineChars="0"/>
            </w:pPr>
            <w:r>
              <w:t>注：“-”表示可不开展土壤环境影响评价工作</w:t>
            </w:r>
          </w:p>
        </w:tc>
      </w:tr>
    </w:tbl>
    <w:p>
      <w:pPr>
        <w:ind w:firstLine="480"/>
      </w:pPr>
      <w:r>
        <w:t>根据《环境影响评价技术导则 土壤环境（试行）》（HJ964-2018）判定，本项目土壤环境影响评价工作等级为三级。评价范围为项目厂界周边50m范围内。</w:t>
      </w:r>
    </w:p>
    <w:p>
      <w:pPr>
        <w:pStyle w:val="4"/>
        <w:spacing w:before="48" w:after="48"/>
      </w:pPr>
      <w:bookmarkStart w:id="124" w:name="_Toc6630"/>
      <w:r>
        <w:rPr>
          <w:rFonts w:hint="eastAsia"/>
        </w:rPr>
        <w:t>1.5环境保护目标</w:t>
      </w:r>
      <w:bookmarkEnd w:id="119"/>
      <w:bookmarkEnd w:id="120"/>
      <w:bookmarkEnd w:id="121"/>
      <w:bookmarkEnd w:id="122"/>
      <w:bookmarkEnd w:id="123"/>
      <w:bookmarkEnd w:id="124"/>
    </w:p>
    <w:p>
      <w:pPr>
        <w:ind w:firstLine="480"/>
      </w:pPr>
      <w:r>
        <w:rPr>
          <w:rFonts w:hint="eastAsia"/>
        </w:rPr>
        <w:t>根据现场初步调查，区域为农村，无重点保护文物和珍稀动植物。本次评价根据周围居民分布、污染特征等确定环境保护目标，详见表1.5</w:t>
      </w:r>
      <w:r>
        <w:t>-</w:t>
      </w:r>
      <w:r>
        <w:rPr>
          <w:rFonts w:hint="eastAsia"/>
        </w:rPr>
        <w:t>1和附图4。</w:t>
      </w:r>
    </w:p>
    <w:p>
      <w:pPr>
        <w:pStyle w:val="11"/>
      </w:pPr>
      <w:r>
        <w:t xml:space="preserve">表1.5- </w:t>
      </w:r>
      <w:r>
        <w:fldChar w:fldCharType="begin"/>
      </w:r>
      <w:r>
        <w:instrText xml:space="preserve"> SEQ 表1.5- \* ARABIC </w:instrText>
      </w:r>
      <w:r>
        <w:fldChar w:fldCharType="separate"/>
      </w:r>
      <w:r>
        <w:t>1</w:t>
      </w:r>
      <w:r>
        <w:fldChar w:fldCharType="end"/>
      </w:r>
      <w:r>
        <w:rPr>
          <w:rFonts w:hint="eastAsia"/>
        </w:rPr>
        <w:t xml:space="preserve">  环境保护目标一览表</w:t>
      </w:r>
    </w:p>
    <w:tbl>
      <w:tblPr>
        <w:tblStyle w:val="21"/>
        <w:tblW w:w="966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00"/>
        <w:gridCol w:w="1125"/>
        <w:gridCol w:w="1911"/>
        <w:gridCol w:w="1389"/>
        <w:gridCol w:w="851"/>
        <w:gridCol w:w="2201"/>
        <w:gridCol w:w="1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0" w:hRule="atLeast"/>
          <w:jc w:val="center"/>
        </w:trPr>
        <w:tc>
          <w:tcPr>
            <w:tcW w:w="900" w:type="dxa"/>
            <w:vAlign w:val="center"/>
          </w:tcPr>
          <w:p>
            <w:pPr>
              <w:pStyle w:val="8"/>
              <w:adjustRightInd w:val="0"/>
              <w:snapToGrid w:val="0"/>
              <w:ind w:firstLine="0" w:firstLineChars="0"/>
              <w:rPr>
                <w:szCs w:val="21"/>
              </w:rPr>
            </w:pPr>
            <w:r>
              <w:rPr>
                <w:rFonts w:hint="eastAsia"/>
                <w:szCs w:val="21"/>
              </w:rPr>
              <w:t>环境要素</w:t>
            </w:r>
          </w:p>
        </w:tc>
        <w:tc>
          <w:tcPr>
            <w:tcW w:w="1125" w:type="dxa"/>
            <w:vAlign w:val="center"/>
          </w:tcPr>
          <w:p>
            <w:pPr>
              <w:pStyle w:val="8"/>
              <w:adjustRightInd w:val="0"/>
              <w:snapToGrid w:val="0"/>
              <w:ind w:firstLine="0" w:firstLineChars="0"/>
              <w:rPr>
                <w:szCs w:val="21"/>
              </w:rPr>
            </w:pPr>
            <w:r>
              <w:rPr>
                <w:rFonts w:hint="eastAsia"/>
                <w:szCs w:val="21"/>
              </w:rPr>
              <w:t>保护目标</w:t>
            </w:r>
          </w:p>
        </w:tc>
        <w:tc>
          <w:tcPr>
            <w:tcW w:w="1911" w:type="dxa"/>
            <w:vAlign w:val="center"/>
          </w:tcPr>
          <w:p>
            <w:pPr>
              <w:pStyle w:val="8"/>
              <w:adjustRightInd w:val="0"/>
              <w:snapToGrid w:val="0"/>
              <w:ind w:firstLine="0" w:firstLineChars="0"/>
              <w:rPr>
                <w:szCs w:val="21"/>
              </w:rPr>
            </w:pPr>
            <w:r>
              <w:rPr>
                <w:rFonts w:hint="eastAsia"/>
                <w:szCs w:val="21"/>
              </w:rPr>
              <w:t>功能与</w:t>
            </w:r>
          </w:p>
          <w:p>
            <w:pPr>
              <w:pStyle w:val="8"/>
              <w:adjustRightInd w:val="0"/>
              <w:snapToGrid w:val="0"/>
              <w:ind w:firstLine="0" w:firstLineChars="0"/>
              <w:rPr>
                <w:szCs w:val="21"/>
              </w:rPr>
            </w:pPr>
            <w:r>
              <w:rPr>
                <w:rFonts w:hint="eastAsia"/>
                <w:szCs w:val="21"/>
              </w:rPr>
              <w:t>规模</w:t>
            </w:r>
          </w:p>
        </w:tc>
        <w:tc>
          <w:tcPr>
            <w:tcW w:w="1389" w:type="dxa"/>
            <w:vAlign w:val="center"/>
          </w:tcPr>
          <w:p>
            <w:pPr>
              <w:pStyle w:val="8"/>
              <w:adjustRightInd w:val="0"/>
              <w:snapToGrid w:val="0"/>
              <w:ind w:firstLine="0" w:firstLineChars="0"/>
              <w:rPr>
                <w:szCs w:val="21"/>
              </w:rPr>
            </w:pPr>
            <w:r>
              <w:rPr>
                <w:rFonts w:hint="eastAsia"/>
                <w:szCs w:val="21"/>
              </w:rPr>
              <w:t>与工程相对位置关系及距离</w:t>
            </w:r>
          </w:p>
        </w:tc>
        <w:tc>
          <w:tcPr>
            <w:tcW w:w="851" w:type="dxa"/>
            <w:vAlign w:val="center"/>
          </w:tcPr>
          <w:p>
            <w:pPr>
              <w:pStyle w:val="8"/>
              <w:adjustRightInd w:val="0"/>
              <w:snapToGrid w:val="0"/>
              <w:ind w:firstLine="0" w:firstLineChars="0"/>
              <w:rPr>
                <w:szCs w:val="21"/>
              </w:rPr>
            </w:pPr>
            <w:r>
              <w:rPr>
                <w:szCs w:val="21"/>
              </w:rPr>
              <w:t>是否有山体阻隔</w:t>
            </w:r>
          </w:p>
        </w:tc>
        <w:tc>
          <w:tcPr>
            <w:tcW w:w="2201" w:type="dxa"/>
            <w:vAlign w:val="center"/>
          </w:tcPr>
          <w:p>
            <w:pPr>
              <w:pStyle w:val="8"/>
              <w:adjustRightInd w:val="0"/>
              <w:snapToGrid w:val="0"/>
              <w:ind w:firstLine="0" w:firstLineChars="0"/>
              <w:rPr>
                <w:szCs w:val="21"/>
              </w:rPr>
            </w:pPr>
            <w:r>
              <w:rPr>
                <w:rFonts w:hint="eastAsia"/>
                <w:szCs w:val="21"/>
              </w:rPr>
              <w:t>中心坐标</w:t>
            </w:r>
          </w:p>
        </w:tc>
        <w:tc>
          <w:tcPr>
            <w:tcW w:w="1286" w:type="dxa"/>
            <w:vAlign w:val="center"/>
          </w:tcPr>
          <w:p>
            <w:pPr>
              <w:pStyle w:val="8"/>
              <w:adjustRightInd w:val="0"/>
              <w:snapToGrid w:val="0"/>
              <w:ind w:firstLine="0" w:firstLineChars="0"/>
              <w:rPr>
                <w:szCs w:val="21"/>
              </w:rPr>
            </w:pPr>
            <w:r>
              <w:rPr>
                <w:rFonts w:hint="eastAsia"/>
                <w:szCs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3" w:hRule="atLeast"/>
          <w:jc w:val="center"/>
        </w:trPr>
        <w:tc>
          <w:tcPr>
            <w:tcW w:w="900" w:type="dxa"/>
            <w:vMerge w:val="restart"/>
            <w:vAlign w:val="center"/>
          </w:tcPr>
          <w:p>
            <w:pPr>
              <w:pStyle w:val="8"/>
              <w:adjustRightInd w:val="0"/>
              <w:snapToGrid w:val="0"/>
              <w:ind w:firstLine="0" w:firstLineChars="0"/>
              <w:rPr>
                <w:szCs w:val="21"/>
              </w:rPr>
            </w:pPr>
            <w:r>
              <w:rPr>
                <w:rFonts w:hint="eastAsia"/>
                <w:szCs w:val="21"/>
              </w:rPr>
              <w:t>环境空气</w:t>
            </w:r>
          </w:p>
        </w:tc>
        <w:tc>
          <w:tcPr>
            <w:tcW w:w="1125" w:type="dxa"/>
            <w:vMerge w:val="restart"/>
            <w:vAlign w:val="center"/>
          </w:tcPr>
          <w:p>
            <w:pPr>
              <w:pStyle w:val="8"/>
              <w:adjustRightInd w:val="0"/>
              <w:snapToGrid w:val="0"/>
              <w:ind w:firstLine="0" w:firstLineChars="0"/>
              <w:rPr>
                <w:szCs w:val="21"/>
              </w:rPr>
            </w:pPr>
            <w:r>
              <w:rPr>
                <w:rFonts w:hint="eastAsia"/>
                <w:szCs w:val="21"/>
              </w:rPr>
              <w:t>周边石公桥村居民</w:t>
            </w:r>
          </w:p>
        </w:tc>
        <w:tc>
          <w:tcPr>
            <w:tcW w:w="1911" w:type="dxa"/>
            <w:vAlign w:val="center"/>
          </w:tcPr>
          <w:p>
            <w:pPr>
              <w:pStyle w:val="8"/>
              <w:adjustRightInd w:val="0"/>
              <w:snapToGrid w:val="0"/>
              <w:ind w:firstLine="0" w:firstLineChars="0"/>
              <w:rPr>
                <w:szCs w:val="21"/>
              </w:rPr>
            </w:pPr>
            <w:r>
              <w:rPr>
                <w:rFonts w:hint="eastAsia"/>
                <w:szCs w:val="21"/>
              </w:rPr>
              <w:t>村庄分散式居民点，共约28户</w:t>
            </w:r>
          </w:p>
        </w:tc>
        <w:tc>
          <w:tcPr>
            <w:tcW w:w="1389" w:type="dxa"/>
            <w:vAlign w:val="center"/>
          </w:tcPr>
          <w:p>
            <w:pPr>
              <w:pStyle w:val="8"/>
              <w:adjustRightInd w:val="0"/>
              <w:snapToGrid w:val="0"/>
              <w:ind w:firstLine="0" w:firstLineChars="0"/>
              <w:rPr>
                <w:szCs w:val="21"/>
                <w:highlight w:val="yellow"/>
              </w:rPr>
            </w:pPr>
            <w:r>
              <w:rPr>
                <w:rFonts w:hint="eastAsia"/>
                <w:szCs w:val="21"/>
              </w:rPr>
              <w:t>N、233-613</w:t>
            </w:r>
            <w:r>
              <w:rPr>
                <w:szCs w:val="21"/>
              </w:rPr>
              <w:t>m</w:t>
            </w:r>
          </w:p>
        </w:tc>
        <w:tc>
          <w:tcPr>
            <w:tcW w:w="851" w:type="dxa"/>
            <w:vAlign w:val="center"/>
          </w:tcPr>
          <w:p>
            <w:pPr>
              <w:pStyle w:val="8"/>
              <w:adjustRightInd w:val="0"/>
              <w:snapToGrid w:val="0"/>
              <w:ind w:firstLine="0" w:firstLineChars="0"/>
              <w:rPr>
                <w:szCs w:val="21"/>
              </w:rPr>
            </w:pPr>
            <w:r>
              <w:rPr>
                <w:szCs w:val="21"/>
              </w:rPr>
              <w:t>有</w:t>
            </w:r>
          </w:p>
        </w:tc>
        <w:tc>
          <w:tcPr>
            <w:tcW w:w="2201" w:type="dxa"/>
            <w:vAlign w:val="center"/>
          </w:tcPr>
          <w:p>
            <w:pPr>
              <w:pStyle w:val="8"/>
              <w:adjustRightInd w:val="0"/>
              <w:snapToGrid w:val="0"/>
              <w:ind w:firstLine="0" w:firstLineChars="0"/>
              <w:rPr>
                <w:szCs w:val="21"/>
                <w:highlight w:val="yellow"/>
              </w:rPr>
            </w:pPr>
            <w:r>
              <w:rPr>
                <w:rFonts w:hint="eastAsia"/>
                <w:szCs w:val="21"/>
              </w:rPr>
              <w:t>111°38′38.57767″</w:t>
            </w:r>
            <w:r>
              <w:rPr>
                <w:szCs w:val="21"/>
              </w:rPr>
              <w:t>东</w:t>
            </w:r>
            <w:r>
              <w:rPr>
                <w:rFonts w:hint="eastAsia"/>
                <w:szCs w:val="21"/>
              </w:rPr>
              <w:t>29°47′38.28306″</w:t>
            </w:r>
            <w:r>
              <w:rPr>
                <w:szCs w:val="21"/>
              </w:rPr>
              <w:t>北</w:t>
            </w:r>
          </w:p>
        </w:tc>
        <w:tc>
          <w:tcPr>
            <w:tcW w:w="1286" w:type="dxa"/>
            <w:vMerge w:val="restart"/>
            <w:vAlign w:val="center"/>
          </w:tcPr>
          <w:p>
            <w:pPr>
              <w:pStyle w:val="8"/>
              <w:adjustRightInd w:val="0"/>
              <w:snapToGrid w:val="0"/>
              <w:ind w:firstLine="0" w:firstLineChars="0"/>
              <w:rPr>
                <w:szCs w:val="21"/>
              </w:rPr>
            </w:pPr>
            <w:r>
              <w:rPr>
                <w:rFonts w:hint="eastAsia"/>
                <w:szCs w:val="21"/>
              </w:rPr>
              <w:t>《环境空气质量标准》（</w:t>
            </w:r>
            <w:r>
              <w:rPr>
                <w:szCs w:val="21"/>
              </w:rPr>
              <w:t>GB3095-2012</w:t>
            </w:r>
            <w:r>
              <w:rPr>
                <w:rFonts w:hint="eastAsia"/>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3" w:hRule="atLeast"/>
          <w:jc w:val="center"/>
        </w:trPr>
        <w:tc>
          <w:tcPr>
            <w:tcW w:w="900" w:type="dxa"/>
            <w:vMerge w:val="continue"/>
            <w:vAlign w:val="center"/>
          </w:tcPr>
          <w:p>
            <w:pPr>
              <w:pStyle w:val="8"/>
              <w:adjustRightInd w:val="0"/>
              <w:snapToGrid w:val="0"/>
              <w:ind w:firstLine="0" w:firstLineChars="0"/>
              <w:rPr>
                <w:szCs w:val="21"/>
              </w:rPr>
            </w:pPr>
          </w:p>
        </w:tc>
        <w:tc>
          <w:tcPr>
            <w:tcW w:w="1125" w:type="dxa"/>
            <w:vMerge w:val="continue"/>
            <w:vAlign w:val="center"/>
          </w:tcPr>
          <w:p>
            <w:pPr>
              <w:pStyle w:val="8"/>
              <w:adjustRightInd w:val="0"/>
              <w:snapToGrid w:val="0"/>
              <w:ind w:firstLine="0" w:firstLineChars="0"/>
              <w:rPr>
                <w:szCs w:val="21"/>
              </w:rPr>
            </w:pPr>
          </w:p>
        </w:tc>
        <w:tc>
          <w:tcPr>
            <w:tcW w:w="1911" w:type="dxa"/>
            <w:vAlign w:val="center"/>
          </w:tcPr>
          <w:p>
            <w:pPr>
              <w:pStyle w:val="8"/>
              <w:adjustRightInd w:val="0"/>
              <w:snapToGrid w:val="0"/>
              <w:ind w:firstLine="0" w:firstLineChars="0"/>
              <w:rPr>
                <w:szCs w:val="21"/>
              </w:rPr>
            </w:pPr>
            <w:r>
              <w:rPr>
                <w:rFonts w:hint="eastAsia"/>
                <w:szCs w:val="21"/>
              </w:rPr>
              <w:t>村庄分散式居民点，共约107户</w:t>
            </w:r>
          </w:p>
        </w:tc>
        <w:tc>
          <w:tcPr>
            <w:tcW w:w="1389" w:type="dxa"/>
            <w:vAlign w:val="center"/>
          </w:tcPr>
          <w:p>
            <w:pPr>
              <w:pStyle w:val="8"/>
              <w:adjustRightInd w:val="0"/>
              <w:snapToGrid w:val="0"/>
              <w:ind w:firstLine="0" w:firstLineChars="0"/>
              <w:rPr>
                <w:szCs w:val="21"/>
                <w:highlight w:val="yellow"/>
              </w:rPr>
            </w:pPr>
            <w:r>
              <w:rPr>
                <w:rFonts w:hint="eastAsia"/>
                <w:szCs w:val="21"/>
              </w:rPr>
              <w:t>SW，W、255-1927</w:t>
            </w:r>
            <w:r>
              <w:rPr>
                <w:szCs w:val="21"/>
              </w:rPr>
              <w:t>m</w:t>
            </w:r>
          </w:p>
        </w:tc>
        <w:tc>
          <w:tcPr>
            <w:tcW w:w="851" w:type="dxa"/>
            <w:vAlign w:val="center"/>
          </w:tcPr>
          <w:p>
            <w:pPr>
              <w:pStyle w:val="8"/>
              <w:adjustRightInd w:val="0"/>
              <w:snapToGrid w:val="0"/>
              <w:ind w:firstLine="0" w:firstLineChars="0"/>
              <w:rPr>
                <w:szCs w:val="21"/>
              </w:rPr>
            </w:pPr>
            <w:r>
              <w:rPr>
                <w:szCs w:val="21"/>
              </w:rPr>
              <w:t>有</w:t>
            </w:r>
          </w:p>
        </w:tc>
        <w:tc>
          <w:tcPr>
            <w:tcW w:w="2201" w:type="dxa"/>
            <w:vAlign w:val="center"/>
          </w:tcPr>
          <w:p>
            <w:pPr>
              <w:pStyle w:val="8"/>
              <w:adjustRightInd w:val="0"/>
              <w:snapToGrid w:val="0"/>
              <w:ind w:firstLine="0" w:firstLineChars="0"/>
              <w:rPr>
                <w:szCs w:val="21"/>
                <w:highlight w:val="yellow"/>
              </w:rPr>
            </w:pPr>
            <w:r>
              <w:rPr>
                <w:rFonts w:hint="eastAsia"/>
                <w:szCs w:val="21"/>
              </w:rPr>
              <w:t>111°37′58.01881″</w:t>
            </w:r>
            <w:r>
              <w:rPr>
                <w:szCs w:val="21"/>
              </w:rPr>
              <w:t>东</w:t>
            </w:r>
            <w:r>
              <w:rPr>
                <w:rFonts w:hint="eastAsia"/>
                <w:szCs w:val="21"/>
              </w:rPr>
              <w:t>29°47′25.65810″</w:t>
            </w:r>
            <w:r>
              <w:rPr>
                <w:szCs w:val="21"/>
              </w:rPr>
              <w:t>北</w:t>
            </w:r>
          </w:p>
        </w:tc>
        <w:tc>
          <w:tcPr>
            <w:tcW w:w="1286" w:type="dxa"/>
            <w:vMerge w:val="continue"/>
            <w:vAlign w:val="center"/>
          </w:tcPr>
          <w:p>
            <w:pPr>
              <w:pStyle w:val="8"/>
              <w:adjustRightInd w:val="0"/>
              <w:snapToGrid w:val="0"/>
              <w:ind w:firstLine="0" w:firstLineChars="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09" w:hRule="atLeast"/>
          <w:jc w:val="center"/>
        </w:trPr>
        <w:tc>
          <w:tcPr>
            <w:tcW w:w="900" w:type="dxa"/>
            <w:vMerge w:val="continue"/>
            <w:vAlign w:val="center"/>
          </w:tcPr>
          <w:p>
            <w:pPr>
              <w:pStyle w:val="8"/>
              <w:adjustRightInd w:val="0"/>
              <w:snapToGrid w:val="0"/>
              <w:ind w:firstLine="0" w:firstLineChars="0"/>
              <w:rPr>
                <w:szCs w:val="21"/>
              </w:rPr>
            </w:pPr>
          </w:p>
        </w:tc>
        <w:tc>
          <w:tcPr>
            <w:tcW w:w="1125" w:type="dxa"/>
            <w:vMerge w:val="continue"/>
            <w:vAlign w:val="center"/>
          </w:tcPr>
          <w:p>
            <w:pPr>
              <w:pStyle w:val="8"/>
              <w:adjustRightInd w:val="0"/>
              <w:snapToGrid w:val="0"/>
              <w:ind w:firstLine="0" w:firstLineChars="0"/>
              <w:rPr>
                <w:szCs w:val="21"/>
              </w:rPr>
            </w:pPr>
          </w:p>
        </w:tc>
        <w:tc>
          <w:tcPr>
            <w:tcW w:w="1911" w:type="dxa"/>
            <w:vAlign w:val="center"/>
          </w:tcPr>
          <w:p>
            <w:pPr>
              <w:pStyle w:val="8"/>
              <w:adjustRightInd w:val="0"/>
              <w:snapToGrid w:val="0"/>
              <w:ind w:firstLine="0" w:firstLineChars="0"/>
              <w:rPr>
                <w:szCs w:val="21"/>
              </w:rPr>
            </w:pPr>
            <w:r>
              <w:rPr>
                <w:rFonts w:hint="eastAsia"/>
                <w:szCs w:val="21"/>
              </w:rPr>
              <w:t>村庄分散式居民点，共约17户</w:t>
            </w:r>
          </w:p>
        </w:tc>
        <w:tc>
          <w:tcPr>
            <w:tcW w:w="1389" w:type="dxa"/>
            <w:vAlign w:val="center"/>
          </w:tcPr>
          <w:p>
            <w:pPr>
              <w:pStyle w:val="8"/>
              <w:adjustRightInd w:val="0"/>
              <w:snapToGrid w:val="0"/>
              <w:ind w:firstLine="0" w:firstLineChars="0"/>
              <w:rPr>
                <w:szCs w:val="21"/>
                <w:highlight w:val="yellow"/>
              </w:rPr>
            </w:pPr>
            <w:r>
              <w:rPr>
                <w:rFonts w:hint="eastAsia"/>
                <w:szCs w:val="21"/>
              </w:rPr>
              <w:t>S、305-874</w:t>
            </w:r>
            <w:r>
              <w:rPr>
                <w:szCs w:val="21"/>
              </w:rPr>
              <w:t>m</w:t>
            </w:r>
          </w:p>
        </w:tc>
        <w:tc>
          <w:tcPr>
            <w:tcW w:w="851" w:type="dxa"/>
            <w:vAlign w:val="center"/>
          </w:tcPr>
          <w:p>
            <w:pPr>
              <w:pStyle w:val="8"/>
              <w:adjustRightInd w:val="0"/>
              <w:snapToGrid w:val="0"/>
              <w:ind w:firstLine="0" w:firstLineChars="0"/>
              <w:rPr>
                <w:szCs w:val="21"/>
              </w:rPr>
            </w:pPr>
            <w:r>
              <w:rPr>
                <w:rFonts w:hint="eastAsia"/>
                <w:szCs w:val="21"/>
              </w:rPr>
              <w:t>无</w:t>
            </w:r>
          </w:p>
        </w:tc>
        <w:tc>
          <w:tcPr>
            <w:tcW w:w="2201" w:type="dxa"/>
            <w:vAlign w:val="center"/>
          </w:tcPr>
          <w:p>
            <w:pPr>
              <w:pStyle w:val="8"/>
              <w:adjustRightInd w:val="0"/>
              <w:snapToGrid w:val="0"/>
              <w:ind w:firstLine="0" w:firstLineChars="0"/>
              <w:rPr>
                <w:szCs w:val="21"/>
                <w:highlight w:val="yellow"/>
              </w:rPr>
            </w:pPr>
            <w:r>
              <w:rPr>
                <w:rFonts w:hint="eastAsia"/>
                <w:szCs w:val="21"/>
              </w:rPr>
              <w:t>111°38′53.14464″</w:t>
            </w:r>
            <w:r>
              <w:rPr>
                <w:szCs w:val="21"/>
              </w:rPr>
              <w:t>东</w:t>
            </w:r>
            <w:r>
              <w:rPr>
                <w:rFonts w:hint="eastAsia"/>
                <w:szCs w:val="21"/>
              </w:rPr>
              <w:t>29°47′9.34958″</w:t>
            </w:r>
            <w:r>
              <w:rPr>
                <w:szCs w:val="21"/>
              </w:rPr>
              <w:t>北</w:t>
            </w:r>
          </w:p>
        </w:tc>
        <w:tc>
          <w:tcPr>
            <w:tcW w:w="1286" w:type="dxa"/>
            <w:vMerge w:val="continue"/>
            <w:vAlign w:val="center"/>
          </w:tcPr>
          <w:p>
            <w:pPr>
              <w:pStyle w:val="8"/>
              <w:adjustRightInd w:val="0"/>
              <w:snapToGrid w:val="0"/>
              <w:ind w:firstLine="0" w:firstLineChars="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3" w:hRule="atLeast"/>
          <w:jc w:val="center"/>
        </w:trPr>
        <w:tc>
          <w:tcPr>
            <w:tcW w:w="900" w:type="dxa"/>
            <w:vMerge w:val="continue"/>
            <w:vAlign w:val="center"/>
          </w:tcPr>
          <w:p>
            <w:pPr>
              <w:pStyle w:val="8"/>
              <w:adjustRightInd w:val="0"/>
              <w:snapToGrid w:val="0"/>
              <w:ind w:firstLine="0" w:firstLineChars="0"/>
              <w:rPr>
                <w:szCs w:val="21"/>
              </w:rPr>
            </w:pPr>
          </w:p>
        </w:tc>
        <w:tc>
          <w:tcPr>
            <w:tcW w:w="1125" w:type="dxa"/>
            <w:vMerge w:val="continue"/>
            <w:vAlign w:val="center"/>
          </w:tcPr>
          <w:p>
            <w:pPr>
              <w:pStyle w:val="8"/>
              <w:adjustRightInd w:val="0"/>
              <w:snapToGrid w:val="0"/>
              <w:ind w:firstLine="0" w:firstLineChars="0"/>
              <w:rPr>
                <w:szCs w:val="21"/>
              </w:rPr>
            </w:pPr>
          </w:p>
        </w:tc>
        <w:tc>
          <w:tcPr>
            <w:tcW w:w="1911" w:type="dxa"/>
            <w:vAlign w:val="center"/>
          </w:tcPr>
          <w:p>
            <w:pPr>
              <w:pStyle w:val="8"/>
              <w:adjustRightInd w:val="0"/>
              <w:snapToGrid w:val="0"/>
              <w:ind w:firstLine="0" w:firstLineChars="0"/>
              <w:rPr>
                <w:szCs w:val="21"/>
              </w:rPr>
            </w:pPr>
            <w:r>
              <w:rPr>
                <w:rFonts w:hint="eastAsia"/>
                <w:szCs w:val="21"/>
              </w:rPr>
              <w:t>村庄分散式居民点，共约57户</w:t>
            </w:r>
          </w:p>
        </w:tc>
        <w:tc>
          <w:tcPr>
            <w:tcW w:w="1389" w:type="dxa"/>
            <w:vAlign w:val="center"/>
          </w:tcPr>
          <w:p>
            <w:pPr>
              <w:pStyle w:val="8"/>
              <w:adjustRightInd w:val="0"/>
              <w:snapToGrid w:val="0"/>
              <w:ind w:firstLine="0" w:firstLineChars="0"/>
              <w:rPr>
                <w:szCs w:val="21"/>
                <w:highlight w:val="yellow"/>
              </w:rPr>
            </w:pPr>
            <w:r>
              <w:rPr>
                <w:rFonts w:hint="eastAsia"/>
                <w:szCs w:val="21"/>
              </w:rPr>
              <w:t>SE、215-1417</w:t>
            </w:r>
            <w:r>
              <w:rPr>
                <w:szCs w:val="21"/>
              </w:rPr>
              <w:t>m</w:t>
            </w:r>
          </w:p>
        </w:tc>
        <w:tc>
          <w:tcPr>
            <w:tcW w:w="851" w:type="dxa"/>
            <w:vAlign w:val="center"/>
          </w:tcPr>
          <w:p>
            <w:pPr>
              <w:pStyle w:val="8"/>
              <w:adjustRightInd w:val="0"/>
              <w:snapToGrid w:val="0"/>
              <w:ind w:firstLine="0" w:firstLineChars="0"/>
              <w:rPr>
                <w:szCs w:val="21"/>
              </w:rPr>
            </w:pPr>
            <w:r>
              <w:rPr>
                <w:rFonts w:hint="eastAsia"/>
                <w:szCs w:val="21"/>
              </w:rPr>
              <w:t>无</w:t>
            </w:r>
          </w:p>
        </w:tc>
        <w:tc>
          <w:tcPr>
            <w:tcW w:w="2201" w:type="dxa"/>
            <w:vAlign w:val="center"/>
          </w:tcPr>
          <w:p>
            <w:pPr>
              <w:pStyle w:val="8"/>
              <w:adjustRightInd w:val="0"/>
              <w:snapToGrid w:val="0"/>
              <w:ind w:firstLine="0" w:firstLineChars="0"/>
              <w:rPr>
                <w:szCs w:val="21"/>
                <w:highlight w:val="yellow"/>
              </w:rPr>
            </w:pPr>
            <w:r>
              <w:rPr>
                <w:rFonts w:hint="eastAsia"/>
                <w:szCs w:val="21"/>
              </w:rPr>
              <w:t>111°39′11.88530″</w:t>
            </w:r>
            <w:r>
              <w:rPr>
                <w:szCs w:val="21"/>
              </w:rPr>
              <w:t>东</w:t>
            </w:r>
            <w:r>
              <w:rPr>
                <w:rFonts w:hint="eastAsia"/>
                <w:szCs w:val="21"/>
              </w:rPr>
              <w:t>29°47′0.96474″</w:t>
            </w:r>
            <w:r>
              <w:rPr>
                <w:szCs w:val="21"/>
              </w:rPr>
              <w:t>北</w:t>
            </w:r>
          </w:p>
        </w:tc>
        <w:tc>
          <w:tcPr>
            <w:tcW w:w="1286" w:type="dxa"/>
            <w:vMerge w:val="continue"/>
            <w:vAlign w:val="center"/>
          </w:tcPr>
          <w:p>
            <w:pPr>
              <w:pStyle w:val="8"/>
              <w:adjustRightInd w:val="0"/>
              <w:snapToGrid w:val="0"/>
              <w:ind w:firstLine="0" w:firstLineChars="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3" w:hRule="atLeast"/>
          <w:jc w:val="center"/>
        </w:trPr>
        <w:tc>
          <w:tcPr>
            <w:tcW w:w="900" w:type="dxa"/>
            <w:vMerge w:val="continue"/>
            <w:vAlign w:val="center"/>
          </w:tcPr>
          <w:p>
            <w:pPr>
              <w:pStyle w:val="8"/>
              <w:adjustRightInd w:val="0"/>
              <w:snapToGrid w:val="0"/>
              <w:ind w:firstLine="0" w:firstLineChars="0"/>
              <w:rPr>
                <w:szCs w:val="21"/>
              </w:rPr>
            </w:pPr>
          </w:p>
        </w:tc>
        <w:tc>
          <w:tcPr>
            <w:tcW w:w="1125" w:type="dxa"/>
            <w:vMerge w:val="continue"/>
            <w:vAlign w:val="center"/>
          </w:tcPr>
          <w:p>
            <w:pPr>
              <w:pStyle w:val="8"/>
              <w:adjustRightInd w:val="0"/>
              <w:snapToGrid w:val="0"/>
              <w:ind w:firstLine="0" w:firstLineChars="0"/>
              <w:rPr>
                <w:szCs w:val="21"/>
              </w:rPr>
            </w:pPr>
          </w:p>
        </w:tc>
        <w:tc>
          <w:tcPr>
            <w:tcW w:w="1911" w:type="dxa"/>
            <w:vAlign w:val="center"/>
          </w:tcPr>
          <w:p>
            <w:pPr>
              <w:pStyle w:val="8"/>
              <w:adjustRightInd w:val="0"/>
              <w:snapToGrid w:val="0"/>
              <w:ind w:firstLine="0" w:firstLineChars="0"/>
              <w:rPr>
                <w:szCs w:val="21"/>
              </w:rPr>
            </w:pPr>
            <w:r>
              <w:rPr>
                <w:rFonts w:hint="eastAsia"/>
                <w:szCs w:val="21"/>
              </w:rPr>
              <w:t>村庄分散式居民点，</w:t>
            </w:r>
          </w:p>
          <w:p>
            <w:pPr>
              <w:pStyle w:val="8"/>
              <w:adjustRightInd w:val="0"/>
              <w:snapToGrid w:val="0"/>
              <w:ind w:firstLine="0" w:firstLineChars="0"/>
              <w:rPr>
                <w:szCs w:val="21"/>
              </w:rPr>
            </w:pPr>
            <w:r>
              <w:rPr>
                <w:rFonts w:hint="eastAsia"/>
                <w:szCs w:val="21"/>
              </w:rPr>
              <w:t>64户</w:t>
            </w:r>
          </w:p>
        </w:tc>
        <w:tc>
          <w:tcPr>
            <w:tcW w:w="1389" w:type="dxa"/>
            <w:vAlign w:val="center"/>
          </w:tcPr>
          <w:p>
            <w:pPr>
              <w:pStyle w:val="8"/>
              <w:adjustRightInd w:val="0"/>
              <w:snapToGrid w:val="0"/>
              <w:ind w:firstLine="0" w:firstLineChars="0"/>
              <w:rPr>
                <w:szCs w:val="21"/>
                <w:highlight w:val="yellow"/>
              </w:rPr>
            </w:pPr>
            <w:r>
              <w:rPr>
                <w:rFonts w:hint="eastAsia"/>
                <w:szCs w:val="21"/>
              </w:rPr>
              <w:t>NE、211-1494</w:t>
            </w:r>
            <w:r>
              <w:rPr>
                <w:szCs w:val="21"/>
              </w:rPr>
              <w:t>m</w:t>
            </w:r>
          </w:p>
        </w:tc>
        <w:tc>
          <w:tcPr>
            <w:tcW w:w="851" w:type="dxa"/>
            <w:vAlign w:val="center"/>
          </w:tcPr>
          <w:p>
            <w:pPr>
              <w:pStyle w:val="8"/>
              <w:adjustRightInd w:val="0"/>
              <w:snapToGrid w:val="0"/>
              <w:ind w:firstLine="0" w:firstLineChars="0"/>
              <w:rPr>
                <w:szCs w:val="21"/>
              </w:rPr>
            </w:pPr>
            <w:r>
              <w:rPr>
                <w:rFonts w:hint="eastAsia"/>
                <w:szCs w:val="21"/>
              </w:rPr>
              <w:t>无</w:t>
            </w:r>
          </w:p>
        </w:tc>
        <w:tc>
          <w:tcPr>
            <w:tcW w:w="2201" w:type="dxa"/>
            <w:vAlign w:val="center"/>
          </w:tcPr>
          <w:p>
            <w:pPr>
              <w:pStyle w:val="8"/>
              <w:adjustRightInd w:val="0"/>
              <w:snapToGrid w:val="0"/>
              <w:ind w:firstLine="0" w:firstLineChars="0"/>
              <w:rPr>
                <w:szCs w:val="21"/>
                <w:highlight w:val="yellow"/>
              </w:rPr>
            </w:pPr>
            <w:r>
              <w:rPr>
                <w:rFonts w:hint="eastAsia"/>
                <w:szCs w:val="21"/>
              </w:rPr>
              <w:t>111°39′13.54612″</w:t>
            </w:r>
            <w:r>
              <w:rPr>
                <w:szCs w:val="21"/>
              </w:rPr>
              <w:t>东</w:t>
            </w:r>
            <w:r>
              <w:rPr>
                <w:rFonts w:hint="eastAsia"/>
                <w:szCs w:val="21"/>
              </w:rPr>
              <w:t>29°47′36.67168″</w:t>
            </w:r>
            <w:r>
              <w:rPr>
                <w:szCs w:val="21"/>
              </w:rPr>
              <w:t>北</w:t>
            </w:r>
          </w:p>
        </w:tc>
        <w:tc>
          <w:tcPr>
            <w:tcW w:w="1286" w:type="dxa"/>
            <w:vMerge w:val="continue"/>
            <w:vAlign w:val="center"/>
          </w:tcPr>
          <w:p>
            <w:pPr>
              <w:pStyle w:val="8"/>
              <w:adjustRightInd w:val="0"/>
              <w:snapToGrid w:val="0"/>
              <w:ind w:firstLine="0" w:firstLineChars="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6" w:hRule="atLeast"/>
          <w:jc w:val="center"/>
        </w:trPr>
        <w:tc>
          <w:tcPr>
            <w:tcW w:w="900" w:type="dxa"/>
            <w:vMerge w:val="restart"/>
            <w:vAlign w:val="center"/>
          </w:tcPr>
          <w:p>
            <w:pPr>
              <w:pStyle w:val="8"/>
              <w:adjustRightInd w:val="0"/>
              <w:snapToGrid w:val="0"/>
              <w:ind w:firstLine="0" w:firstLineChars="0"/>
              <w:rPr>
                <w:szCs w:val="21"/>
              </w:rPr>
            </w:pPr>
            <w:r>
              <w:rPr>
                <w:rFonts w:hint="eastAsia"/>
                <w:szCs w:val="21"/>
              </w:rPr>
              <w:t>地表水</w:t>
            </w:r>
          </w:p>
          <w:p>
            <w:pPr>
              <w:pStyle w:val="8"/>
              <w:adjustRightInd w:val="0"/>
              <w:snapToGrid w:val="0"/>
              <w:ind w:firstLine="0" w:firstLineChars="0"/>
              <w:rPr>
                <w:szCs w:val="21"/>
              </w:rPr>
            </w:pPr>
            <w:r>
              <w:rPr>
                <w:rFonts w:hint="eastAsia"/>
                <w:szCs w:val="21"/>
              </w:rPr>
              <w:t>环境</w:t>
            </w:r>
          </w:p>
        </w:tc>
        <w:tc>
          <w:tcPr>
            <w:tcW w:w="1125" w:type="dxa"/>
            <w:vAlign w:val="center"/>
          </w:tcPr>
          <w:p>
            <w:pPr>
              <w:pStyle w:val="8"/>
              <w:adjustRightInd w:val="0"/>
              <w:snapToGrid w:val="0"/>
              <w:ind w:firstLine="0" w:firstLineChars="0"/>
              <w:rPr>
                <w:szCs w:val="21"/>
              </w:rPr>
            </w:pPr>
            <w:r>
              <w:rPr>
                <w:rFonts w:hint="eastAsia"/>
                <w:szCs w:val="21"/>
              </w:rPr>
              <w:t>石公桥水库</w:t>
            </w:r>
          </w:p>
        </w:tc>
        <w:tc>
          <w:tcPr>
            <w:tcW w:w="6352" w:type="dxa"/>
            <w:gridSpan w:val="4"/>
            <w:vAlign w:val="center"/>
          </w:tcPr>
          <w:p>
            <w:pPr>
              <w:pStyle w:val="8"/>
              <w:adjustRightInd w:val="0"/>
              <w:snapToGrid w:val="0"/>
              <w:ind w:firstLine="0" w:firstLineChars="0"/>
              <w:rPr>
                <w:szCs w:val="21"/>
              </w:rPr>
            </w:pPr>
            <w:r>
              <w:rPr>
                <w:rFonts w:hint="eastAsia"/>
                <w:szCs w:val="21"/>
              </w:rPr>
              <w:t>与项目养殖区域最近距离为520m，为饮用水源保护区</w:t>
            </w:r>
          </w:p>
        </w:tc>
        <w:tc>
          <w:tcPr>
            <w:tcW w:w="1286" w:type="dxa"/>
            <w:vMerge w:val="restart"/>
            <w:vAlign w:val="center"/>
          </w:tcPr>
          <w:p>
            <w:pPr>
              <w:pStyle w:val="8"/>
              <w:adjustRightInd w:val="0"/>
              <w:snapToGrid w:val="0"/>
              <w:ind w:firstLine="0" w:firstLineChars="0"/>
              <w:rPr>
                <w:szCs w:val="21"/>
              </w:rPr>
            </w:pPr>
            <w:r>
              <w:rPr>
                <w:rFonts w:hint="eastAsia"/>
                <w:szCs w:val="21"/>
              </w:rPr>
              <w:t>《地表水环境质量标准》（GB3838-2002）III类标准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6" w:hRule="atLeast"/>
          <w:jc w:val="center"/>
        </w:trPr>
        <w:tc>
          <w:tcPr>
            <w:tcW w:w="900" w:type="dxa"/>
            <w:vMerge w:val="continue"/>
            <w:vAlign w:val="center"/>
          </w:tcPr>
          <w:p>
            <w:pPr>
              <w:pStyle w:val="8"/>
              <w:adjustRightInd w:val="0"/>
              <w:snapToGrid w:val="0"/>
              <w:ind w:firstLine="0" w:firstLineChars="0"/>
              <w:rPr>
                <w:szCs w:val="21"/>
              </w:rPr>
            </w:pPr>
          </w:p>
        </w:tc>
        <w:tc>
          <w:tcPr>
            <w:tcW w:w="1125" w:type="dxa"/>
            <w:vAlign w:val="center"/>
          </w:tcPr>
          <w:p>
            <w:pPr>
              <w:pStyle w:val="8"/>
              <w:adjustRightInd w:val="0"/>
              <w:snapToGrid w:val="0"/>
              <w:ind w:firstLine="0" w:firstLineChars="0"/>
              <w:rPr>
                <w:szCs w:val="21"/>
              </w:rPr>
            </w:pPr>
            <w:r>
              <w:rPr>
                <w:rFonts w:hint="eastAsia"/>
                <w:szCs w:val="21"/>
              </w:rPr>
              <w:t>东南面农灌渠1</w:t>
            </w:r>
          </w:p>
        </w:tc>
        <w:tc>
          <w:tcPr>
            <w:tcW w:w="6352" w:type="dxa"/>
            <w:gridSpan w:val="4"/>
            <w:vAlign w:val="center"/>
          </w:tcPr>
          <w:p>
            <w:pPr>
              <w:pStyle w:val="8"/>
              <w:adjustRightInd w:val="0"/>
              <w:snapToGrid w:val="0"/>
              <w:ind w:firstLine="0" w:firstLineChars="0"/>
              <w:rPr>
                <w:szCs w:val="21"/>
                <w:highlight w:val="yellow"/>
              </w:rPr>
            </w:pPr>
            <w:r>
              <w:rPr>
                <w:rFonts w:hint="eastAsia"/>
                <w:szCs w:val="21"/>
              </w:rPr>
              <w:t>与场界的最近距离550</w:t>
            </w:r>
            <w:r>
              <w:rPr>
                <w:szCs w:val="21"/>
              </w:rPr>
              <w:t>m</w:t>
            </w:r>
            <w:r>
              <w:rPr>
                <w:rFonts w:hint="eastAsia"/>
                <w:szCs w:val="21"/>
              </w:rPr>
              <w:t>，主要功能为灌溉</w:t>
            </w:r>
          </w:p>
        </w:tc>
        <w:tc>
          <w:tcPr>
            <w:tcW w:w="1286" w:type="dxa"/>
            <w:vMerge w:val="continue"/>
            <w:vAlign w:val="center"/>
          </w:tcPr>
          <w:p>
            <w:pPr>
              <w:pStyle w:val="8"/>
              <w:adjustRightInd w:val="0"/>
              <w:snapToGrid w:val="0"/>
              <w:ind w:firstLine="0" w:firstLineChars="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98" w:hRule="atLeast"/>
          <w:jc w:val="center"/>
        </w:trPr>
        <w:tc>
          <w:tcPr>
            <w:tcW w:w="900" w:type="dxa"/>
            <w:vMerge w:val="continue"/>
            <w:vAlign w:val="center"/>
          </w:tcPr>
          <w:p>
            <w:pPr>
              <w:pStyle w:val="8"/>
              <w:adjustRightInd w:val="0"/>
              <w:snapToGrid w:val="0"/>
              <w:ind w:firstLine="0" w:firstLineChars="0"/>
              <w:rPr>
                <w:szCs w:val="21"/>
              </w:rPr>
            </w:pPr>
          </w:p>
        </w:tc>
        <w:tc>
          <w:tcPr>
            <w:tcW w:w="1125" w:type="dxa"/>
            <w:vAlign w:val="center"/>
          </w:tcPr>
          <w:p>
            <w:pPr>
              <w:pStyle w:val="8"/>
              <w:adjustRightInd w:val="0"/>
              <w:snapToGrid w:val="0"/>
              <w:ind w:firstLine="0" w:firstLineChars="0"/>
              <w:rPr>
                <w:szCs w:val="21"/>
              </w:rPr>
            </w:pPr>
            <w:r>
              <w:rPr>
                <w:rFonts w:hint="eastAsia"/>
                <w:szCs w:val="21"/>
              </w:rPr>
              <w:t>东南面农灌渠2</w:t>
            </w:r>
          </w:p>
        </w:tc>
        <w:tc>
          <w:tcPr>
            <w:tcW w:w="6352" w:type="dxa"/>
            <w:gridSpan w:val="4"/>
            <w:vAlign w:val="center"/>
          </w:tcPr>
          <w:p>
            <w:pPr>
              <w:pStyle w:val="8"/>
              <w:adjustRightInd w:val="0"/>
              <w:snapToGrid w:val="0"/>
              <w:ind w:firstLine="0" w:firstLineChars="0"/>
              <w:rPr>
                <w:szCs w:val="21"/>
                <w:highlight w:val="yellow"/>
              </w:rPr>
            </w:pPr>
            <w:r>
              <w:rPr>
                <w:rFonts w:hint="eastAsia"/>
                <w:szCs w:val="21"/>
              </w:rPr>
              <w:t>与场界的最近距离1740</w:t>
            </w:r>
            <w:r>
              <w:rPr>
                <w:szCs w:val="21"/>
              </w:rPr>
              <w:t>m</w:t>
            </w:r>
            <w:r>
              <w:rPr>
                <w:rFonts w:hint="eastAsia"/>
                <w:szCs w:val="21"/>
              </w:rPr>
              <w:t>，主要功能为灌溉</w:t>
            </w:r>
          </w:p>
        </w:tc>
        <w:tc>
          <w:tcPr>
            <w:tcW w:w="1286" w:type="dxa"/>
            <w:vMerge w:val="continue"/>
            <w:vAlign w:val="center"/>
          </w:tcPr>
          <w:p>
            <w:pPr>
              <w:pStyle w:val="8"/>
              <w:adjustRightInd w:val="0"/>
              <w:snapToGrid w:val="0"/>
              <w:ind w:firstLine="0" w:firstLineChars="0"/>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98" w:hRule="atLeast"/>
          <w:jc w:val="center"/>
        </w:trPr>
        <w:tc>
          <w:tcPr>
            <w:tcW w:w="900" w:type="dxa"/>
            <w:vMerge w:val="continue"/>
            <w:vAlign w:val="center"/>
          </w:tcPr>
          <w:p>
            <w:pPr>
              <w:pStyle w:val="8"/>
              <w:adjustRightInd w:val="0"/>
              <w:snapToGrid w:val="0"/>
              <w:ind w:firstLine="0" w:firstLineChars="0"/>
              <w:rPr>
                <w:szCs w:val="21"/>
              </w:rPr>
            </w:pPr>
          </w:p>
        </w:tc>
        <w:tc>
          <w:tcPr>
            <w:tcW w:w="1125" w:type="dxa"/>
            <w:vAlign w:val="center"/>
          </w:tcPr>
          <w:p>
            <w:pPr>
              <w:pStyle w:val="8"/>
              <w:adjustRightInd w:val="0"/>
              <w:snapToGrid w:val="0"/>
              <w:ind w:firstLine="0" w:firstLineChars="0"/>
              <w:rPr>
                <w:szCs w:val="21"/>
              </w:rPr>
            </w:pPr>
            <w:r>
              <w:rPr>
                <w:rFonts w:hint="eastAsia"/>
                <w:szCs w:val="21"/>
              </w:rPr>
              <w:t>周边水塘</w:t>
            </w:r>
          </w:p>
        </w:tc>
        <w:tc>
          <w:tcPr>
            <w:tcW w:w="6352" w:type="dxa"/>
            <w:gridSpan w:val="4"/>
            <w:vAlign w:val="center"/>
          </w:tcPr>
          <w:p>
            <w:pPr>
              <w:pStyle w:val="8"/>
              <w:adjustRightInd w:val="0"/>
              <w:snapToGrid w:val="0"/>
              <w:ind w:firstLine="0" w:firstLineChars="0"/>
              <w:rPr>
                <w:szCs w:val="21"/>
              </w:rPr>
            </w:pPr>
            <w:r>
              <w:rPr>
                <w:rFonts w:hint="eastAsia"/>
                <w:szCs w:val="21"/>
              </w:rPr>
              <w:t>项目西南面65m1#水塘、西南面147m2#水塘等</w:t>
            </w:r>
          </w:p>
        </w:tc>
        <w:tc>
          <w:tcPr>
            <w:tcW w:w="1286" w:type="dxa"/>
            <w:vAlign w:val="center"/>
          </w:tcPr>
          <w:p>
            <w:pPr>
              <w:pStyle w:val="8"/>
              <w:adjustRightInd w:val="0"/>
              <w:snapToGrid w:val="0"/>
              <w:ind w:firstLine="0" w:firstLineChars="0"/>
              <w:rPr>
                <w:szCs w:val="21"/>
              </w:rPr>
            </w:pPr>
            <w:r>
              <w:rPr>
                <w:szCs w:val="21"/>
              </w:rPr>
              <w:t>《农田灌溉水质标准》</w:t>
            </w:r>
            <w:r>
              <w:rPr>
                <w:rFonts w:hint="eastAsia"/>
                <w:szCs w:val="21"/>
              </w:rPr>
              <w:t>（</w:t>
            </w:r>
            <w:r>
              <w:rPr>
                <w:szCs w:val="21"/>
              </w:rPr>
              <w:t>GB5084-2005</w:t>
            </w:r>
            <w:r>
              <w:rPr>
                <w:rFonts w:hint="eastAsia"/>
                <w:szCs w:val="21"/>
              </w:rPr>
              <w:t>）水作、旱</w:t>
            </w:r>
            <w:r>
              <w:rPr>
                <w:szCs w:val="21"/>
              </w:rPr>
              <w:t>作类</w:t>
            </w:r>
            <w:r>
              <w:rPr>
                <w:rFonts w:hint="eastAsia"/>
                <w:szCs w:val="21"/>
              </w:rPr>
              <w:t>标准中最严格限值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183" w:hRule="atLeast"/>
          <w:jc w:val="center"/>
        </w:trPr>
        <w:tc>
          <w:tcPr>
            <w:tcW w:w="900" w:type="dxa"/>
            <w:vAlign w:val="center"/>
          </w:tcPr>
          <w:p>
            <w:pPr>
              <w:pStyle w:val="8"/>
              <w:adjustRightInd w:val="0"/>
              <w:snapToGrid w:val="0"/>
              <w:ind w:firstLine="0" w:firstLineChars="0"/>
              <w:rPr>
                <w:szCs w:val="21"/>
              </w:rPr>
            </w:pPr>
            <w:r>
              <w:rPr>
                <w:rFonts w:hint="eastAsia"/>
                <w:szCs w:val="21"/>
              </w:rPr>
              <w:t>地下水</w:t>
            </w:r>
          </w:p>
          <w:p>
            <w:pPr>
              <w:pStyle w:val="8"/>
              <w:adjustRightInd w:val="0"/>
              <w:snapToGrid w:val="0"/>
              <w:ind w:firstLine="0" w:firstLineChars="0"/>
              <w:rPr>
                <w:szCs w:val="21"/>
              </w:rPr>
            </w:pPr>
            <w:r>
              <w:rPr>
                <w:rFonts w:hint="eastAsia"/>
                <w:szCs w:val="21"/>
              </w:rPr>
              <w:t>环境</w:t>
            </w:r>
          </w:p>
        </w:tc>
        <w:tc>
          <w:tcPr>
            <w:tcW w:w="1125" w:type="dxa"/>
            <w:vAlign w:val="center"/>
          </w:tcPr>
          <w:p>
            <w:pPr>
              <w:pStyle w:val="8"/>
              <w:adjustRightInd w:val="0"/>
              <w:snapToGrid w:val="0"/>
              <w:ind w:firstLine="0" w:firstLineChars="0"/>
              <w:rPr>
                <w:szCs w:val="21"/>
              </w:rPr>
            </w:pPr>
            <w:r>
              <w:rPr>
                <w:rFonts w:hint="eastAsia"/>
                <w:szCs w:val="21"/>
              </w:rPr>
              <w:t>场区周边地下水</w:t>
            </w:r>
          </w:p>
        </w:tc>
        <w:tc>
          <w:tcPr>
            <w:tcW w:w="6352" w:type="dxa"/>
            <w:gridSpan w:val="4"/>
            <w:vAlign w:val="center"/>
          </w:tcPr>
          <w:p>
            <w:pPr>
              <w:pStyle w:val="8"/>
              <w:adjustRightInd w:val="0"/>
              <w:snapToGrid w:val="0"/>
              <w:ind w:firstLine="0" w:firstLineChars="0"/>
              <w:rPr>
                <w:szCs w:val="21"/>
              </w:rPr>
            </w:pPr>
            <w:r>
              <w:rPr>
                <w:rFonts w:hint="eastAsia"/>
                <w:szCs w:val="21"/>
              </w:rPr>
              <w:t>场区周边地下水</w:t>
            </w:r>
          </w:p>
        </w:tc>
        <w:tc>
          <w:tcPr>
            <w:tcW w:w="1286" w:type="dxa"/>
            <w:vAlign w:val="center"/>
          </w:tcPr>
          <w:p>
            <w:pPr>
              <w:pStyle w:val="8"/>
              <w:adjustRightInd w:val="0"/>
              <w:snapToGrid w:val="0"/>
              <w:ind w:firstLine="0" w:firstLineChars="0"/>
              <w:rPr>
                <w:szCs w:val="21"/>
              </w:rPr>
            </w:pPr>
            <w:r>
              <w:rPr>
                <w:rFonts w:hint="eastAsia"/>
                <w:szCs w:val="21"/>
              </w:rPr>
              <w:t>《地下水质量标准》（</w:t>
            </w:r>
            <w:r>
              <w:rPr>
                <w:szCs w:val="21"/>
              </w:rPr>
              <w:t>GB/T14848-</w:t>
            </w:r>
            <w:r>
              <w:rPr>
                <w:rFonts w:hint="eastAsia"/>
                <w:szCs w:val="21"/>
              </w:rPr>
              <w:t>2017）Ⅲ类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0" w:hRule="atLeast"/>
          <w:jc w:val="center"/>
        </w:trPr>
        <w:tc>
          <w:tcPr>
            <w:tcW w:w="900" w:type="dxa"/>
            <w:vAlign w:val="center"/>
          </w:tcPr>
          <w:p>
            <w:pPr>
              <w:pStyle w:val="8"/>
              <w:adjustRightInd w:val="0"/>
              <w:snapToGrid w:val="0"/>
              <w:ind w:firstLine="0" w:firstLineChars="0"/>
              <w:rPr>
                <w:szCs w:val="21"/>
              </w:rPr>
            </w:pPr>
            <w:r>
              <w:rPr>
                <w:rFonts w:hint="eastAsia"/>
                <w:szCs w:val="21"/>
              </w:rPr>
              <w:t>声环境</w:t>
            </w:r>
          </w:p>
        </w:tc>
        <w:tc>
          <w:tcPr>
            <w:tcW w:w="1125" w:type="dxa"/>
            <w:vAlign w:val="center"/>
          </w:tcPr>
          <w:p>
            <w:pPr>
              <w:pStyle w:val="8"/>
              <w:adjustRightInd w:val="0"/>
              <w:snapToGrid w:val="0"/>
              <w:ind w:firstLine="0" w:firstLineChars="0"/>
              <w:rPr>
                <w:szCs w:val="21"/>
                <w:highlight w:val="yellow"/>
              </w:rPr>
            </w:pPr>
            <w:r>
              <w:rPr>
                <w:szCs w:val="21"/>
              </w:rPr>
              <w:t>/</w:t>
            </w:r>
          </w:p>
        </w:tc>
        <w:tc>
          <w:tcPr>
            <w:tcW w:w="6352" w:type="dxa"/>
            <w:gridSpan w:val="4"/>
            <w:vAlign w:val="center"/>
          </w:tcPr>
          <w:p>
            <w:pPr>
              <w:pStyle w:val="8"/>
              <w:adjustRightInd w:val="0"/>
              <w:snapToGrid w:val="0"/>
              <w:ind w:firstLine="0" w:firstLineChars="0"/>
              <w:rPr>
                <w:szCs w:val="21"/>
                <w:highlight w:val="yellow"/>
              </w:rPr>
            </w:pPr>
            <w:r>
              <w:rPr>
                <w:rFonts w:hint="eastAsia"/>
                <w:szCs w:val="21"/>
              </w:rPr>
              <w:t>项目养殖场厂界外0</w:t>
            </w:r>
            <w:r>
              <w:rPr>
                <w:szCs w:val="21"/>
              </w:rPr>
              <w:t>~200m</w:t>
            </w:r>
            <w:r>
              <w:rPr>
                <w:rFonts w:hint="eastAsia"/>
                <w:szCs w:val="21"/>
              </w:rPr>
              <w:t>范围内无居民</w:t>
            </w:r>
            <w:r>
              <w:rPr>
                <w:szCs w:val="21"/>
              </w:rPr>
              <w:br w:type="textWrapping"/>
            </w:r>
            <w:r>
              <w:rPr>
                <w:rFonts w:hint="eastAsia"/>
                <w:szCs w:val="21"/>
              </w:rPr>
              <w:t>（本项目200范围居民房均租赁</w:t>
            </w:r>
            <w:r>
              <w:rPr>
                <w:rFonts w:hint="eastAsia"/>
              </w:rPr>
              <w:t>作为项目的办公室及员工宿舍，故不列为环保目标</w:t>
            </w:r>
            <w:r>
              <w:rPr>
                <w:rFonts w:hint="eastAsia"/>
                <w:szCs w:val="21"/>
              </w:rPr>
              <w:t>）</w:t>
            </w:r>
          </w:p>
        </w:tc>
        <w:tc>
          <w:tcPr>
            <w:tcW w:w="1286" w:type="dxa"/>
            <w:vAlign w:val="center"/>
          </w:tcPr>
          <w:p>
            <w:pPr>
              <w:pStyle w:val="8"/>
              <w:adjustRightInd w:val="0"/>
              <w:snapToGrid w:val="0"/>
              <w:ind w:firstLine="0" w:firstLineChars="0"/>
              <w:rPr>
                <w:szCs w:val="21"/>
              </w:rPr>
            </w:pPr>
            <w:r>
              <w:rPr>
                <w:rFonts w:hint="eastAsia"/>
                <w:szCs w:val="21"/>
              </w:rPr>
              <w:t>《声环境质量标准》</w:t>
            </w:r>
            <w:r>
              <w:rPr>
                <w:szCs w:val="21"/>
              </w:rPr>
              <w:t>2</w:t>
            </w:r>
            <w:r>
              <w:rPr>
                <w:rFonts w:hint="eastAsia"/>
                <w:szCs w:val="21"/>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6" w:hRule="atLeast"/>
          <w:jc w:val="center"/>
        </w:trPr>
        <w:tc>
          <w:tcPr>
            <w:tcW w:w="900" w:type="dxa"/>
            <w:vAlign w:val="center"/>
          </w:tcPr>
          <w:p>
            <w:pPr>
              <w:pStyle w:val="8"/>
              <w:adjustRightInd w:val="0"/>
              <w:snapToGrid w:val="0"/>
              <w:ind w:firstLine="0" w:firstLineChars="0"/>
              <w:rPr>
                <w:szCs w:val="21"/>
              </w:rPr>
            </w:pPr>
            <w:r>
              <w:rPr>
                <w:rFonts w:hint="eastAsia"/>
                <w:szCs w:val="21"/>
              </w:rPr>
              <w:t>生态环境</w:t>
            </w:r>
          </w:p>
        </w:tc>
        <w:tc>
          <w:tcPr>
            <w:tcW w:w="8763" w:type="dxa"/>
            <w:gridSpan w:val="6"/>
            <w:vAlign w:val="center"/>
          </w:tcPr>
          <w:p>
            <w:pPr>
              <w:pStyle w:val="8"/>
              <w:adjustRightInd w:val="0"/>
              <w:snapToGrid w:val="0"/>
              <w:ind w:firstLine="0" w:firstLineChars="0"/>
              <w:rPr>
                <w:szCs w:val="21"/>
              </w:rPr>
            </w:pPr>
            <w:r>
              <w:rPr>
                <w:rFonts w:hint="eastAsia"/>
                <w:szCs w:val="21"/>
              </w:rPr>
              <w:t>养殖区周边</w:t>
            </w:r>
            <w:r>
              <w:rPr>
                <w:szCs w:val="21"/>
              </w:rPr>
              <w:t>200m</w:t>
            </w:r>
            <w:r>
              <w:rPr>
                <w:rFonts w:hint="eastAsia"/>
                <w:szCs w:val="21"/>
              </w:rPr>
              <w:t>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6" w:hRule="atLeast"/>
          <w:jc w:val="center"/>
        </w:trPr>
        <w:tc>
          <w:tcPr>
            <w:tcW w:w="900" w:type="dxa"/>
            <w:vAlign w:val="center"/>
          </w:tcPr>
          <w:p>
            <w:pPr>
              <w:pStyle w:val="8"/>
              <w:adjustRightInd w:val="0"/>
              <w:snapToGrid w:val="0"/>
              <w:ind w:firstLine="0" w:firstLineChars="0"/>
              <w:rPr>
                <w:szCs w:val="21"/>
              </w:rPr>
            </w:pPr>
            <w:r>
              <w:rPr>
                <w:rFonts w:hint="eastAsia"/>
                <w:szCs w:val="21"/>
              </w:rPr>
              <w:t>土壤环境</w:t>
            </w:r>
          </w:p>
        </w:tc>
        <w:tc>
          <w:tcPr>
            <w:tcW w:w="8763" w:type="dxa"/>
            <w:gridSpan w:val="6"/>
            <w:vAlign w:val="center"/>
          </w:tcPr>
          <w:p>
            <w:pPr>
              <w:pStyle w:val="8"/>
              <w:adjustRightInd w:val="0"/>
              <w:snapToGrid w:val="0"/>
              <w:ind w:firstLine="0" w:firstLineChars="0"/>
              <w:rPr>
                <w:szCs w:val="21"/>
              </w:rPr>
            </w:pPr>
            <w:r>
              <w:rPr>
                <w:rFonts w:hint="eastAsia"/>
                <w:szCs w:val="21"/>
              </w:rPr>
              <w:t>养殖区周边5</w:t>
            </w:r>
            <w:r>
              <w:rPr>
                <w:szCs w:val="21"/>
              </w:rPr>
              <w:t>0m</w:t>
            </w:r>
            <w:r>
              <w:rPr>
                <w:rFonts w:hint="eastAsia"/>
                <w:szCs w:val="21"/>
              </w:rPr>
              <w:t>范围内的耕地等土壤敏感点</w:t>
            </w:r>
          </w:p>
        </w:tc>
      </w:tr>
    </w:tbl>
    <w:p>
      <w:pPr>
        <w:ind w:firstLine="482"/>
        <w:rPr>
          <w:b/>
        </w:rPr>
      </w:pPr>
      <w:bookmarkStart w:id="125" w:name="_Toc29997"/>
      <w:r>
        <w:rPr>
          <w:rFonts w:hint="eastAsia"/>
          <w:b/>
        </w:rPr>
        <w:t>注：本项目200范围居民房均租赁作为项目的办公室及员工宿舍，故不列为环保目标。</w:t>
      </w:r>
    </w:p>
    <w:p>
      <w:pPr>
        <w:pStyle w:val="4"/>
        <w:spacing w:before="48" w:after="48"/>
      </w:pPr>
      <w:r>
        <w:rPr>
          <w:rFonts w:hint="eastAsia"/>
        </w:rPr>
        <w:t>1.6</w:t>
      </w:r>
      <w:r>
        <w:t>相关规划</w:t>
      </w:r>
      <w:bookmarkEnd w:id="125"/>
    </w:p>
    <w:p>
      <w:pPr>
        <w:pStyle w:val="5"/>
        <w:spacing w:before="48" w:after="48"/>
      </w:pPr>
      <w:r>
        <w:rPr>
          <w:rFonts w:hint="eastAsia"/>
        </w:rPr>
        <w:t>1.6.1</w:t>
      </w:r>
      <w:r>
        <w:t>常德市“十三五”畜牧水产业发展规划</w:t>
      </w:r>
    </w:p>
    <w:p>
      <w:pPr>
        <w:ind w:firstLine="480"/>
      </w:pPr>
      <w:r>
        <w:t>（</w:t>
      </w:r>
      <w:r>
        <w:rPr>
          <w:rFonts w:hint="eastAsia"/>
        </w:rPr>
        <w:t>一</w:t>
      </w:r>
      <w:r>
        <w:t>）</w:t>
      </w:r>
      <w:r>
        <w:rPr>
          <w:rFonts w:hint="eastAsia"/>
        </w:rPr>
        <w:t>发展思路</w:t>
      </w:r>
    </w:p>
    <w:p>
      <w:pPr>
        <w:ind w:firstLine="480"/>
      </w:pPr>
      <w:bookmarkStart w:id="126" w:name="_Toc289344571"/>
      <w:bookmarkStart w:id="127" w:name="_Toc288480026"/>
      <w:r>
        <w:rPr>
          <w:rFonts w:hint="eastAsia"/>
        </w:rPr>
        <w:t>全面贯彻落实党的十八大和十八届三中、四中、五中全会精神，以邓小平理论、“三个代表”重要思想、科学发展观为指导，坚持创新、协调、绿色、开放、共享发展新理念，以生态、高效、安全为目标，更加注重产业提质增效，更加注重环境保护，更加注重质量安全，更加注重可持续发展，大力推进养殖业现代化进程，到“十三五”末，基本实现养殖业现代化。</w:t>
      </w:r>
    </w:p>
    <w:p>
      <w:pPr>
        <w:ind w:firstLine="480"/>
      </w:pPr>
      <w:r>
        <w:rPr>
          <w:rFonts w:hint="eastAsia"/>
        </w:rPr>
        <w:t>坚持产业创新。积极推进养殖企业化管理，发展培育专业合作社、龙头企业、家庭牧场等新型经营主体。推进品牌化建设，支持企业积极创建国内和省内驰名、著名商标，提高养殖品牌影响力。推进资本化运作，通过股份合作，引进商业资本，实行资源资产化、资产资本化、资本股份化，构建养殖融资平台。推进产业延伸，注重发展加工业、流通服务业、休闲旅游业，大力发展生态农庄、休闲渔业、休闲牧业，拓展养殖业的延伸空间。</w:t>
      </w:r>
    </w:p>
    <w:p>
      <w:pPr>
        <w:ind w:firstLine="480"/>
      </w:pPr>
      <w:r>
        <w:rPr>
          <w:rFonts w:hint="eastAsia"/>
        </w:rPr>
        <w:t>坚持转型升级。扩大标准化生产，提高产业标准化水平。发展适度规模经营，控制养殖总量，提高产业效益。推行智能化管理，大力推进“互联网+”现代养殖业，应用互联网、云计算、大数据、移动互联等现代信息技术，促进产销对接。</w:t>
      </w:r>
    </w:p>
    <w:p>
      <w:pPr>
        <w:ind w:firstLine="480"/>
      </w:pPr>
      <w:r>
        <w:rPr>
          <w:rFonts w:hint="eastAsia"/>
        </w:rPr>
        <w:t>坚持绿色治养。推行生态养殖技术，重点推广标准化生产、废弃物综合利用等养殖技术，从养殖生产全过程控制污染。加强养殖污染综合治理，科学调整养殖区域布局，依法查处污染行为，保护生态环境。</w:t>
      </w:r>
    </w:p>
    <w:p>
      <w:pPr>
        <w:ind w:firstLine="480"/>
      </w:pPr>
      <w:r>
        <w:rPr>
          <w:rFonts w:hint="eastAsia"/>
        </w:rPr>
        <w:t>坚持结构调整。既要对产业区域布局调整，又要着力改善产品结构，根据气候、资源、环境条件发展地方特色养殖，适度调减生猪养殖和常规鱼养殖规模，积极发展牛羊养殖和特色高效水产养殖。</w:t>
      </w:r>
    </w:p>
    <w:bookmarkEnd w:id="126"/>
    <w:bookmarkEnd w:id="127"/>
    <w:p>
      <w:pPr>
        <w:ind w:firstLine="480"/>
      </w:pPr>
      <w:r>
        <w:rPr>
          <w:rFonts w:hint="eastAsia"/>
        </w:rPr>
        <w:t>（二）发展目标</w:t>
      </w:r>
    </w:p>
    <w:p>
      <w:pPr>
        <w:ind w:firstLine="480"/>
      </w:pPr>
      <w:r>
        <w:rPr>
          <w:rFonts w:hint="eastAsia"/>
        </w:rPr>
        <w:t>以实现养殖现代化为目标，抓好产业结构和产品结构调整，稳定生猪、水产、家禽主导产业，发展适度规模经营和特色养殖，积极抓好养殖生态环境保护，加强动物疫病防控和产品质量安全管理，不断提高产业科技创新能力和行业监管能力。到“十三五”末，基本构建养殖现代化体系。</w:t>
      </w:r>
    </w:p>
    <w:p>
      <w:pPr>
        <w:ind w:firstLine="480"/>
      </w:pPr>
      <w:r>
        <w:rPr>
          <w:rFonts w:hint="eastAsia"/>
        </w:rPr>
        <w:t>（三）发展措施</w:t>
      </w:r>
    </w:p>
    <w:p>
      <w:pPr>
        <w:ind w:firstLine="480"/>
      </w:pPr>
      <w:r>
        <w:t>（1）加快推进养殖产业化建设。加快标准化体系建设。大力推进标准化示范区建设，拓宽优势产品示范区域，增加品种，提高标准。“十三五”时期内改扩建标准化规模养殖场2000个。加大对龙头企业支持力度，重点支持大湖股份、惠生肉业、湘佳牧业等企业做大做强。积极发展养殖企业资本化运作，新增上市企业2家。做大做强一批养殖合作社，力争5家合作社成为国家级示范社，10家合作社成为省级示范社，打造一批跨区域有影响的联合社。进一步发展养殖产品加工。大力推动生猪产品加工向精深方向发展，开发加工品种，提高产品档次。积极发展禽蛋、牛羊肉加工，下大力发展水产品加工。到2020年，生猪实际屠宰加工总量达到500万头以上，家禽加工6000万羽以上，水产品加工要突破30万吨。积极扩大产品市场流通。常德水产大市场、澧县八百里水产大市场、汉寿甲鱼综合市场和西洞庭水产批发市场做大做强。大力发展连锁超市、电子商务、网络销售和现代物流，努力创造条件发展期货交易。加强品牌化建设。积极推进“三品一标”认证，“十三五”时期内新增“三品”认证产品100个以上。</w:t>
      </w:r>
    </w:p>
    <w:p>
      <w:pPr>
        <w:ind w:firstLine="480"/>
      </w:pPr>
      <w:r>
        <w:t>（2）大力推进养殖业结构调整。根据我市地理区域资源特色、产业基础，积极抓好养殖结构调整，科学规划，优化结构，做大做强优势产业，不断提高养殖效益。生猪养殖和家禽养殖要逐步远离水源保护区、城乡居民集中区、风景名胜区，发展优质优良品种，实现标准化生产和适度规模经营。加快发展草食动物优势产区，重点扶持石门、桃源、澧县、鼎城等地方资源条件好的山区发展牛羊产业。引进种植优质牧草，在有条件的地方建设草场，为草食动物发展创造条件。常规水产养殖主要搞好精养池塘标准化改造，改良品种，稳定产量，提高质量。积极发展高效特色水产养殖，重点扶持甲鱼、泥鳅、黄颡鱼、南美白对虾养殖。到2020年，甲鱼养殖面积要达到15万亩，泥鳅和黄颡鱼养殖面积分别达到3万亩，南美白对虾养殖达到5万亩以上。积极发展循环农业，加快发展“猪-渔”、“猪-禽”、“稻-渔”等立体综合养殖。积极发展休闲牧业、休闲渔业，加快推进家庭农庄、家庭牧场、特色示范园建设，立足高端，发展养殖、观光、体验、休闲于一体的牧场、垂钓场，使一、二、三产业相互融合，共同发展，提高效益。</w:t>
      </w:r>
    </w:p>
    <w:p>
      <w:pPr>
        <w:ind w:firstLine="480"/>
      </w:pPr>
      <w:r>
        <w:t>（3）加强养殖污染治理。抓好规划管理，严格落实禁养区、限养区、适养区“三区”规划要求，稳定和控制养殖总体规模。严格养殖企业准入制度，依法关闭禁养区内的所有养殖场，其它区域设立养殖场要严格进行环境影响评价，实现达标排放。加大对养殖行为的监管力度，严格落实土地利用、环保评价、动物防疫条件审查等规定，依法查处养殖污染行为。大力推广生态健康养殖技术，主要推广标准化生产、农牧循环等生态清洁养殖技术。加大三级沉淀等治污模式的推广应用力度，不断提升治污水平。抓好水面禁止投肥养殖，大力推进水生态保护和水环境治理，在河流、湖泊、水库等公共水域全面禁止投肥养殖，积极推广水产健康养殖新技术，指导养殖户改善养殖结构，提高养殖水平。</w:t>
      </w:r>
    </w:p>
    <w:p>
      <w:pPr>
        <w:ind w:firstLine="480"/>
      </w:pPr>
      <w:r>
        <w:t>（4）加强重大动物疫病防控。进一步加强基层防控体系机制建设，稳定队伍，充实人员，完善设备，夯实防控基础。切实抓好强制免疫，严格按免疫程序和操作技术规程进行免疫，确保免疫质量和免疫效果。认真抓好疫病监测与流调，加强县乡业务人员培训，提高采样和兽医实验监测水平，重点加强对种畜禽场、活畜禽交易市场、规模养殖场的监测，及时、全面、准确地掌握动态，科学研判动物疫情形势。加大动物卫生监督执法力度，全面落实产地检疫和屠宰检疫，全面推行检疫电子出证，依法查处违反《动物防疫法》的行为。严格落实病害动物无害化处理制度，病害动物无害化处理率达到100%。鼓励规模养殖企业配备无害化处理设施，妥善解决无害化处理问题。进一步完善动物疫情应急管理机制，完善应急预案，加强动物疫苗冷链设施建设，快速有效处置各种突发疫情。到2020年末，把常德基本建成为无规定动物疫病区。</w:t>
      </w:r>
    </w:p>
    <w:p>
      <w:pPr>
        <w:ind w:firstLine="480"/>
      </w:pPr>
      <w:r>
        <w:t>（5）加强产品质量安全监管。进一步加强畜禽水产品质量安全监管网络建设，完善养殖企业自我约束机制，健全市县乡安全监管队伍，特别是夯实乡镇监管基础，健全监管机构，明确监管职能，提高监管能力。继续深入开展饲料、兽药、水产品、违禁药品等专项整治行动，不断规范养殖生产经营行为。加强产品质量安全检验检测体系建设，重点建好市畜禽水产品质量安全检验检测中心，到2020年，市级检测中心要建成为功能齐全、设备精良、检测辐射面广的湘西北中心检测机构。同时，加强县乡基层检测机构建设和养殖企业质检中心建设。深入开展质量安全示范县创建活动，推动我市畜禽水产品质量安全示范县创建，通过创建活动，督促养殖企业建立健全产品进货查验、质量追溯和召回等制度，主动落实质量安全措施。</w:t>
      </w:r>
    </w:p>
    <w:p>
      <w:pPr>
        <w:ind w:firstLine="480"/>
      </w:pPr>
      <w:r>
        <w:t>（6）加强养殖科技推广服务。进一步健全技术推广服务体系，不断提高养殖业的科技支撑力。围绕健康养殖、动物疫病防控、畜禽污染治理等关键环节，加大技术攻关和技术运用，着力解决制约现代养殖业发展的瓶颈问题。以主导品种、主推技术为抓手，大力推广程序化防疫技术、粪污综合治理等适应标准化规模养殖的组装配套技术。强化科技推广培训，推进技术推广体系改革。针对中小规模养殖户饲养管理落后、标准化程度较低等问题，组织开展更多的“面对面、手把手、零距离”的科技服务活动，切实帮助养殖户掌握先进技术。支持科研机构、龙头企业、养殖基地开展科研合作、技术攻关，及时把畜禽水产良种繁育、动物疫病防控、养殖污染治理等方面的先进成果、实用技术传送到养殖场户，提高行业科技水平。</w:t>
      </w:r>
      <w:bookmarkStart w:id="128" w:name="_Toc31455"/>
    </w:p>
    <w:p>
      <w:pPr>
        <w:ind w:firstLine="480"/>
      </w:pPr>
      <w:r>
        <w:t>（7）加强资源保护和开发利用。加快良种繁育体系建设，组织实施生猪等良种补贴项目和水产亲本更新项目，提高畜禽水产品良种化水平。加强种畜禽场建设，增强种畜禽场供应能力。“十三五”期间新增国家级畜禽良种场5家，省级畜禽良种场20家，实现良种自给。加大滨湖水牛、马头山羊、桃源鸡、桃源黑猪等地方良种的开发利用，扩大品牌，提高品质，增强竞争力。组织开展区域性、流域性渔政联合执法行动，维护渔业生产正常秩序，重点依法严厉打击电、毒、炸等非法捕捞行为。严格执行捕捞许可制度，严格控制新的渔民进入捕捞行业。加大对专业渔民的培训力度，促进其转产转业，落实各项保障措施，改善其生存环境。积极开展人工增殖放流活动，扩大放流流域，增加放流品种，规范放流行为，推进增殖放流科学规范有序。加大渔业种质资源保护区建设力度，既把现有的国家级、省级渔业资源保护区建设好，还扩展新的种质资源保护区，到2020年，省级以上渔业资源保护区达到15个。</w:t>
      </w:r>
      <w:bookmarkEnd w:id="128"/>
    </w:p>
    <w:p>
      <w:pPr>
        <w:pStyle w:val="5"/>
        <w:spacing w:before="48" w:after="48"/>
      </w:pPr>
      <w:r>
        <w:rPr>
          <w:rFonts w:hint="eastAsia"/>
        </w:rPr>
        <w:t>1.6.2《常德市病死畜禽无害化处理体系建设实施方案》</w:t>
      </w:r>
    </w:p>
    <w:p>
      <w:pPr>
        <w:ind w:firstLine="480"/>
      </w:pPr>
      <w:r>
        <w:rPr>
          <w:rFonts w:hint="eastAsia"/>
        </w:rPr>
        <w:t>为推进全市病死畜禽无害化处理工作，根据《国务院办公厅关于建立病死畜禽无害化处理机制的意见》（国办发〔</w:t>
      </w:r>
      <w:r>
        <w:t xml:space="preserve">2014〕47号）、《湖南省人民政府办公厅关于建立病死畜禽无害化处理机制的实施意见》（湘政办发〔2015〕103号）和《湖南省畜牧水产局湖南省财政厅关于印发〈湖南省病死畜禽无害化处理机制建设实施方案〉的通知》（湘牧渔联〔2016〕14号）精神，结合我市实际，制定本实施方案。 </w:t>
      </w:r>
    </w:p>
    <w:p>
      <w:pPr>
        <w:ind w:firstLine="480"/>
      </w:pPr>
      <w:r>
        <w:rPr>
          <w:rFonts w:hint="eastAsia"/>
        </w:rPr>
        <w:t>一、目标任务</w:t>
      </w:r>
    </w:p>
    <w:p>
      <w:pPr>
        <w:ind w:firstLine="480"/>
      </w:pPr>
      <w:r>
        <w:t xml:space="preserve">2017年12月底前开工建设病死畜禽无害化处理中心、收集中心；2018年12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 </w:t>
      </w:r>
    </w:p>
    <w:p>
      <w:pPr>
        <w:ind w:firstLine="480"/>
      </w:pPr>
      <w:r>
        <w:rPr>
          <w:rFonts w:hint="eastAsia"/>
        </w:rPr>
        <w:t>二、建设模式</w:t>
      </w:r>
    </w:p>
    <w:p>
      <w:pPr>
        <w:ind w:firstLine="480"/>
      </w:pPr>
      <w:r>
        <w:rPr>
          <w:rFonts w:hint="eastAsia"/>
        </w:rPr>
        <w:t>按照“政府主导、企业运作、集中收集、统一处置”的原则，采用企业投资、自主经营、自负盈亏的市场化运作模式，通过招商引资，由企业投资建设病死畜禽无害化处理中心、收集中心，负责全市病死畜禽的收集和无害化处理。</w:t>
      </w:r>
    </w:p>
    <w:p>
      <w:pPr>
        <w:ind w:firstLine="480"/>
      </w:pPr>
      <w:r>
        <w:rPr>
          <w:rFonts w:hint="eastAsia"/>
        </w:rPr>
        <w:t>三、建设内容</w:t>
      </w:r>
    </w:p>
    <w:p>
      <w:pPr>
        <w:ind w:firstLine="480"/>
      </w:pPr>
      <w:r>
        <w:rPr>
          <w:rFonts w:hint="eastAsia"/>
        </w:rPr>
        <w:t>（一）建立病死畜禽无害化收集处理体系。</w:t>
      </w:r>
    </w:p>
    <w:p>
      <w:pPr>
        <w:ind w:firstLine="480"/>
      </w:pPr>
      <w:r>
        <w:t xml:space="preserve">1.建设2个病死畜禽无害化处理中心。即在桃源县、汉寿县分别建设1个年处理病死畜禽（生猪）10万头、2万头以上的病死畜禽无害化处理中心。 </w:t>
      </w:r>
    </w:p>
    <w:p>
      <w:pPr>
        <w:ind w:firstLine="480"/>
      </w:pPr>
      <w:r>
        <w:t>2.建设5个病死畜禽无害化处理收集中心。根据畜禽饲养数量和道路交通情况，在鼎城区、澧县、临澧县、石门县、津市市各建设1个病死畜禽无害化处理收集中心。</w:t>
      </w:r>
    </w:p>
    <w:p>
      <w:pPr>
        <w:ind w:firstLine="480"/>
      </w:pPr>
      <w:r>
        <w:t>3.建设300个病死畜禽固定收集点。各地根据养殖业布局、交通运输以及无害化处理收集中心位置情况，按照科学规划、合理选址的要求，在较大规模养殖场、屠宰场及交易市场建设相应规模的病死畜禽固定收集点，共建设300个病死畜禽固定收集点，负责收集本场内的病死畜禽。</w:t>
      </w:r>
    </w:p>
    <w:p>
      <w:pPr>
        <w:pStyle w:val="5"/>
        <w:spacing w:before="48" w:after="48"/>
      </w:pPr>
      <w:r>
        <w:rPr>
          <w:rFonts w:hint="eastAsia"/>
        </w:rPr>
        <w:t>1.6.3澧县病死畜禽无害化处理收集中心</w:t>
      </w:r>
    </w:p>
    <w:p>
      <w:pPr>
        <w:ind w:firstLine="480"/>
      </w:pPr>
      <w:r>
        <w:rPr>
          <w:rFonts w:hint="eastAsia"/>
        </w:rPr>
        <w:t>根据常德市病死畜禽无害化处理体系建设的总体要求，澧县病死畜禽无害化处理收集中心位于梦溪镇凡家铺村，占地面积1500平方米，计划建筑面积500平方米，可以收集存放全县境内的病死畜禽。该中心在2018年5月底完成土建工程，6月份完成设备安装和调试，7月份正式启动病死畜禽收集和无害化处理，目前已稳定运行2年多时间。</w:t>
      </w:r>
    </w:p>
    <w:p>
      <w:pPr>
        <w:pStyle w:val="5"/>
        <w:spacing w:before="48" w:after="48"/>
      </w:pPr>
      <w:r>
        <w:rPr>
          <w:rFonts w:hint="eastAsia"/>
        </w:rPr>
        <w:t>1.6.4澧县禁养区划定情况</w:t>
      </w:r>
    </w:p>
    <w:p>
      <w:pPr>
        <w:ind w:firstLine="480"/>
      </w:pPr>
      <w:r>
        <w:rPr>
          <w:rFonts w:hint="eastAsia"/>
        </w:rPr>
        <w:t>澧县人民政府关于印发</w:t>
      </w:r>
      <w:r>
        <w:t>《澧县人民政府关于印发&lt;澧县畜禽养殖禁养区限养区适养区划定方案&gt;的通知》（澧政发〔20</w:t>
      </w:r>
      <w:r>
        <w:rPr>
          <w:rFonts w:hint="eastAsia"/>
        </w:rPr>
        <w:t>20</w:t>
      </w:r>
      <w:r>
        <w:t>〕</w:t>
      </w:r>
      <w:r>
        <w:rPr>
          <w:rFonts w:hint="eastAsia"/>
        </w:rPr>
        <w:t>6</w:t>
      </w:r>
      <w:r>
        <w:t>号）文件</w:t>
      </w:r>
      <w:r>
        <w:rPr>
          <w:rFonts w:hint="eastAsia"/>
        </w:rPr>
        <w:t>划定了澧县畜禽养殖禁养区和非禁养区范围：</w:t>
      </w:r>
    </w:p>
    <w:p>
      <w:pPr>
        <w:ind w:firstLine="480"/>
      </w:pPr>
      <w:r>
        <w:rPr>
          <w:rFonts w:hint="eastAsia"/>
        </w:rPr>
        <w:t>（一）畜禽养殖禁养区</w:t>
      </w:r>
    </w:p>
    <w:p>
      <w:pPr>
        <w:ind w:firstLine="480"/>
      </w:pPr>
      <w:r>
        <w:rPr>
          <w:rFonts w:hint="eastAsia"/>
        </w:rPr>
        <w:t>（1）饮用水水源保护区范围。划定禁养区47处239.11平方公里。其中，依法划定为饮用水水源保护区一级保护区、二级保护区范围的禁养区38处218.65平方公里（一级保护区13.85平方公里，二级保护区204.80平方公里），未划定为饮用水水源保护区的饮用水水源地保护区范围的禁养区9处20.46平方公里。</w:t>
      </w:r>
    </w:p>
    <w:p>
      <w:pPr>
        <w:ind w:firstLine="480"/>
      </w:pPr>
      <w:r>
        <w:rPr>
          <w:rFonts w:hint="eastAsia"/>
        </w:rPr>
        <w:t>（2）自然保护区范围。划定禁养区1处33.35平方公里，即北民湖湿地自然保护区的核心区和缓冲区，其中核心区19.96平方公里，缓冲区13.39平方公里。</w:t>
      </w:r>
    </w:p>
    <w:p>
      <w:pPr>
        <w:ind w:firstLine="480"/>
      </w:pPr>
      <w:r>
        <w:rPr>
          <w:rFonts w:hint="eastAsia"/>
        </w:rPr>
        <w:t>（3）城镇居民区和文化教育科学研究区等人口集中区范围。划定禁养区16处31.94平方公里，主要包括县城建成区和15个镇建成区范围。</w:t>
      </w:r>
    </w:p>
    <w:p>
      <w:pPr>
        <w:ind w:firstLine="480"/>
      </w:pPr>
      <w:r>
        <w:rPr>
          <w:rFonts w:hint="eastAsia"/>
        </w:rPr>
        <w:t>（二）畜禽养殖非禁养区</w:t>
      </w:r>
    </w:p>
    <w:p>
      <w:pPr>
        <w:ind w:firstLine="480"/>
      </w:pPr>
      <w:r>
        <w:rPr>
          <w:rFonts w:hint="eastAsia"/>
        </w:rPr>
        <w:t>全县划定禁养区64处304.4平方公里，其余为非禁养区。</w:t>
      </w:r>
    </w:p>
    <w:p>
      <w:pPr>
        <w:ind w:firstLine="480"/>
        <w:sectPr>
          <w:headerReference r:id="rId12" w:type="first"/>
          <w:footerReference r:id="rId14" w:type="first"/>
          <w:footerReference r:id="rId13" w:type="default"/>
          <w:pgSz w:w="11907" w:h="16840"/>
          <w:pgMar w:top="1417" w:right="1587" w:bottom="1417" w:left="1587" w:header="851" w:footer="992" w:gutter="0"/>
          <w:pgNumType w:start="1"/>
          <w:cols w:space="720" w:num="1"/>
          <w:titlePg/>
          <w:docGrid w:linePitch="312" w:charSpace="0"/>
        </w:sectPr>
      </w:pPr>
    </w:p>
    <w:p>
      <w:pPr>
        <w:pStyle w:val="2"/>
      </w:pPr>
      <w:bookmarkStart w:id="129" w:name="_Toc20975"/>
      <w:bookmarkStart w:id="130" w:name="_Toc289344541"/>
      <w:r>
        <w:t>第二章</w:t>
      </w:r>
      <w:r>
        <w:rPr>
          <w:rFonts w:hint="eastAsia"/>
        </w:rPr>
        <w:t xml:space="preserve">  </w:t>
      </w:r>
      <w:r>
        <w:t>建设项目工程分析</w:t>
      </w:r>
      <w:bookmarkEnd w:id="129"/>
    </w:p>
    <w:p>
      <w:pPr>
        <w:pStyle w:val="4"/>
        <w:spacing w:before="48" w:after="48"/>
      </w:pPr>
      <w:bookmarkStart w:id="131" w:name="_Toc11733"/>
      <w:bookmarkStart w:id="132" w:name="_Toc289344522"/>
      <w:bookmarkStart w:id="133" w:name="_Toc468689119"/>
      <w:r>
        <w:rPr>
          <w:rFonts w:hint="eastAsia"/>
        </w:rPr>
        <w:t>2.1项目概况</w:t>
      </w:r>
      <w:bookmarkEnd w:id="131"/>
    </w:p>
    <w:p>
      <w:pPr>
        <w:pStyle w:val="5"/>
        <w:spacing w:before="48" w:after="48"/>
      </w:pPr>
      <w:r>
        <w:rPr>
          <w:rFonts w:hint="eastAsia"/>
        </w:rPr>
        <w:t>2.1.1项目基本情况</w:t>
      </w:r>
    </w:p>
    <w:bookmarkEnd w:id="132"/>
    <w:bookmarkEnd w:id="133"/>
    <w:p>
      <w:pPr>
        <w:ind w:firstLine="480"/>
      </w:pPr>
      <w:r>
        <w:rPr>
          <w:rFonts w:hint="eastAsia"/>
        </w:rPr>
        <w:t>项目名称：澧县鸣怡牧业有限公司生猪养殖场</w:t>
      </w:r>
      <w:r>
        <w:t>建设项目</w:t>
      </w:r>
    </w:p>
    <w:p>
      <w:pPr>
        <w:ind w:firstLine="480"/>
      </w:pPr>
      <w:r>
        <w:rPr>
          <w:rFonts w:hint="eastAsia"/>
        </w:rPr>
        <w:t>建设性质：新建</w:t>
      </w:r>
    </w:p>
    <w:p>
      <w:pPr>
        <w:ind w:firstLine="480"/>
        <w:rPr>
          <w:highlight w:val="yellow"/>
        </w:rPr>
      </w:pPr>
      <w:r>
        <w:rPr>
          <w:rFonts w:hint="eastAsia"/>
        </w:rPr>
        <w:t>建设规模：项目占地14595.47m</w:t>
      </w:r>
      <w:r>
        <w:rPr>
          <w:rFonts w:hint="eastAsia"/>
          <w:vertAlign w:val="superscript"/>
        </w:rPr>
        <w:t>2</w:t>
      </w:r>
      <w:r>
        <w:rPr>
          <w:rFonts w:hint="eastAsia"/>
        </w:rPr>
        <w:t>（合21.89亩），总建筑面积为6151</w:t>
      </w:r>
      <w:r>
        <w:t>m</w:t>
      </w:r>
      <w:r>
        <w:rPr>
          <w:vertAlign w:val="superscript"/>
        </w:rPr>
        <w:t>2</w:t>
      </w:r>
      <w:r>
        <w:rPr>
          <w:rFonts w:hint="eastAsia"/>
        </w:rPr>
        <w:t>，年出栏生猪10000头。</w:t>
      </w:r>
    </w:p>
    <w:p>
      <w:pPr>
        <w:ind w:firstLine="480"/>
      </w:pPr>
      <w:r>
        <w:rPr>
          <w:rFonts w:hint="eastAsia"/>
        </w:rPr>
        <w:t>建设地点：澧县大堰垱镇石公桥村</w:t>
      </w:r>
    </w:p>
    <w:p>
      <w:pPr>
        <w:ind w:firstLine="480"/>
      </w:pPr>
      <w:r>
        <w:rPr>
          <w:rFonts w:hint="eastAsia"/>
        </w:rPr>
        <w:t>建设单位：澧县鸣怡牧业有限公司</w:t>
      </w:r>
    </w:p>
    <w:p>
      <w:pPr>
        <w:ind w:firstLine="480"/>
      </w:pPr>
      <w:r>
        <w:rPr>
          <w:rFonts w:hint="eastAsia"/>
        </w:rPr>
        <w:t>资金及来源：总投资600万元，全部由企业自筹</w:t>
      </w:r>
    </w:p>
    <w:p>
      <w:pPr>
        <w:ind w:firstLine="480"/>
        <w:rPr>
          <w:highlight w:val="yellow"/>
        </w:rPr>
      </w:pPr>
      <w:r>
        <w:rPr>
          <w:rFonts w:hint="eastAsia"/>
        </w:rPr>
        <w:t>建设进度：项目计划于</w:t>
      </w:r>
      <w:r>
        <w:t>20</w:t>
      </w:r>
      <w:r>
        <w:rPr>
          <w:rFonts w:hint="eastAsia"/>
        </w:rPr>
        <w:t>20年11月动工建设，</w:t>
      </w:r>
      <w:r>
        <w:t>20</w:t>
      </w:r>
      <w:r>
        <w:rPr>
          <w:rFonts w:hint="eastAsia"/>
        </w:rPr>
        <w:t>21年8月底基本建成。</w:t>
      </w:r>
    </w:p>
    <w:p>
      <w:pPr>
        <w:pStyle w:val="5"/>
        <w:spacing w:before="48" w:after="48"/>
      </w:pPr>
      <w:bookmarkStart w:id="134" w:name="_Toc468689121"/>
      <w:r>
        <w:rPr>
          <w:rFonts w:hint="eastAsia"/>
        </w:rPr>
        <w:t>2.1.2项目选址及周边环境关系</w:t>
      </w:r>
    </w:p>
    <w:p>
      <w:pPr>
        <w:ind w:firstLine="480"/>
      </w:pPr>
      <w:r>
        <w:rPr>
          <w:rFonts w:hint="eastAsia"/>
        </w:rPr>
        <w:t>项目选址于澧县大堰垱镇石公桥村，项目拟建地原为山林地，主要植被为松树、樟树、杉树、小灌木、杂草等。周边居民距离猪舍最近距离为56</w:t>
      </w:r>
      <w:r>
        <w:t>m</w:t>
      </w:r>
      <w:r>
        <w:rPr>
          <w:rFonts w:hint="eastAsia"/>
        </w:rPr>
        <w:t>（已租用）；周边地表水系不发达，距离项目东南面农灌渠1直线距离约为550</w:t>
      </w:r>
      <w:r>
        <w:t>m</w:t>
      </w:r>
      <w:r>
        <w:rPr>
          <w:rFonts w:hint="eastAsia"/>
        </w:rPr>
        <w:t>，农灌渠1流经约1.6km汇入农灌渠2（与场界的最近距离1740</w:t>
      </w:r>
      <w:r>
        <w:t>m</w:t>
      </w:r>
      <w:r>
        <w:rPr>
          <w:rFonts w:hint="eastAsia"/>
        </w:rPr>
        <w:t>），农灌渠2流经6.3km汇入涔水。项目养殖区离石公桥水库饮用水源保护区最近距离超过500m，且不属于石公桥水库饮用水源保护区的集雨范围。</w:t>
      </w:r>
    </w:p>
    <w:p>
      <w:pPr>
        <w:pStyle w:val="5"/>
        <w:spacing w:before="48" w:after="48"/>
      </w:pPr>
      <w:r>
        <w:rPr>
          <w:rFonts w:hint="eastAsia"/>
        </w:rPr>
        <w:t>2.1.3项目的主要建设内容</w:t>
      </w:r>
    </w:p>
    <w:bookmarkEnd w:id="134"/>
    <w:p>
      <w:pPr>
        <w:ind w:firstLine="480"/>
      </w:pPr>
      <w:r>
        <w:rPr>
          <w:rFonts w:hint="eastAsia"/>
        </w:rPr>
        <w:t>项目工程用地通过征用澧县大堰垱镇石公桥村集体用地21.89亩</w:t>
      </w:r>
      <w:r>
        <w:t>及流转的形式</w:t>
      </w:r>
      <w:r>
        <w:rPr>
          <w:rFonts w:hint="eastAsia"/>
        </w:rPr>
        <w:t>，建设了年出栏生猪10000头的养殖基地。</w:t>
      </w:r>
    </w:p>
    <w:p>
      <w:pPr>
        <w:ind w:firstLine="480"/>
      </w:pPr>
      <w:r>
        <w:rPr>
          <w:rFonts w:hint="eastAsia"/>
        </w:rPr>
        <w:t>项目总占地面积为14595.47</w:t>
      </w:r>
      <w:r>
        <w:t>m</w:t>
      </w:r>
      <w:r>
        <w:rPr>
          <w:vertAlign w:val="superscript"/>
        </w:rPr>
        <w:t>2</w:t>
      </w:r>
      <w:r>
        <w:rPr>
          <w:rFonts w:hint="eastAsia"/>
        </w:rPr>
        <w:t>，总建筑面积为6151</w:t>
      </w:r>
      <w:r>
        <w:t>m</w:t>
      </w:r>
      <w:r>
        <w:rPr>
          <w:vertAlign w:val="superscript"/>
        </w:rPr>
        <w:t>2</w:t>
      </w:r>
      <w:r>
        <w:rPr>
          <w:rFonts w:hint="eastAsia"/>
        </w:rPr>
        <w:t>，主要建设内容包括：育肥舍3栋、生活房、冷冻库、门卫以及供水、供电、供热、道路等相关配套设施，发酵床垫料作为有机肥外售有机肥厂。项目工程主要建设内容见表2.1</w:t>
      </w:r>
      <w:r>
        <w:t>-1</w:t>
      </w:r>
      <w:r>
        <w:rPr>
          <w:rFonts w:hint="eastAsia"/>
        </w:rPr>
        <w:t>。</w:t>
      </w:r>
    </w:p>
    <w:p>
      <w:pPr>
        <w:pStyle w:val="11"/>
      </w:pPr>
    </w:p>
    <w:p>
      <w:pPr>
        <w:pStyle w:val="11"/>
      </w:pPr>
    </w:p>
    <w:p>
      <w:pPr>
        <w:ind w:firstLine="480"/>
      </w:pPr>
    </w:p>
    <w:p>
      <w:pPr>
        <w:pStyle w:val="11"/>
      </w:pPr>
      <w:r>
        <w:t xml:space="preserve">2.1- </w:t>
      </w:r>
      <w:r>
        <w:fldChar w:fldCharType="begin"/>
      </w:r>
      <w:r>
        <w:instrText xml:space="preserve"> SEQ 2.1- \* ARABIC </w:instrText>
      </w:r>
      <w:r>
        <w:fldChar w:fldCharType="separate"/>
      </w:r>
      <w:r>
        <w:t>1</w:t>
      </w:r>
      <w:r>
        <w:fldChar w:fldCharType="end"/>
      </w:r>
      <w:r>
        <w:rPr>
          <w:rFonts w:hint="eastAsia"/>
        </w:rPr>
        <w:t xml:space="preserve">  工程主要建设内容及规模</w:t>
      </w:r>
    </w:p>
    <w:tbl>
      <w:tblPr>
        <w:tblStyle w:val="21"/>
        <w:tblW w:w="87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7"/>
        <w:gridCol w:w="637"/>
        <w:gridCol w:w="988"/>
        <w:gridCol w:w="3740"/>
        <w:gridCol w:w="1600"/>
        <w:gridCol w:w="7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Align w:val="center"/>
          </w:tcPr>
          <w:p>
            <w:pPr>
              <w:pStyle w:val="8"/>
              <w:ind w:firstLine="0" w:firstLineChars="0"/>
            </w:pPr>
            <w:r>
              <w:rPr>
                <w:rFonts w:hint="eastAsia"/>
              </w:rPr>
              <w:t>类别</w:t>
            </w:r>
          </w:p>
        </w:tc>
        <w:tc>
          <w:tcPr>
            <w:tcW w:w="1625" w:type="dxa"/>
            <w:gridSpan w:val="2"/>
            <w:vAlign w:val="center"/>
          </w:tcPr>
          <w:p>
            <w:pPr>
              <w:pStyle w:val="8"/>
              <w:ind w:firstLine="0" w:firstLineChars="0"/>
            </w:pPr>
            <w:r>
              <w:rPr>
                <w:rFonts w:hint="eastAsia"/>
              </w:rPr>
              <w:t>项目名称</w:t>
            </w:r>
          </w:p>
        </w:tc>
        <w:tc>
          <w:tcPr>
            <w:tcW w:w="3740" w:type="dxa"/>
            <w:vAlign w:val="center"/>
          </w:tcPr>
          <w:p>
            <w:pPr>
              <w:pStyle w:val="8"/>
              <w:ind w:firstLine="0" w:firstLineChars="0"/>
            </w:pPr>
            <w:r>
              <w:rPr>
                <w:rFonts w:hint="eastAsia"/>
              </w:rPr>
              <w:t>建筑面积</w:t>
            </w:r>
            <w:r>
              <w:t>/</w:t>
            </w:r>
            <w:r>
              <w:rPr>
                <w:rFonts w:hint="eastAsia"/>
              </w:rPr>
              <w:t>容积</w:t>
            </w:r>
          </w:p>
        </w:tc>
        <w:tc>
          <w:tcPr>
            <w:tcW w:w="1600" w:type="dxa"/>
            <w:vAlign w:val="center"/>
          </w:tcPr>
          <w:p>
            <w:pPr>
              <w:pStyle w:val="8"/>
              <w:ind w:firstLine="0" w:firstLineChars="0"/>
            </w:pPr>
            <w:r>
              <w:rPr>
                <w:rFonts w:hint="eastAsia"/>
              </w:rPr>
              <w:t>结构</w:t>
            </w:r>
          </w:p>
        </w:tc>
        <w:tc>
          <w:tcPr>
            <w:tcW w:w="796" w:type="dxa"/>
            <w:vAlign w:val="center"/>
          </w:tcPr>
          <w:p>
            <w:pPr>
              <w:pStyle w:val="8"/>
              <w:ind w:firstLine="0" w:firstLineChars="0"/>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restart"/>
            <w:vAlign w:val="center"/>
          </w:tcPr>
          <w:p>
            <w:pPr>
              <w:pStyle w:val="8"/>
              <w:ind w:firstLine="0" w:firstLineChars="0"/>
            </w:pPr>
            <w:r>
              <w:rPr>
                <w:rFonts w:hint="eastAsia"/>
              </w:rPr>
              <w:t>主体</w:t>
            </w:r>
          </w:p>
          <w:p>
            <w:pPr>
              <w:pStyle w:val="8"/>
              <w:ind w:firstLine="0" w:firstLineChars="0"/>
            </w:pPr>
            <w:r>
              <w:rPr>
                <w:rFonts w:hint="eastAsia"/>
              </w:rPr>
              <w:t>工程</w:t>
            </w:r>
          </w:p>
        </w:tc>
        <w:tc>
          <w:tcPr>
            <w:tcW w:w="1625" w:type="dxa"/>
            <w:gridSpan w:val="2"/>
            <w:vAlign w:val="center"/>
          </w:tcPr>
          <w:p>
            <w:pPr>
              <w:pStyle w:val="8"/>
              <w:ind w:firstLine="0" w:firstLineChars="0"/>
            </w:pPr>
            <w:r>
              <w:rPr>
                <w:rFonts w:hint="eastAsia"/>
              </w:rPr>
              <w:t>育肥舍</w:t>
            </w:r>
          </w:p>
        </w:tc>
        <w:tc>
          <w:tcPr>
            <w:tcW w:w="3740" w:type="dxa"/>
            <w:vAlign w:val="center"/>
          </w:tcPr>
          <w:p>
            <w:pPr>
              <w:pStyle w:val="8"/>
              <w:ind w:firstLine="0" w:firstLineChars="0"/>
            </w:pPr>
            <w:r>
              <w:rPr>
                <w:rFonts w:hint="eastAsia"/>
              </w:rPr>
              <w:t>3栋1层猪舍，建筑面积合计4722</w:t>
            </w:r>
            <w:r>
              <w:t>m</w:t>
            </w:r>
            <w:r>
              <w:rPr>
                <w:vertAlign w:val="superscript"/>
              </w:rPr>
              <w:t>2</w:t>
            </w:r>
          </w:p>
        </w:tc>
        <w:tc>
          <w:tcPr>
            <w:tcW w:w="1600" w:type="dxa"/>
            <w:vAlign w:val="center"/>
          </w:tcPr>
          <w:p>
            <w:pPr>
              <w:pStyle w:val="8"/>
              <w:ind w:firstLine="0" w:firstLineChars="0"/>
            </w:pPr>
            <w:r>
              <w:rPr>
                <w:rFonts w:hint="eastAsia"/>
              </w:rPr>
              <w:t>砖混+混凝土</w:t>
            </w: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ind w:firstLine="0" w:firstLineChars="0"/>
            </w:pPr>
          </w:p>
        </w:tc>
        <w:tc>
          <w:tcPr>
            <w:tcW w:w="1625" w:type="dxa"/>
            <w:gridSpan w:val="2"/>
            <w:vAlign w:val="center"/>
          </w:tcPr>
          <w:p>
            <w:pPr>
              <w:pStyle w:val="8"/>
              <w:ind w:firstLine="0" w:firstLineChars="0"/>
            </w:pPr>
            <w:r>
              <w:rPr>
                <w:rFonts w:hint="eastAsia"/>
              </w:rPr>
              <w:t>发酵床</w:t>
            </w:r>
          </w:p>
        </w:tc>
        <w:tc>
          <w:tcPr>
            <w:tcW w:w="3740" w:type="dxa"/>
            <w:vAlign w:val="center"/>
          </w:tcPr>
          <w:p>
            <w:pPr>
              <w:pStyle w:val="8"/>
              <w:ind w:firstLine="0" w:firstLineChars="0"/>
              <w:rPr>
                <w:highlight w:val="yellow"/>
              </w:rPr>
            </w:pPr>
            <w:r>
              <w:t>1</w:t>
            </w:r>
            <w:r>
              <w:rPr>
                <w:rFonts w:hint="eastAsia"/>
              </w:rPr>
              <w:t>栋，50</w:t>
            </w:r>
            <w:r>
              <w:t>m</w:t>
            </w:r>
            <w:r>
              <w:rPr>
                <w:rFonts w:hint="eastAsia"/>
              </w:rPr>
              <w:t>×20m=1000</w:t>
            </w:r>
            <w:r>
              <w:t>m</w:t>
            </w:r>
            <w:r>
              <w:rPr>
                <w:vertAlign w:val="superscript"/>
              </w:rPr>
              <w:t>2</w:t>
            </w:r>
            <w:r>
              <w:rPr>
                <w:rFonts w:hint="eastAsia"/>
              </w:rPr>
              <w:t>，H=2m</w:t>
            </w:r>
          </w:p>
        </w:tc>
        <w:tc>
          <w:tcPr>
            <w:tcW w:w="1600" w:type="dxa"/>
            <w:vAlign w:val="center"/>
          </w:tcPr>
          <w:p>
            <w:pPr>
              <w:pStyle w:val="8"/>
              <w:ind w:firstLine="0" w:firstLineChars="0"/>
            </w:pPr>
            <w:r>
              <w:rPr>
                <w:rFonts w:hint="eastAsia"/>
              </w:rPr>
              <w:t>钢架+阳光顶棚</w:t>
            </w:r>
          </w:p>
        </w:tc>
        <w:tc>
          <w:tcPr>
            <w:tcW w:w="796" w:type="dxa"/>
            <w:vAlign w:val="center"/>
          </w:tcPr>
          <w:p>
            <w:pPr>
              <w:pStyle w:val="8"/>
              <w:ind w:firstLine="0" w:firstLineChars="0"/>
              <w:rPr>
                <w:highlight w:val="yellow"/>
              </w:rPr>
            </w:pPr>
            <w:r>
              <w:rPr>
                <w:rFonts w:hint="eastAsia"/>
              </w:rPr>
              <w:t>场区中间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ind w:firstLine="0" w:firstLineChars="0"/>
              <w:rPr>
                <w:highlight w:val="yellow"/>
              </w:rPr>
            </w:pPr>
          </w:p>
        </w:tc>
        <w:tc>
          <w:tcPr>
            <w:tcW w:w="1625" w:type="dxa"/>
            <w:gridSpan w:val="2"/>
            <w:vAlign w:val="center"/>
          </w:tcPr>
          <w:p>
            <w:pPr>
              <w:pStyle w:val="8"/>
              <w:ind w:firstLine="0" w:firstLineChars="0"/>
            </w:pPr>
            <w:r>
              <w:rPr>
                <w:rFonts w:hint="eastAsia"/>
              </w:rPr>
              <w:t>集污池</w:t>
            </w:r>
          </w:p>
        </w:tc>
        <w:tc>
          <w:tcPr>
            <w:tcW w:w="3740" w:type="dxa"/>
            <w:vAlign w:val="center"/>
          </w:tcPr>
          <w:p>
            <w:pPr>
              <w:pStyle w:val="8"/>
              <w:ind w:firstLine="0" w:firstLineChars="0"/>
            </w:pPr>
            <w:r>
              <w:rPr>
                <w:rFonts w:hint="eastAsia"/>
              </w:rPr>
              <w:t>1个，容积1000m</w:t>
            </w:r>
            <w:r>
              <w:rPr>
                <w:rFonts w:hint="eastAsia"/>
                <w:vertAlign w:val="superscript"/>
              </w:rPr>
              <w:t>3</w:t>
            </w:r>
            <w:r>
              <w:rPr>
                <w:rFonts w:hint="eastAsia"/>
              </w:rPr>
              <w:t>（20×10×5</w:t>
            </w:r>
            <w:r>
              <w:t>m</w:t>
            </w:r>
            <w:r>
              <w:rPr>
                <w:rFonts w:hint="eastAsia"/>
              </w:rPr>
              <w:t>）</w:t>
            </w:r>
          </w:p>
        </w:tc>
        <w:tc>
          <w:tcPr>
            <w:tcW w:w="1600" w:type="dxa"/>
            <w:vAlign w:val="center"/>
          </w:tcPr>
          <w:p>
            <w:pPr>
              <w:pStyle w:val="8"/>
              <w:ind w:firstLine="0" w:firstLineChars="0"/>
            </w:pPr>
            <w:r>
              <w:rPr>
                <w:rFonts w:hint="eastAsia"/>
              </w:rPr>
              <w:t>混凝土</w:t>
            </w:r>
          </w:p>
        </w:tc>
        <w:tc>
          <w:tcPr>
            <w:tcW w:w="796" w:type="dxa"/>
            <w:vAlign w:val="center"/>
          </w:tcPr>
          <w:p>
            <w:pPr>
              <w:pStyle w:val="8"/>
              <w:ind w:firstLine="0" w:firstLineChars="0"/>
            </w:pPr>
            <w:r>
              <w:rPr>
                <w:rFonts w:hint="eastAsia"/>
              </w:rPr>
              <w:t>地下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restart"/>
            <w:vAlign w:val="center"/>
          </w:tcPr>
          <w:p>
            <w:pPr>
              <w:pStyle w:val="8"/>
              <w:ind w:firstLine="0" w:firstLineChars="0"/>
            </w:pPr>
            <w:r>
              <w:rPr>
                <w:rFonts w:hint="eastAsia"/>
              </w:rPr>
              <w:t>辅助</w:t>
            </w:r>
          </w:p>
          <w:p>
            <w:pPr>
              <w:pStyle w:val="8"/>
              <w:ind w:firstLine="0" w:firstLineChars="0"/>
            </w:pPr>
            <w:r>
              <w:rPr>
                <w:rFonts w:hint="eastAsia"/>
              </w:rPr>
              <w:t>工程</w:t>
            </w:r>
          </w:p>
        </w:tc>
        <w:tc>
          <w:tcPr>
            <w:tcW w:w="1625" w:type="dxa"/>
            <w:gridSpan w:val="2"/>
            <w:vAlign w:val="center"/>
          </w:tcPr>
          <w:p>
            <w:pPr>
              <w:pStyle w:val="8"/>
              <w:ind w:firstLine="0" w:firstLineChars="0"/>
            </w:pPr>
            <w:r>
              <w:rPr>
                <w:rFonts w:hint="eastAsia"/>
              </w:rPr>
              <w:t>办公生活楼</w:t>
            </w:r>
          </w:p>
        </w:tc>
        <w:tc>
          <w:tcPr>
            <w:tcW w:w="3740" w:type="dxa"/>
            <w:vAlign w:val="center"/>
          </w:tcPr>
          <w:p>
            <w:pPr>
              <w:pStyle w:val="8"/>
              <w:ind w:firstLine="0" w:firstLineChars="0"/>
            </w:pPr>
            <w:r>
              <w:t>1</w:t>
            </w:r>
            <w:r>
              <w:rPr>
                <w:rFonts w:hint="eastAsia"/>
              </w:rPr>
              <w:t>栋1层，建筑面积230</w:t>
            </w:r>
            <w:r>
              <w:t>m</w:t>
            </w:r>
            <w:r>
              <w:rPr>
                <w:vertAlign w:val="superscript"/>
              </w:rPr>
              <w:t>2</w:t>
            </w:r>
          </w:p>
        </w:tc>
        <w:tc>
          <w:tcPr>
            <w:tcW w:w="1600" w:type="dxa"/>
            <w:vAlign w:val="center"/>
          </w:tcPr>
          <w:p>
            <w:pPr>
              <w:pStyle w:val="8"/>
              <w:ind w:firstLine="0" w:firstLineChars="0"/>
            </w:pPr>
            <w:r>
              <w:rPr>
                <w:rFonts w:hint="eastAsia"/>
              </w:rPr>
              <w:t>砖混</w:t>
            </w: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ind w:firstLine="0" w:firstLineChars="0"/>
              <w:rPr>
                <w:highlight w:val="yellow"/>
              </w:rPr>
            </w:pPr>
          </w:p>
        </w:tc>
        <w:tc>
          <w:tcPr>
            <w:tcW w:w="1625" w:type="dxa"/>
            <w:gridSpan w:val="2"/>
            <w:vAlign w:val="center"/>
          </w:tcPr>
          <w:p>
            <w:pPr>
              <w:pStyle w:val="8"/>
              <w:ind w:firstLine="0" w:firstLineChars="0"/>
            </w:pPr>
            <w:r>
              <w:rPr>
                <w:rFonts w:hint="eastAsia"/>
              </w:rPr>
              <w:t>消毒室</w:t>
            </w:r>
          </w:p>
        </w:tc>
        <w:tc>
          <w:tcPr>
            <w:tcW w:w="3740" w:type="dxa"/>
            <w:vAlign w:val="center"/>
          </w:tcPr>
          <w:p>
            <w:pPr>
              <w:pStyle w:val="8"/>
              <w:ind w:firstLine="0" w:firstLineChars="0"/>
            </w:pPr>
            <w:r>
              <w:rPr>
                <w:rFonts w:hint="eastAsia"/>
              </w:rPr>
              <w:t>2个，单个10m</w:t>
            </w:r>
            <w:r>
              <w:rPr>
                <w:vertAlign w:val="superscript"/>
              </w:rPr>
              <w:t>2</w:t>
            </w:r>
          </w:p>
        </w:tc>
        <w:tc>
          <w:tcPr>
            <w:tcW w:w="1600" w:type="dxa"/>
            <w:vAlign w:val="center"/>
          </w:tcPr>
          <w:p>
            <w:pPr>
              <w:pStyle w:val="8"/>
              <w:ind w:firstLine="0" w:firstLineChars="0"/>
            </w:pPr>
            <w:r>
              <w:rPr>
                <w:rFonts w:hint="eastAsia"/>
              </w:rPr>
              <w:t>砖混</w:t>
            </w: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5" w:hRule="atLeast"/>
          <w:jc w:val="center"/>
        </w:trPr>
        <w:tc>
          <w:tcPr>
            <w:tcW w:w="977" w:type="dxa"/>
            <w:vMerge w:val="restart"/>
            <w:vAlign w:val="center"/>
          </w:tcPr>
          <w:p>
            <w:pPr>
              <w:pStyle w:val="8"/>
              <w:ind w:firstLine="0" w:firstLineChars="0"/>
            </w:pPr>
            <w:r>
              <w:rPr>
                <w:rFonts w:hint="eastAsia"/>
              </w:rPr>
              <w:t>公用</w:t>
            </w:r>
          </w:p>
          <w:p>
            <w:pPr>
              <w:pStyle w:val="8"/>
              <w:ind w:firstLine="0" w:firstLineChars="0"/>
            </w:pPr>
            <w:r>
              <w:rPr>
                <w:rFonts w:hint="eastAsia"/>
              </w:rPr>
              <w:t>工程</w:t>
            </w:r>
          </w:p>
          <w:p>
            <w:pPr>
              <w:pStyle w:val="8"/>
              <w:ind w:firstLine="0" w:firstLineChars="0"/>
            </w:pPr>
          </w:p>
        </w:tc>
        <w:tc>
          <w:tcPr>
            <w:tcW w:w="1625" w:type="dxa"/>
            <w:gridSpan w:val="2"/>
            <w:vAlign w:val="center"/>
          </w:tcPr>
          <w:p>
            <w:pPr>
              <w:pStyle w:val="8"/>
              <w:ind w:firstLine="0" w:firstLineChars="0"/>
            </w:pPr>
            <w:r>
              <w:rPr>
                <w:rFonts w:hint="eastAsia"/>
              </w:rPr>
              <w:t>给排水</w:t>
            </w:r>
          </w:p>
        </w:tc>
        <w:tc>
          <w:tcPr>
            <w:tcW w:w="3740" w:type="dxa"/>
            <w:vAlign w:val="center"/>
          </w:tcPr>
          <w:p>
            <w:pPr>
              <w:pStyle w:val="8"/>
              <w:ind w:firstLine="0" w:firstLineChars="0"/>
              <w:rPr>
                <w:highlight w:val="yellow"/>
              </w:rPr>
            </w:pPr>
            <w:r>
              <w:rPr>
                <w:rFonts w:hint="eastAsia"/>
              </w:rPr>
              <w:t>项目生产生活用水来源于大堰垱镇自来水，满足生产、生活、消防需求；项目采取雨水污分流制，雨水排入周边山林，废水进入发酵床，不外排，发酵后垫料作为肥料外售给周边农户，本工程不设废水排放口。</w:t>
            </w:r>
          </w:p>
        </w:tc>
        <w:tc>
          <w:tcPr>
            <w:tcW w:w="1600" w:type="dxa"/>
            <w:vAlign w:val="center"/>
          </w:tcPr>
          <w:p>
            <w:pPr>
              <w:pStyle w:val="8"/>
              <w:ind w:firstLine="0" w:firstLineChars="0"/>
              <w:rPr>
                <w:highlight w:val="yellow"/>
              </w:rPr>
            </w:pP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ind w:firstLine="0" w:firstLineChars="0"/>
            </w:pPr>
          </w:p>
        </w:tc>
        <w:tc>
          <w:tcPr>
            <w:tcW w:w="1625" w:type="dxa"/>
            <w:gridSpan w:val="2"/>
            <w:vAlign w:val="center"/>
          </w:tcPr>
          <w:p>
            <w:pPr>
              <w:pStyle w:val="8"/>
              <w:ind w:firstLine="0" w:firstLineChars="0"/>
            </w:pPr>
            <w:r>
              <w:rPr>
                <w:rFonts w:hint="eastAsia"/>
              </w:rPr>
              <w:t>供电</w:t>
            </w:r>
          </w:p>
        </w:tc>
        <w:tc>
          <w:tcPr>
            <w:tcW w:w="3740" w:type="dxa"/>
            <w:vAlign w:val="center"/>
          </w:tcPr>
          <w:p>
            <w:pPr>
              <w:pStyle w:val="8"/>
              <w:ind w:firstLine="0" w:firstLineChars="0"/>
            </w:pPr>
            <w:r>
              <w:rPr>
                <w:rFonts w:hint="eastAsia"/>
              </w:rPr>
              <w:t>采用乡镇供电线路</w:t>
            </w:r>
          </w:p>
        </w:tc>
        <w:tc>
          <w:tcPr>
            <w:tcW w:w="1600" w:type="dxa"/>
            <w:vAlign w:val="center"/>
          </w:tcPr>
          <w:p>
            <w:pPr>
              <w:pStyle w:val="8"/>
              <w:ind w:firstLine="0" w:firstLineChars="0"/>
              <w:rPr>
                <w:highlight w:val="yellow"/>
              </w:rPr>
            </w:pP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ind w:firstLine="0" w:firstLineChars="0"/>
            </w:pPr>
          </w:p>
        </w:tc>
        <w:tc>
          <w:tcPr>
            <w:tcW w:w="1625" w:type="dxa"/>
            <w:gridSpan w:val="2"/>
            <w:vAlign w:val="center"/>
          </w:tcPr>
          <w:p>
            <w:pPr>
              <w:pStyle w:val="8"/>
              <w:ind w:firstLine="0" w:firstLineChars="0"/>
            </w:pPr>
            <w:r>
              <w:rPr>
                <w:rFonts w:hint="eastAsia"/>
              </w:rPr>
              <w:t>供热</w:t>
            </w:r>
          </w:p>
        </w:tc>
        <w:tc>
          <w:tcPr>
            <w:tcW w:w="3740" w:type="dxa"/>
            <w:vAlign w:val="center"/>
          </w:tcPr>
          <w:p>
            <w:pPr>
              <w:pStyle w:val="8"/>
              <w:ind w:firstLine="0" w:firstLineChars="0"/>
            </w:pPr>
            <w:r>
              <w:rPr>
                <w:rFonts w:hint="eastAsia"/>
              </w:rPr>
              <w:t>采用电供热用于产床供热</w:t>
            </w:r>
          </w:p>
        </w:tc>
        <w:tc>
          <w:tcPr>
            <w:tcW w:w="1600" w:type="dxa"/>
            <w:vAlign w:val="center"/>
          </w:tcPr>
          <w:p>
            <w:pPr>
              <w:pStyle w:val="8"/>
              <w:ind w:firstLine="0" w:firstLineChars="0"/>
              <w:rPr>
                <w:highlight w:val="yellow"/>
              </w:rPr>
            </w:pP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ind w:firstLine="0" w:firstLineChars="0"/>
            </w:pPr>
          </w:p>
        </w:tc>
        <w:tc>
          <w:tcPr>
            <w:tcW w:w="1625" w:type="dxa"/>
            <w:gridSpan w:val="2"/>
            <w:vAlign w:val="center"/>
          </w:tcPr>
          <w:p>
            <w:pPr>
              <w:pStyle w:val="8"/>
              <w:ind w:firstLine="0" w:firstLineChars="0"/>
            </w:pPr>
            <w:r>
              <w:rPr>
                <w:rFonts w:hint="eastAsia"/>
              </w:rPr>
              <w:t>通风</w:t>
            </w:r>
          </w:p>
        </w:tc>
        <w:tc>
          <w:tcPr>
            <w:tcW w:w="3740" w:type="dxa"/>
            <w:vAlign w:val="center"/>
          </w:tcPr>
          <w:p>
            <w:pPr>
              <w:pStyle w:val="8"/>
              <w:ind w:firstLine="0" w:firstLineChars="0"/>
            </w:pPr>
            <w:r>
              <w:rPr>
                <w:rFonts w:hint="eastAsia"/>
              </w:rPr>
              <w:t>采用风机+水帘进行通风散热</w:t>
            </w:r>
          </w:p>
        </w:tc>
        <w:tc>
          <w:tcPr>
            <w:tcW w:w="1600" w:type="dxa"/>
            <w:vAlign w:val="center"/>
          </w:tcPr>
          <w:p>
            <w:pPr>
              <w:pStyle w:val="8"/>
              <w:ind w:firstLine="0" w:firstLineChars="0"/>
              <w:rPr>
                <w:highlight w:val="yellow"/>
              </w:rPr>
            </w:pP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ind w:firstLine="0" w:firstLineChars="0"/>
            </w:pPr>
          </w:p>
        </w:tc>
        <w:tc>
          <w:tcPr>
            <w:tcW w:w="1625" w:type="dxa"/>
            <w:gridSpan w:val="2"/>
            <w:vAlign w:val="center"/>
          </w:tcPr>
          <w:p>
            <w:pPr>
              <w:pStyle w:val="8"/>
              <w:ind w:firstLine="0" w:firstLineChars="0"/>
            </w:pPr>
            <w:r>
              <w:rPr>
                <w:rFonts w:hint="eastAsia"/>
              </w:rPr>
              <w:t>消防</w:t>
            </w:r>
          </w:p>
        </w:tc>
        <w:tc>
          <w:tcPr>
            <w:tcW w:w="3740" w:type="dxa"/>
            <w:vAlign w:val="center"/>
          </w:tcPr>
          <w:p>
            <w:pPr>
              <w:pStyle w:val="8"/>
              <w:ind w:firstLine="0" w:firstLineChars="0"/>
            </w:pPr>
            <w:r>
              <w:rPr>
                <w:rFonts w:hint="eastAsia"/>
              </w:rPr>
              <w:t>消防栓</w:t>
            </w:r>
          </w:p>
        </w:tc>
        <w:tc>
          <w:tcPr>
            <w:tcW w:w="1600" w:type="dxa"/>
            <w:vAlign w:val="center"/>
          </w:tcPr>
          <w:p>
            <w:pPr>
              <w:pStyle w:val="8"/>
              <w:ind w:firstLine="0" w:firstLineChars="0"/>
              <w:rPr>
                <w:highlight w:val="yellow"/>
              </w:rPr>
            </w:pP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9" w:hRule="atLeast"/>
          <w:jc w:val="center"/>
        </w:trPr>
        <w:tc>
          <w:tcPr>
            <w:tcW w:w="977" w:type="dxa"/>
            <w:vMerge w:val="restart"/>
            <w:vAlign w:val="center"/>
          </w:tcPr>
          <w:p>
            <w:pPr>
              <w:pStyle w:val="8"/>
              <w:ind w:firstLine="0" w:firstLineChars="0"/>
            </w:pPr>
            <w:r>
              <w:rPr>
                <w:rFonts w:hint="eastAsia"/>
              </w:rPr>
              <w:t>环保工程</w:t>
            </w:r>
          </w:p>
        </w:tc>
        <w:tc>
          <w:tcPr>
            <w:tcW w:w="637" w:type="dxa"/>
            <w:vAlign w:val="center"/>
          </w:tcPr>
          <w:p>
            <w:pPr>
              <w:pStyle w:val="8"/>
              <w:ind w:firstLine="0" w:firstLineChars="0"/>
            </w:pPr>
            <w:r>
              <w:rPr>
                <w:rFonts w:hint="eastAsia"/>
              </w:rPr>
              <w:t>废水</w:t>
            </w:r>
          </w:p>
        </w:tc>
        <w:tc>
          <w:tcPr>
            <w:tcW w:w="988" w:type="dxa"/>
            <w:vAlign w:val="center"/>
          </w:tcPr>
          <w:p>
            <w:pPr>
              <w:pStyle w:val="8"/>
              <w:ind w:firstLine="0" w:firstLineChars="0"/>
              <w:rPr>
                <w:highlight w:val="yellow"/>
              </w:rPr>
            </w:pPr>
            <w:r>
              <w:rPr>
                <w:rFonts w:hint="eastAsia"/>
              </w:rPr>
              <w:t>集污池</w:t>
            </w:r>
          </w:p>
        </w:tc>
        <w:tc>
          <w:tcPr>
            <w:tcW w:w="3740" w:type="dxa"/>
            <w:vAlign w:val="center"/>
          </w:tcPr>
          <w:p>
            <w:pPr>
              <w:pStyle w:val="8"/>
              <w:ind w:firstLine="0" w:firstLineChars="0"/>
              <w:rPr>
                <w:highlight w:val="yellow"/>
              </w:rPr>
            </w:pPr>
            <w:r>
              <w:rPr>
                <w:rFonts w:hint="eastAsia"/>
              </w:rPr>
              <w:t>每栋猪舍分为上下两层结构，第一层为猪舍，地板为水泥漏缝板，水泥漏缝下面为1</w:t>
            </w:r>
            <w:r>
              <w:t>m深的</w:t>
            </w:r>
            <w:r>
              <w:rPr>
                <w:rFonts w:hint="eastAsia"/>
              </w:rPr>
              <w:t>刮</w:t>
            </w:r>
            <w:r>
              <w:t>粪池</w:t>
            </w:r>
            <w:r>
              <w:rPr>
                <w:rFonts w:hint="eastAsia"/>
              </w:rPr>
              <w:t>各猪舍刮粪池通过刮板控制，将粪污刮出入猪舍间的集污池，集污池内的粪尿定期适量地将粪污向发酵床输送。</w:t>
            </w:r>
          </w:p>
        </w:tc>
        <w:tc>
          <w:tcPr>
            <w:tcW w:w="1600" w:type="dxa"/>
            <w:vAlign w:val="center"/>
          </w:tcPr>
          <w:p>
            <w:pPr>
              <w:pStyle w:val="8"/>
              <w:ind w:firstLine="0" w:firstLineChars="0"/>
              <w:rPr>
                <w:highlight w:val="yellow"/>
              </w:rPr>
            </w:pPr>
            <w:r>
              <w:rPr>
                <w:rFonts w:hint="eastAsia"/>
              </w:rPr>
              <w:t>砖混+混凝土</w:t>
            </w: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977" w:type="dxa"/>
            <w:vMerge w:val="continue"/>
            <w:vAlign w:val="center"/>
          </w:tcPr>
          <w:p>
            <w:pPr>
              <w:pStyle w:val="8"/>
              <w:ind w:firstLine="0" w:firstLineChars="0"/>
            </w:pPr>
          </w:p>
        </w:tc>
        <w:tc>
          <w:tcPr>
            <w:tcW w:w="637" w:type="dxa"/>
            <w:vAlign w:val="center"/>
          </w:tcPr>
          <w:p>
            <w:pPr>
              <w:pStyle w:val="8"/>
              <w:ind w:firstLine="0" w:firstLineChars="0"/>
            </w:pPr>
            <w:r>
              <w:rPr>
                <w:rFonts w:hint="eastAsia"/>
              </w:rPr>
              <w:t>废气</w:t>
            </w:r>
          </w:p>
        </w:tc>
        <w:tc>
          <w:tcPr>
            <w:tcW w:w="988" w:type="dxa"/>
            <w:vAlign w:val="center"/>
          </w:tcPr>
          <w:p>
            <w:pPr>
              <w:pStyle w:val="8"/>
              <w:ind w:firstLine="0" w:firstLineChars="0"/>
            </w:pPr>
            <w:r>
              <w:rPr>
                <w:rFonts w:hint="eastAsia"/>
              </w:rPr>
              <w:t>通风装置</w:t>
            </w:r>
          </w:p>
        </w:tc>
        <w:tc>
          <w:tcPr>
            <w:tcW w:w="3740" w:type="dxa"/>
            <w:vAlign w:val="center"/>
          </w:tcPr>
          <w:p>
            <w:pPr>
              <w:pStyle w:val="8"/>
              <w:ind w:firstLine="0" w:firstLineChars="0"/>
            </w:pPr>
            <w:r>
              <w:rPr>
                <w:rFonts w:hint="eastAsia"/>
              </w:rPr>
              <w:t>水帘装置、风机48台</w:t>
            </w:r>
          </w:p>
        </w:tc>
        <w:tc>
          <w:tcPr>
            <w:tcW w:w="1600" w:type="dxa"/>
            <w:vAlign w:val="center"/>
          </w:tcPr>
          <w:p>
            <w:pPr>
              <w:pStyle w:val="8"/>
              <w:ind w:firstLine="0" w:firstLineChars="0"/>
              <w:rPr>
                <w:highlight w:val="yellow"/>
              </w:rPr>
            </w:pPr>
          </w:p>
        </w:tc>
        <w:tc>
          <w:tcPr>
            <w:tcW w:w="79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8" w:hRule="atLeast"/>
          <w:jc w:val="center"/>
        </w:trPr>
        <w:tc>
          <w:tcPr>
            <w:tcW w:w="977" w:type="dxa"/>
            <w:vMerge w:val="continue"/>
            <w:vAlign w:val="center"/>
          </w:tcPr>
          <w:p>
            <w:pPr>
              <w:pStyle w:val="8"/>
              <w:ind w:firstLine="0" w:firstLineChars="0"/>
            </w:pPr>
          </w:p>
        </w:tc>
        <w:tc>
          <w:tcPr>
            <w:tcW w:w="637" w:type="dxa"/>
            <w:vMerge w:val="restart"/>
            <w:vAlign w:val="center"/>
          </w:tcPr>
          <w:p>
            <w:pPr>
              <w:pStyle w:val="8"/>
              <w:ind w:firstLine="0" w:firstLineChars="0"/>
            </w:pPr>
            <w:r>
              <w:rPr>
                <w:rFonts w:hint="eastAsia"/>
              </w:rPr>
              <w:t>固废</w:t>
            </w:r>
          </w:p>
        </w:tc>
        <w:tc>
          <w:tcPr>
            <w:tcW w:w="988" w:type="dxa"/>
            <w:vAlign w:val="center"/>
          </w:tcPr>
          <w:p>
            <w:pPr>
              <w:pStyle w:val="8"/>
              <w:ind w:firstLine="0" w:firstLineChars="0"/>
            </w:pPr>
            <w:r>
              <w:rPr>
                <w:rFonts w:hint="eastAsia"/>
              </w:rPr>
              <w:t>冷冻库</w:t>
            </w:r>
          </w:p>
        </w:tc>
        <w:tc>
          <w:tcPr>
            <w:tcW w:w="3740" w:type="dxa"/>
            <w:vAlign w:val="center"/>
          </w:tcPr>
          <w:p>
            <w:pPr>
              <w:pStyle w:val="8"/>
              <w:ind w:firstLine="0" w:firstLineChars="0"/>
            </w:pPr>
            <w:r>
              <w:rPr>
                <w:rFonts w:hint="eastAsia"/>
              </w:rPr>
              <w:t>用于暂存病死猪尸体，库体容积为75</w:t>
            </w:r>
            <w:r>
              <w:t>m</w:t>
            </w:r>
            <w:r>
              <w:rPr>
                <w:vertAlign w:val="superscript"/>
              </w:rPr>
              <w:t>3</w:t>
            </w:r>
            <w:r>
              <w:rPr>
                <w:rFonts w:hint="eastAsia"/>
              </w:rPr>
              <w:t>（3m×10m×2.5m=75m</w:t>
            </w:r>
            <w:r>
              <w:rPr>
                <w:rFonts w:hint="eastAsia"/>
                <w:vertAlign w:val="superscript"/>
              </w:rPr>
              <w:t>3</w:t>
            </w:r>
            <w:r>
              <w:rPr>
                <w:rFonts w:hint="eastAsia"/>
              </w:rPr>
              <w:t>）、占地面积为50</w:t>
            </w:r>
            <w:r>
              <w:t>m</w:t>
            </w:r>
            <w:r>
              <w:rPr>
                <w:vertAlign w:val="superscript"/>
              </w:rPr>
              <w:t>2</w:t>
            </w:r>
          </w:p>
        </w:tc>
        <w:tc>
          <w:tcPr>
            <w:tcW w:w="1600" w:type="dxa"/>
            <w:vAlign w:val="center"/>
          </w:tcPr>
          <w:p>
            <w:pPr>
              <w:pStyle w:val="8"/>
              <w:ind w:firstLine="0" w:firstLineChars="0"/>
            </w:pPr>
            <w:r>
              <w:rPr>
                <w:rFonts w:hint="eastAsia"/>
              </w:rPr>
              <w:t>混凝土</w:t>
            </w:r>
          </w:p>
        </w:tc>
        <w:tc>
          <w:tcPr>
            <w:tcW w:w="796" w:type="dxa"/>
            <w:vAlign w:val="center"/>
          </w:tcPr>
          <w:p>
            <w:pPr>
              <w:pStyle w:val="8"/>
              <w:ind w:firstLine="0" w:firstLineChars="0"/>
            </w:pPr>
            <w:r>
              <w:rPr>
                <w:rFonts w:hint="eastAsia"/>
              </w:rPr>
              <w:t>东面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977" w:type="dxa"/>
            <w:vMerge w:val="continue"/>
            <w:vAlign w:val="center"/>
          </w:tcPr>
          <w:p>
            <w:pPr>
              <w:pStyle w:val="8"/>
              <w:ind w:firstLine="0" w:firstLineChars="0"/>
              <w:rPr>
                <w:highlight w:val="yellow"/>
              </w:rPr>
            </w:pPr>
          </w:p>
        </w:tc>
        <w:tc>
          <w:tcPr>
            <w:tcW w:w="637" w:type="dxa"/>
            <w:vMerge w:val="continue"/>
            <w:vAlign w:val="center"/>
          </w:tcPr>
          <w:p>
            <w:pPr>
              <w:pStyle w:val="8"/>
              <w:ind w:firstLine="0" w:firstLineChars="0"/>
              <w:rPr>
                <w:highlight w:val="yellow"/>
              </w:rPr>
            </w:pPr>
          </w:p>
        </w:tc>
        <w:tc>
          <w:tcPr>
            <w:tcW w:w="988" w:type="dxa"/>
            <w:vAlign w:val="center"/>
          </w:tcPr>
          <w:p>
            <w:pPr>
              <w:pStyle w:val="8"/>
              <w:ind w:firstLine="0" w:firstLineChars="0"/>
            </w:pPr>
            <w:r>
              <w:rPr>
                <w:rFonts w:hint="eastAsia"/>
              </w:rPr>
              <w:t>危废暂存间</w:t>
            </w:r>
          </w:p>
        </w:tc>
        <w:tc>
          <w:tcPr>
            <w:tcW w:w="3740" w:type="dxa"/>
            <w:vAlign w:val="center"/>
          </w:tcPr>
          <w:p>
            <w:pPr>
              <w:pStyle w:val="8"/>
              <w:ind w:firstLine="0" w:firstLineChars="0"/>
            </w:pPr>
            <w:r>
              <w:rPr>
                <w:rFonts w:hint="eastAsia"/>
              </w:rPr>
              <w:t>10</w:t>
            </w:r>
            <w:r>
              <w:t>m</w:t>
            </w:r>
            <w:r>
              <w:rPr>
                <w:vertAlign w:val="superscript"/>
              </w:rPr>
              <w:t>2</w:t>
            </w:r>
            <w:r>
              <w:rPr>
                <w:rFonts w:hint="eastAsia"/>
              </w:rPr>
              <w:t>、防渗防水</w:t>
            </w:r>
          </w:p>
        </w:tc>
        <w:tc>
          <w:tcPr>
            <w:tcW w:w="1600" w:type="dxa"/>
            <w:vAlign w:val="center"/>
          </w:tcPr>
          <w:p>
            <w:pPr>
              <w:pStyle w:val="8"/>
              <w:ind w:firstLine="0" w:firstLineChars="0"/>
            </w:pPr>
            <w:r>
              <w:rPr>
                <w:rFonts w:hint="eastAsia"/>
              </w:rPr>
              <w:t>混凝土</w:t>
            </w:r>
          </w:p>
        </w:tc>
        <w:tc>
          <w:tcPr>
            <w:tcW w:w="796" w:type="dxa"/>
            <w:vAlign w:val="center"/>
          </w:tcPr>
          <w:p>
            <w:pPr>
              <w:pStyle w:val="8"/>
              <w:ind w:firstLine="0" w:firstLineChars="0"/>
            </w:pPr>
            <w:r>
              <w:rPr>
                <w:rFonts w:hint="eastAsia"/>
              </w:rPr>
              <w:t>东面</w:t>
            </w:r>
          </w:p>
        </w:tc>
      </w:tr>
    </w:tbl>
    <w:p>
      <w:pPr>
        <w:pStyle w:val="5"/>
        <w:spacing w:before="48" w:after="48"/>
      </w:pPr>
      <w:bookmarkStart w:id="135" w:name="_Toc289344524"/>
      <w:bookmarkStart w:id="136" w:name="_Toc468689122"/>
      <w:r>
        <w:rPr>
          <w:rFonts w:hint="eastAsia"/>
        </w:rPr>
        <w:t>2.1.4产品方案及存栏量</w:t>
      </w:r>
      <w:bookmarkEnd w:id="135"/>
      <w:bookmarkEnd w:id="136"/>
    </w:p>
    <w:p>
      <w:pPr>
        <w:ind w:firstLine="480"/>
      </w:pPr>
      <w:r>
        <w:rPr>
          <w:rFonts w:hint="eastAsia"/>
        </w:rPr>
        <w:t>根据</w:t>
      </w:r>
      <w:r>
        <w:t>业主提供资料</w:t>
      </w:r>
      <w:r>
        <w:rPr>
          <w:rFonts w:hint="eastAsia"/>
        </w:rPr>
        <w:t>，</w:t>
      </w:r>
      <w:r>
        <w:t>本</w:t>
      </w:r>
      <w:r>
        <w:rPr>
          <w:rFonts w:hint="eastAsia"/>
        </w:rPr>
        <w:t>项目产品方案见表2.1</w:t>
      </w:r>
      <w:r>
        <w:t>-</w:t>
      </w:r>
      <w:r>
        <w:rPr>
          <w:rFonts w:hint="eastAsia"/>
        </w:rPr>
        <w:t>2。</w:t>
      </w:r>
    </w:p>
    <w:p>
      <w:pPr>
        <w:pStyle w:val="11"/>
      </w:pPr>
      <w:r>
        <w:t xml:space="preserve">2.1- </w:t>
      </w:r>
      <w:r>
        <w:fldChar w:fldCharType="begin"/>
      </w:r>
      <w:r>
        <w:instrText xml:space="preserve"> SEQ 2.1- \* ARABIC </w:instrText>
      </w:r>
      <w:r>
        <w:fldChar w:fldCharType="separate"/>
      </w:r>
      <w:r>
        <w:t>2</w:t>
      </w:r>
      <w:r>
        <w:fldChar w:fldCharType="end"/>
      </w:r>
      <w:r>
        <w:rPr>
          <w:rFonts w:hint="eastAsia"/>
        </w:rPr>
        <w:t xml:space="preserve">  项目总产品方案及存栏量</w:t>
      </w:r>
    </w:p>
    <w:tbl>
      <w:tblPr>
        <w:tblStyle w:val="21"/>
        <w:tblW w:w="87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8"/>
        <w:gridCol w:w="1921"/>
        <w:gridCol w:w="2209"/>
        <w:gridCol w:w="39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658" w:type="dxa"/>
            <w:vAlign w:val="center"/>
          </w:tcPr>
          <w:p>
            <w:pPr>
              <w:pStyle w:val="8"/>
              <w:ind w:firstLine="0" w:firstLineChars="0"/>
            </w:pPr>
            <w:r>
              <w:rPr>
                <w:rFonts w:hint="eastAsia"/>
              </w:rPr>
              <w:t>序号</w:t>
            </w:r>
          </w:p>
        </w:tc>
        <w:tc>
          <w:tcPr>
            <w:tcW w:w="1921" w:type="dxa"/>
            <w:vAlign w:val="center"/>
          </w:tcPr>
          <w:p>
            <w:pPr>
              <w:pStyle w:val="8"/>
              <w:ind w:firstLine="0" w:firstLineChars="0"/>
            </w:pPr>
            <w:r>
              <w:rPr>
                <w:rFonts w:hint="eastAsia"/>
              </w:rPr>
              <w:t>名称</w:t>
            </w:r>
          </w:p>
        </w:tc>
        <w:tc>
          <w:tcPr>
            <w:tcW w:w="2209" w:type="dxa"/>
            <w:vAlign w:val="center"/>
          </w:tcPr>
          <w:p>
            <w:pPr>
              <w:pStyle w:val="8"/>
              <w:ind w:firstLine="0" w:firstLineChars="0"/>
            </w:pPr>
            <w:r>
              <w:rPr>
                <w:rFonts w:hint="eastAsia"/>
              </w:rPr>
              <w:t>数量（头</w:t>
            </w:r>
            <w:r>
              <w:t>/a</w:t>
            </w:r>
            <w:r>
              <w:rPr>
                <w:rFonts w:hint="eastAsia"/>
              </w:rPr>
              <w:t>）</w:t>
            </w:r>
          </w:p>
        </w:tc>
        <w:tc>
          <w:tcPr>
            <w:tcW w:w="3950" w:type="dxa"/>
            <w:vAlign w:val="center"/>
          </w:tcPr>
          <w:p>
            <w:pPr>
              <w:pStyle w:val="8"/>
              <w:ind w:firstLine="0" w:firstLineChars="0"/>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658" w:type="dxa"/>
            <w:vAlign w:val="center"/>
          </w:tcPr>
          <w:p>
            <w:pPr>
              <w:pStyle w:val="8"/>
              <w:ind w:firstLine="0" w:firstLineChars="0"/>
            </w:pPr>
            <w:r>
              <w:rPr>
                <w:rFonts w:hint="eastAsia"/>
              </w:rPr>
              <w:t>一</w:t>
            </w:r>
          </w:p>
        </w:tc>
        <w:tc>
          <w:tcPr>
            <w:tcW w:w="4130" w:type="dxa"/>
            <w:gridSpan w:val="2"/>
            <w:vAlign w:val="center"/>
          </w:tcPr>
          <w:p>
            <w:pPr>
              <w:pStyle w:val="8"/>
              <w:ind w:firstLine="0" w:firstLineChars="0"/>
            </w:pPr>
            <w:r>
              <w:rPr>
                <w:rFonts w:hint="eastAsia"/>
              </w:rPr>
              <w:t>存栏量</w:t>
            </w:r>
          </w:p>
        </w:tc>
        <w:tc>
          <w:tcPr>
            <w:tcW w:w="3950"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658" w:type="dxa"/>
            <w:vAlign w:val="center"/>
          </w:tcPr>
          <w:p>
            <w:pPr>
              <w:pStyle w:val="8"/>
              <w:ind w:firstLine="0" w:firstLineChars="0"/>
            </w:pPr>
            <w:r>
              <w:rPr>
                <w:rFonts w:hint="eastAsia"/>
              </w:rPr>
              <w:t>1</w:t>
            </w:r>
          </w:p>
        </w:tc>
        <w:tc>
          <w:tcPr>
            <w:tcW w:w="1921" w:type="dxa"/>
            <w:vAlign w:val="center"/>
          </w:tcPr>
          <w:p>
            <w:pPr>
              <w:pStyle w:val="8"/>
              <w:ind w:firstLine="0" w:firstLineChars="0"/>
            </w:pPr>
            <w:r>
              <w:rPr>
                <w:rFonts w:hint="eastAsia"/>
              </w:rPr>
              <w:t>保育猪</w:t>
            </w:r>
          </w:p>
        </w:tc>
        <w:tc>
          <w:tcPr>
            <w:tcW w:w="2209" w:type="dxa"/>
            <w:vAlign w:val="center"/>
          </w:tcPr>
          <w:p>
            <w:pPr>
              <w:pStyle w:val="8"/>
              <w:ind w:firstLine="0" w:firstLineChars="0"/>
            </w:pPr>
            <w:r>
              <w:rPr>
                <w:rFonts w:hint="eastAsia"/>
              </w:rPr>
              <w:t>1000</w:t>
            </w:r>
          </w:p>
        </w:tc>
        <w:tc>
          <w:tcPr>
            <w:tcW w:w="3950" w:type="dxa"/>
            <w:vAlign w:val="center"/>
          </w:tcPr>
          <w:p>
            <w:pPr>
              <w:pStyle w:val="8"/>
              <w:ind w:firstLine="0" w:firstLineChars="0"/>
            </w:pPr>
            <w:r>
              <w:rPr>
                <w:rFonts w:hint="eastAsia"/>
              </w:rPr>
              <w:t>体重7-25kg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658" w:type="dxa"/>
            <w:vAlign w:val="center"/>
          </w:tcPr>
          <w:p>
            <w:pPr>
              <w:pStyle w:val="8"/>
              <w:ind w:firstLine="0" w:firstLineChars="0"/>
            </w:pPr>
            <w:r>
              <w:t>2</w:t>
            </w:r>
          </w:p>
        </w:tc>
        <w:tc>
          <w:tcPr>
            <w:tcW w:w="1921" w:type="dxa"/>
            <w:vAlign w:val="center"/>
          </w:tcPr>
          <w:p>
            <w:pPr>
              <w:pStyle w:val="8"/>
              <w:ind w:firstLine="0" w:firstLineChars="0"/>
            </w:pPr>
            <w:r>
              <w:rPr>
                <w:rFonts w:hint="eastAsia"/>
              </w:rPr>
              <w:t>生长猪</w:t>
            </w:r>
          </w:p>
        </w:tc>
        <w:tc>
          <w:tcPr>
            <w:tcW w:w="2209" w:type="dxa"/>
            <w:vAlign w:val="center"/>
          </w:tcPr>
          <w:p>
            <w:pPr>
              <w:pStyle w:val="8"/>
              <w:ind w:firstLine="0" w:firstLineChars="0"/>
            </w:pPr>
            <w:r>
              <w:rPr>
                <w:rFonts w:hint="eastAsia"/>
              </w:rPr>
              <w:t>2340</w:t>
            </w:r>
          </w:p>
        </w:tc>
        <w:tc>
          <w:tcPr>
            <w:tcW w:w="3950" w:type="dxa"/>
            <w:vAlign w:val="center"/>
          </w:tcPr>
          <w:p>
            <w:pPr>
              <w:pStyle w:val="8"/>
              <w:ind w:firstLine="0" w:firstLineChars="0"/>
            </w:pPr>
            <w:r>
              <w:rPr>
                <w:rFonts w:hint="eastAsia"/>
              </w:rPr>
              <w:t>体重25-75kg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658" w:type="dxa"/>
            <w:vAlign w:val="center"/>
          </w:tcPr>
          <w:p>
            <w:pPr>
              <w:pStyle w:val="8"/>
              <w:ind w:firstLine="0" w:firstLineChars="0"/>
            </w:pPr>
            <w:r>
              <w:t>3</w:t>
            </w:r>
          </w:p>
        </w:tc>
        <w:tc>
          <w:tcPr>
            <w:tcW w:w="1921" w:type="dxa"/>
            <w:vAlign w:val="center"/>
          </w:tcPr>
          <w:p>
            <w:pPr>
              <w:pStyle w:val="8"/>
              <w:ind w:firstLine="0" w:firstLineChars="0"/>
            </w:pPr>
            <w:r>
              <w:rPr>
                <w:rFonts w:hint="eastAsia"/>
              </w:rPr>
              <w:t>育肥猪</w:t>
            </w:r>
          </w:p>
        </w:tc>
        <w:tc>
          <w:tcPr>
            <w:tcW w:w="2209" w:type="dxa"/>
            <w:vAlign w:val="center"/>
          </w:tcPr>
          <w:p>
            <w:pPr>
              <w:pStyle w:val="8"/>
              <w:ind w:firstLine="0" w:firstLineChars="0"/>
            </w:pPr>
            <w:r>
              <w:rPr>
                <w:rFonts w:hint="eastAsia"/>
              </w:rPr>
              <w:t>1660</w:t>
            </w:r>
          </w:p>
        </w:tc>
        <w:tc>
          <w:tcPr>
            <w:tcW w:w="3950" w:type="dxa"/>
            <w:vAlign w:val="center"/>
          </w:tcPr>
          <w:p>
            <w:pPr>
              <w:pStyle w:val="8"/>
              <w:ind w:firstLine="0" w:firstLineChars="0"/>
            </w:pPr>
            <w:r>
              <w:rPr>
                <w:rFonts w:hint="eastAsia"/>
              </w:rPr>
              <w:t>体重75-100kg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658" w:type="dxa"/>
            <w:vAlign w:val="center"/>
          </w:tcPr>
          <w:p>
            <w:pPr>
              <w:pStyle w:val="8"/>
              <w:ind w:firstLine="0" w:firstLineChars="0"/>
            </w:pPr>
            <w:r>
              <w:rPr>
                <w:rFonts w:hint="eastAsia"/>
              </w:rPr>
              <w:t>4</w:t>
            </w:r>
          </w:p>
        </w:tc>
        <w:tc>
          <w:tcPr>
            <w:tcW w:w="1921" w:type="dxa"/>
            <w:vAlign w:val="center"/>
          </w:tcPr>
          <w:p>
            <w:pPr>
              <w:pStyle w:val="8"/>
              <w:ind w:firstLine="0" w:firstLineChars="0"/>
            </w:pPr>
            <w:r>
              <w:rPr>
                <w:rFonts w:hint="eastAsia"/>
              </w:rPr>
              <w:t>小计</w:t>
            </w:r>
          </w:p>
        </w:tc>
        <w:tc>
          <w:tcPr>
            <w:tcW w:w="2209" w:type="dxa"/>
            <w:vAlign w:val="center"/>
          </w:tcPr>
          <w:p>
            <w:pPr>
              <w:pStyle w:val="8"/>
              <w:ind w:firstLine="0" w:firstLineChars="0"/>
            </w:pPr>
            <w:r>
              <w:rPr>
                <w:rFonts w:hint="eastAsia"/>
              </w:rPr>
              <w:t>5000</w:t>
            </w:r>
          </w:p>
        </w:tc>
        <w:tc>
          <w:tcPr>
            <w:tcW w:w="3950"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658" w:type="dxa"/>
            <w:vAlign w:val="center"/>
          </w:tcPr>
          <w:p>
            <w:pPr>
              <w:pStyle w:val="8"/>
              <w:ind w:firstLine="0" w:firstLineChars="0"/>
            </w:pPr>
            <w:r>
              <w:rPr>
                <w:rFonts w:hint="eastAsia"/>
              </w:rPr>
              <w:t>二</w:t>
            </w:r>
          </w:p>
        </w:tc>
        <w:tc>
          <w:tcPr>
            <w:tcW w:w="4130" w:type="dxa"/>
            <w:gridSpan w:val="2"/>
            <w:vAlign w:val="center"/>
          </w:tcPr>
          <w:p>
            <w:pPr>
              <w:pStyle w:val="8"/>
              <w:ind w:firstLine="0" w:firstLineChars="0"/>
            </w:pPr>
            <w:r>
              <w:rPr>
                <w:rFonts w:hint="eastAsia"/>
              </w:rPr>
              <w:t>最终出栏量</w:t>
            </w:r>
          </w:p>
        </w:tc>
        <w:tc>
          <w:tcPr>
            <w:tcW w:w="3950"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658" w:type="dxa"/>
            <w:vAlign w:val="center"/>
          </w:tcPr>
          <w:p>
            <w:pPr>
              <w:pStyle w:val="8"/>
              <w:ind w:firstLine="0" w:firstLineChars="0"/>
            </w:pPr>
            <w:r>
              <w:t>1</w:t>
            </w:r>
          </w:p>
        </w:tc>
        <w:tc>
          <w:tcPr>
            <w:tcW w:w="1921" w:type="dxa"/>
            <w:vAlign w:val="center"/>
          </w:tcPr>
          <w:p>
            <w:pPr>
              <w:pStyle w:val="8"/>
              <w:ind w:firstLine="0" w:firstLineChars="0"/>
            </w:pPr>
            <w:r>
              <w:rPr>
                <w:rFonts w:hint="eastAsia"/>
              </w:rPr>
              <w:t>育肥猪</w:t>
            </w:r>
          </w:p>
        </w:tc>
        <w:tc>
          <w:tcPr>
            <w:tcW w:w="2209" w:type="dxa"/>
            <w:vAlign w:val="center"/>
          </w:tcPr>
          <w:p>
            <w:pPr>
              <w:pStyle w:val="8"/>
              <w:ind w:firstLine="0" w:firstLineChars="0"/>
            </w:pPr>
            <w:r>
              <w:rPr>
                <w:rFonts w:hint="eastAsia"/>
              </w:rPr>
              <w:t>1</w:t>
            </w:r>
            <w:r>
              <w:t>0000</w:t>
            </w:r>
          </w:p>
        </w:tc>
        <w:tc>
          <w:tcPr>
            <w:tcW w:w="3950" w:type="dxa"/>
            <w:vAlign w:val="center"/>
          </w:tcPr>
          <w:p>
            <w:pPr>
              <w:pStyle w:val="8"/>
              <w:ind w:firstLine="0" w:firstLineChars="0"/>
              <w:rPr>
                <w:highlight w:val="yellow"/>
              </w:rPr>
            </w:pPr>
          </w:p>
        </w:tc>
      </w:tr>
    </w:tbl>
    <w:p>
      <w:pPr>
        <w:pStyle w:val="5"/>
        <w:spacing w:before="48" w:after="48"/>
      </w:pPr>
      <w:bookmarkStart w:id="137" w:name="_Toc289344525"/>
      <w:r>
        <w:rPr>
          <w:rFonts w:hint="eastAsia"/>
        </w:rPr>
        <w:t>2.1.5平面布置</w:t>
      </w:r>
    </w:p>
    <w:p>
      <w:pPr>
        <w:ind w:firstLine="480"/>
      </w:pPr>
      <w:r>
        <w:rPr>
          <w:rFonts w:hint="eastAsia"/>
        </w:rPr>
        <w:t>（一）项目工程的平面布置</w:t>
      </w:r>
    </w:p>
    <w:p>
      <w:pPr>
        <w:ind w:firstLine="480"/>
        <w:rPr>
          <w:highlight w:val="yellow"/>
        </w:rPr>
      </w:pPr>
      <w:r>
        <w:rPr>
          <w:rFonts w:hint="eastAsia"/>
        </w:rPr>
        <w:t>项目大门位于项目北侧，入门口设置消毒池。办公楼位于北侧，1栋1层。</w:t>
      </w:r>
    </w:p>
    <w:p>
      <w:pPr>
        <w:ind w:firstLine="480"/>
      </w:pPr>
      <w:r>
        <w:rPr>
          <w:rFonts w:hint="eastAsia"/>
        </w:rPr>
        <w:t>3栋育肥场从北至南依次布置，中间厂区内道路分隔。育肥场南侧布置有1个集污池，集污池位于地下。发酵床位于集污池北面。项目场地地面均硬化，道路宽度为</w:t>
      </w:r>
      <w:r>
        <w:t>3.5m</w:t>
      </w:r>
      <w:r>
        <w:rPr>
          <w:rFonts w:hint="eastAsia"/>
        </w:rPr>
        <w:t>，养殖区呈环形布置，满足消防要求。</w:t>
      </w:r>
    </w:p>
    <w:p>
      <w:pPr>
        <w:ind w:firstLine="480"/>
      </w:pPr>
      <w:r>
        <w:rPr>
          <w:rFonts w:hint="eastAsia"/>
        </w:rPr>
        <w:t>根据项目布局，符合《畜禽养殖业污染防治技术规范》（</w:t>
      </w:r>
      <w:r>
        <w:t>HJ/T1-2001</w:t>
      </w:r>
      <w:r>
        <w:rPr>
          <w:rFonts w:hint="eastAsia"/>
        </w:rPr>
        <w:t>）的相关要求，做到了生产与办公生活分开、清洁区与污物区分开，场区按生产工艺分区布置，布局合理。</w:t>
      </w:r>
    </w:p>
    <w:p>
      <w:pPr>
        <w:pStyle w:val="5"/>
        <w:spacing w:before="48" w:after="48"/>
      </w:pPr>
      <w:r>
        <w:rPr>
          <w:rFonts w:hint="eastAsia"/>
        </w:rPr>
        <w:t>2.1.6主要原辅料、资源能源消耗指标</w:t>
      </w:r>
    </w:p>
    <w:p>
      <w:pPr>
        <w:ind w:firstLine="480"/>
      </w:pPr>
      <w:r>
        <w:rPr>
          <w:rFonts w:hint="eastAsia"/>
        </w:rPr>
        <w:t>根据建设单位提供资料，对原辅料和资源能源消耗情况进行量化。根据《湖南省用水定额》（</w:t>
      </w:r>
      <w:r>
        <w:t>DB43/T388-2014</w:t>
      </w:r>
      <w:r>
        <w:rPr>
          <w:rFonts w:hint="eastAsia"/>
        </w:rPr>
        <w:t>），农村居民生活用水定额为</w:t>
      </w:r>
      <w:r>
        <w:t>100L/ d·</w:t>
      </w:r>
      <w:r>
        <w:rPr>
          <w:rFonts w:hint="eastAsia"/>
        </w:rPr>
        <w:t>人。</w:t>
      </w:r>
    </w:p>
    <w:p>
      <w:pPr>
        <w:ind w:firstLine="480"/>
      </w:pPr>
      <w:r>
        <w:rPr>
          <w:rFonts w:hint="eastAsia"/>
        </w:rPr>
        <w:t>根据《畜禽规模养殖场粪污资源化利用设施建设规范（试行）》（农办牧</w:t>
      </w:r>
      <w:r>
        <w:t>[2018]2号</w:t>
      </w:r>
      <w:r>
        <w:rPr>
          <w:rFonts w:hint="eastAsia"/>
        </w:rPr>
        <w:t>)，每头生猪产生的粪污需要0.2-0.4m</w:t>
      </w:r>
      <w:r>
        <w:rPr>
          <w:rFonts w:hint="eastAsia"/>
          <w:vertAlign w:val="superscript"/>
        </w:rPr>
        <w:t>3</w:t>
      </w:r>
      <w:r>
        <w:rPr>
          <w:rFonts w:hint="eastAsia"/>
        </w:rPr>
        <w:t>发酵床垫料进行发酵处理，本</w:t>
      </w:r>
      <w:r>
        <w:t>环评取0.3m</w:t>
      </w:r>
      <w:r>
        <w:rPr>
          <w:vertAlign w:val="superscript"/>
        </w:rPr>
        <w:t>3</w:t>
      </w:r>
      <w:r>
        <w:t>计算，项目育肥场按</w:t>
      </w:r>
      <w:r>
        <w:rPr>
          <w:rFonts w:hint="eastAsia"/>
        </w:rPr>
        <w:t>5000</w:t>
      </w:r>
      <w:r>
        <w:t>头生猪计，则育肥场需垫料基质</w:t>
      </w:r>
      <w:r>
        <w:rPr>
          <w:rFonts w:hint="eastAsia"/>
        </w:rPr>
        <w:t>1</w:t>
      </w:r>
      <w:r>
        <w:t>500m</w:t>
      </w:r>
      <w:r>
        <w:rPr>
          <w:vertAlign w:val="superscript"/>
        </w:rPr>
        <w:t>3</w:t>
      </w:r>
      <w:r>
        <w:t>，每配比100m</w:t>
      </w:r>
      <w:r>
        <w:rPr>
          <w:vertAlign w:val="superscript"/>
        </w:rPr>
        <w:t>3</w:t>
      </w:r>
      <w:r>
        <w:t>发酵床垫料，需要稻壳2t，锯末4t，玉米170kg，微生物菌种17kg。菌种与垫</w:t>
      </w:r>
      <w:r>
        <w:rPr>
          <w:rFonts w:hint="eastAsia"/>
        </w:rPr>
        <w:t>料一般2个月补充一次，总损耗量按使用量的20%估算。垫料在使用3年后，形成可直接用于农田农作物的生物有机肥，达到循环利用、变废为宝的效果。</w:t>
      </w:r>
    </w:p>
    <w:p>
      <w:pPr>
        <w:ind w:firstLine="480"/>
      </w:pPr>
      <w:r>
        <w:rPr>
          <w:rFonts w:hint="eastAsia"/>
        </w:rPr>
        <w:t>猪场用水定额参数见表2.1</w:t>
      </w:r>
      <w:r>
        <w:t>-</w:t>
      </w:r>
      <w:r>
        <w:rPr>
          <w:rFonts w:hint="eastAsia"/>
        </w:rPr>
        <w:t>3，主要饲料消耗参数见表2.1</w:t>
      </w:r>
      <w:r>
        <w:t>-</w:t>
      </w:r>
      <w:r>
        <w:rPr>
          <w:rFonts w:hint="eastAsia"/>
        </w:rPr>
        <w:t>4。</w:t>
      </w:r>
    </w:p>
    <w:p>
      <w:pPr>
        <w:pStyle w:val="11"/>
      </w:pPr>
      <w:r>
        <w:t xml:space="preserve">2.1- </w:t>
      </w:r>
      <w:r>
        <w:fldChar w:fldCharType="begin"/>
      </w:r>
      <w:r>
        <w:instrText xml:space="preserve"> SEQ 2.1- \* ARABIC </w:instrText>
      </w:r>
      <w:r>
        <w:fldChar w:fldCharType="separate"/>
      </w:r>
      <w:r>
        <w:t>3</w:t>
      </w:r>
      <w:r>
        <w:fldChar w:fldCharType="end"/>
      </w:r>
      <w:r>
        <w:rPr>
          <w:rFonts w:hint="eastAsia"/>
        </w:rPr>
        <w:t xml:space="preserve">  项目用水定额</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9"/>
        <w:gridCol w:w="638"/>
        <w:gridCol w:w="1045"/>
        <w:gridCol w:w="1387"/>
        <w:gridCol w:w="1588"/>
        <w:gridCol w:w="1737"/>
        <w:gridCol w:w="16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22" w:type="dxa"/>
            <w:gridSpan w:val="3"/>
            <w:vAlign w:val="center"/>
          </w:tcPr>
          <w:p>
            <w:pPr>
              <w:pStyle w:val="8"/>
              <w:ind w:firstLine="0" w:firstLineChars="0"/>
            </w:pPr>
            <w:r>
              <w:rPr>
                <w:rFonts w:hint="eastAsia"/>
              </w:rPr>
              <w:t>用水种类</w:t>
            </w:r>
          </w:p>
        </w:tc>
        <w:tc>
          <w:tcPr>
            <w:tcW w:w="1387" w:type="dxa"/>
            <w:vAlign w:val="center"/>
          </w:tcPr>
          <w:p>
            <w:pPr>
              <w:pStyle w:val="8"/>
              <w:ind w:firstLine="0" w:firstLineChars="0"/>
            </w:pPr>
            <w:r>
              <w:rPr>
                <w:rFonts w:hint="eastAsia"/>
              </w:rPr>
              <w:t>数量</w:t>
            </w:r>
          </w:p>
        </w:tc>
        <w:tc>
          <w:tcPr>
            <w:tcW w:w="1588" w:type="dxa"/>
            <w:vAlign w:val="center"/>
          </w:tcPr>
          <w:p>
            <w:pPr>
              <w:pStyle w:val="8"/>
              <w:ind w:firstLine="0" w:firstLineChars="0"/>
            </w:pPr>
            <w:r>
              <w:rPr>
                <w:rFonts w:hint="eastAsia"/>
              </w:rPr>
              <w:t>用水定额</w:t>
            </w:r>
          </w:p>
        </w:tc>
        <w:tc>
          <w:tcPr>
            <w:tcW w:w="1737" w:type="dxa"/>
            <w:vAlign w:val="center"/>
          </w:tcPr>
          <w:p>
            <w:pPr>
              <w:pStyle w:val="8"/>
              <w:ind w:firstLine="0" w:firstLineChars="0"/>
            </w:pPr>
            <w:r>
              <w:rPr>
                <w:rFonts w:hint="eastAsia"/>
              </w:rPr>
              <w:t>日用水量（</w:t>
            </w:r>
            <w:r>
              <w:t>m³/d</w:t>
            </w:r>
            <w:r>
              <w:rPr>
                <w:rFonts w:hint="eastAsia"/>
              </w:rPr>
              <w:t>）</w:t>
            </w:r>
          </w:p>
        </w:tc>
        <w:tc>
          <w:tcPr>
            <w:tcW w:w="1697" w:type="dxa"/>
            <w:vAlign w:val="center"/>
          </w:tcPr>
          <w:p>
            <w:pPr>
              <w:pStyle w:val="8"/>
              <w:ind w:firstLine="0" w:firstLineChars="0"/>
            </w:pPr>
            <w:r>
              <w:rPr>
                <w:rFonts w:hint="eastAsia"/>
              </w:rPr>
              <w:t>年用水量（</w:t>
            </w:r>
            <w:r>
              <w:t>m³/a</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639" w:type="dxa"/>
            <w:vMerge w:val="restart"/>
            <w:vAlign w:val="center"/>
          </w:tcPr>
          <w:p>
            <w:pPr>
              <w:pStyle w:val="8"/>
              <w:ind w:firstLine="0" w:firstLineChars="0"/>
            </w:pPr>
            <w:r>
              <w:rPr>
                <w:rFonts w:hint="eastAsia"/>
              </w:rPr>
              <w:t>育肥场</w:t>
            </w:r>
          </w:p>
        </w:tc>
        <w:tc>
          <w:tcPr>
            <w:tcW w:w="638" w:type="dxa"/>
            <w:vMerge w:val="restart"/>
            <w:vAlign w:val="center"/>
          </w:tcPr>
          <w:p>
            <w:pPr>
              <w:pStyle w:val="8"/>
              <w:ind w:firstLine="0" w:firstLineChars="0"/>
            </w:pPr>
            <w:r>
              <w:rPr>
                <w:rFonts w:hint="eastAsia"/>
              </w:rPr>
              <w:t>养殖用水</w:t>
            </w:r>
          </w:p>
        </w:tc>
        <w:tc>
          <w:tcPr>
            <w:tcW w:w="1045" w:type="dxa"/>
            <w:vAlign w:val="center"/>
          </w:tcPr>
          <w:p>
            <w:pPr>
              <w:pStyle w:val="8"/>
              <w:ind w:firstLine="0" w:firstLineChars="0"/>
            </w:pPr>
            <w:r>
              <w:rPr>
                <w:rFonts w:hint="eastAsia"/>
              </w:rPr>
              <w:t>保育猪</w:t>
            </w:r>
          </w:p>
        </w:tc>
        <w:tc>
          <w:tcPr>
            <w:tcW w:w="1387" w:type="dxa"/>
            <w:vAlign w:val="center"/>
          </w:tcPr>
          <w:p>
            <w:pPr>
              <w:pStyle w:val="8"/>
              <w:ind w:firstLine="0" w:firstLineChars="0"/>
            </w:pPr>
            <w:r>
              <w:rPr>
                <w:rFonts w:hint="eastAsia"/>
              </w:rPr>
              <w:t>1000头</w:t>
            </w:r>
          </w:p>
        </w:tc>
        <w:tc>
          <w:tcPr>
            <w:tcW w:w="1588" w:type="dxa"/>
            <w:vAlign w:val="center"/>
          </w:tcPr>
          <w:p>
            <w:pPr>
              <w:pStyle w:val="8"/>
              <w:ind w:firstLine="0" w:firstLineChars="0"/>
            </w:pPr>
            <w:r>
              <w:rPr>
                <w:rFonts w:hint="eastAsia"/>
              </w:rPr>
              <w:t>5（</w:t>
            </w:r>
            <w:r>
              <w:t>L/ d·</w:t>
            </w:r>
            <w:r>
              <w:rPr>
                <w:rFonts w:hint="eastAsia"/>
              </w:rPr>
              <w:t>头）</w:t>
            </w:r>
          </w:p>
        </w:tc>
        <w:tc>
          <w:tcPr>
            <w:tcW w:w="1737" w:type="dxa"/>
            <w:vAlign w:val="center"/>
          </w:tcPr>
          <w:p>
            <w:pPr>
              <w:pStyle w:val="8"/>
              <w:ind w:firstLine="0" w:firstLineChars="0"/>
            </w:pPr>
            <w:r>
              <w:rPr>
                <w:rFonts w:hint="eastAsia"/>
              </w:rPr>
              <w:t>5</w:t>
            </w:r>
          </w:p>
        </w:tc>
        <w:tc>
          <w:tcPr>
            <w:tcW w:w="1697" w:type="dxa"/>
            <w:vAlign w:val="center"/>
          </w:tcPr>
          <w:p>
            <w:pPr>
              <w:pStyle w:val="8"/>
              <w:ind w:firstLine="0" w:firstLineChars="0"/>
            </w:pPr>
            <w:r>
              <w:rPr>
                <w:rFonts w:hint="eastAsia"/>
              </w:rPr>
              <w:t>1825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639" w:type="dxa"/>
            <w:vMerge w:val="continue"/>
            <w:vAlign w:val="center"/>
          </w:tcPr>
          <w:p>
            <w:pPr>
              <w:pStyle w:val="8"/>
              <w:ind w:firstLine="0" w:firstLineChars="0"/>
            </w:pPr>
          </w:p>
        </w:tc>
        <w:tc>
          <w:tcPr>
            <w:tcW w:w="638" w:type="dxa"/>
            <w:vMerge w:val="continue"/>
            <w:vAlign w:val="center"/>
          </w:tcPr>
          <w:p>
            <w:pPr>
              <w:pStyle w:val="8"/>
              <w:ind w:firstLine="0" w:firstLineChars="0"/>
            </w:pPr>
          </w:p>
        </w:tc>
        <w:tc>
          <w:tcPr>
            <w:tcW w:w="1045" w:type="dxa"/>
            <w:vAlign w:val="center"/>
          </w:tcPr>
          <w:p>
            <w:pPr>
              <w:pStyle w:val="8"/>
              <w:ind w:firstLine="0" w:firstLineChars="0"/>
            </w:pPr>
            <w:r>
              <w:rPr>
                <w:rFonts w:hint="eastAsia"/>
              </w:rPr>
              <w:t>生长猪</w:t>
            </w:r>
          </w:p>
        </w:tc>
        <w:tc>
          <w:tcPr>
            <w:tcW w:w="1387" w:type="dxa"/>
            <w:vAlign w:val="center"/>
          </w:tcPr>
          <w:p>
            <w:pPr>
              <w:pStyle w:val="8"/>
              <w:ind w:firstLine="0" w:firstLineChars="0"/>
            </w:pPr>
            <w:r>
              <w:rPr>
                <w:rFonts w:hint="eastAsia"/>
              </w:rPr>
              <w:t>2340头</w:t>
            </w:r>
          </w:p>
        </w:tc>
        <w:tc>
          <w:tcPr>
            <w:tcW w:w="1588" w:type="dxa"/>
            <w:vAlign w:val="center"/>
          </w:tcPr>
          <w:p>
            <w:pPr>
              <w:pStyle w:val="8"/>
              <w:ind w:firstLine="0" w:firstLineChars="0"/>
            </w:pPr>
            <w:r>
              <w:rPr>
                <w:rFonts w:hint="eastAsia"/>
              </w:rPr>
              <w:t>6（</w:t>
            </w:r>
            <w:r>
              <w:t>L/ d·</w:t>
            </w:r>
            <w:r>
              <w:rPr>
                <w:rFonts w:hint="eastAsia"/>
              </w:rPr>
              <w:t>头）</w:t>
            </w:r>
          </w:p>
        </w:tc>
        <w:tc>
          <w:tcPr>
            <w:tcW w:w="1737" w:type="dxa"/>
            <w:vAlign w:val="center"/>
          </w:tcPr>
          <w:p>
            <w:pPr>
              <w:pStyle w:val="8"/>
              <w:ind w:firstLine="0" w:firstLineChars="0"/>
            </w:pPr>
            <w:r>
              <w:rPr>
                <w:rFonts w:hint="eastAsia"/>
              </w:rPr>
              <w:t>14</w:t>
            </w:r>
          </w:p>
        </w:tc>
        <w:tc>
          <w:tcPr>
            <w:tcW w:w="1697" w:type="dxa"/>
            <w:vAlign w:val="center"/>
          </w:tcPr>
          <w:p>
            <w:pPr>
              <w:pStyle w:val="8"/>
              <w:ind w:firstLine="0" w:firstLineChars="0"/>
            </w:pPr>
            <w:r>
              <w:rPr>
                <w:rFonts w:hint="eastAsia"/>
              </w:rPr>
              <w:t>5110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639" w:type="dxa"/>
            <w:vMerge w:val="continue"/>
            <w:vAlign w:val="center"/>
          </w:tcPr>
          <w:p>
            <w:pPr>
              <w:pStyle w:val="8"/>
              <w:ind w:firstLine="0" w:firstLineChars="0"/>
            </w:pPr>
          </w:p>
        </w:tc>
        <w:tc>
          <w:tcPr>
            <w:tcW w:w="638" w:type="dxa"/>
            <w:vMerge w:val="continue"/>
            <w:vAlign w:val="center"/>
          </w:tcPr>
          <w:p>
            <w:pPr>
              <w:pStyle w:val="8"/>
              <w:ind w:firstLine="0" w:firstLineChars="0"/>
            </w:pPr>
          </w:p>
        </w:tc>
        <w:tc>
          <w:tcPr>
            <w:tcW w:w="1045" w:type="dxa"/>
            <w:vAlign w:val="center"/>
          </w:tcPr>
          <w:p>
            <w:pPr>
              <w:pStyle w:val="8"/>
              <w:ind w:firstLine="0" w:firstLineChars="0"/>
            </w:pPr>
            <w:r>
              <w:rPr>
                <w:rFonts w:hint="eastAsia"/>
              </w:rPr>
              <w:t>育肥猪</w:t>
            </w:r>
          </w:p>
        </w:tc>
        <w:tc>
          <w:tcPr>
            <w:tcW w:w="1387" w:type="dxa"/>
            <w:vAlign w:val="center"/>
          </w:tcPr>
          <w:p>
            <w:pPr>
              <w:pStyle w:val="8"/>
              <w:ind w:firstLine="0" w:firstLineChars="0"/>
            </w:pPr>
            <w:r>
              <w:rPr>
                <w:rFonts w:hint="eastAsia"/>
              </w:rPr>
              <w:t>1660头</w:t>
            </w:r>
          </w:p>
        </w:tc>
        <w:tc>
          <w:tcPr>
            <w:tcW w:w="1588" w:type="dxa"/>
            <w:vAlign w:val="center"/>
          </w:tcPr>
          <w:p>
            <w:pPr>
              <w:pStyle w:val="8"/>
              <w:ind w:firstLine="0" w:firstLineChars="0"/>
            </w:pPr>
            <w:r>
              <w:rPr>
                <w:rFonts w:hint="eastAsia"/>
              </w:rPr>
              <w:t>12（</w:t>
            </w:r>
            <w:r>
              <w:t>L/ d·</w:t>
            </w:r>
            <w:r>
              <w:rPr>
                <w:rFonts w:hint="eastAsia"/>
              </w:rPr>
              <w:t>头）</w:t>
            </w:r>
          </w:p>
        </w:tc>
        <w:tc>
          <w:tcPr>
            <w:tcW w:w="1737" w:type="dxa"/>
            <w:vAlign w:val="center"/>
          </w:tcPr>
          <w:p>
            <w:pPr>
              <w:pStyle w:val="8"/>
              <w:ind w:firstLine="0" w:firstLineChars="0"/>
            </w:pPr>
            <w:r>
              <w:rPr>
                <w:rFonts w:hint="eastAsia"/>
              </w:rPr>
              <w:t>19.9</w:t>
            </w:r>
          </w:p>
        </w:tc>
        <w:tc>
          <w:tcPr>
            <w:tcW w:w="1697" w:type="dxa"/>
            <w:vAlign w:val="center"/>
          </w:tcPr>
          <w:p>
            <w:pPr>
              <w:pStyle w:val="8"/>
              <w:ind w:firstLine="0" w:firstLineChars="0"/>
            </w:pPr>
            <w:r>
              <w:rPr>
                <w:rFonts w:hint="eastAsia"/>
              </w:rPr>
              <w:t>7263.5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2322" w:type="dxa"/>
            <w:gridSpan w:val="3"/>
            <w:vAlign w:val="center"/>
          </w:tcPr>
          <w:p>
            <w:pPr>
              <w:pStyle w:val="8"/>
              <w:ind w:firstLine="0" w:firstLineChars="0"/>
            </w:pPr>
            <w:r>
              <w:rPr>
                <w:rFonts w:hint="eastAsia"/>
              </w:rPr>
              <w:t>员工生活用水</w:t>
            </w:r>
          </w:p>
        </w:tc>
        <w:tc>
          <w:tcPr>
            <w:tcW w:w="1387" w:type="dxa"/>
            <w:vAlign w:val="center"/>
          </w:tcPr>
          <w:p>
            <w:pPr>
              <w:pStyle w:val="8"/>
              <w:ind w:firstLine="0" w:firstLineChars="0"/>
            </w:pPr>
            <w:r>
              <w:rPr>
                <w:rFonts w:hint="eastAsia"/>
              </w:rPr>
              <w:t>6人</w:t>
            </w:r>
          </w:p>
        </w:tc>
        <w:tc>
          <w:tcPr>
            <w:tcW w:w="1588" w:type="dxa"/>
            <w:vAlign w:val="center"/>
          </w:tcPr>
          <w:p>
            <w:pPr>
              <w:pStyle w:val="8"/>
              <w:ind w:firstLine="0" w:firstLineChars="0"/>
            </w:pPr>
            <w:r>
              <w:t>100</w:t>
            </w:r>
            <w:r>
              <w:rPr>
                <w:rFonts w:hint="eastAsia"/>
              </w:rPr>
              <w:t>（</w:t>
            </w:r>
            <w:r>
              <w:t>L/ d·</w:t>
            </w:r>
            <w:r>
              <w:rPr>
                <w:rFonts w:hint="eastAsia"/>
              </w:rPr>
              <w:t>人）</w:t>
            </w:r>
          </w:p>
        </w:tc>
        <w:tc>
          <w:tcPr>
            <w:tcW w:w="1737" w:type="dxa"/>
            <w:vAlign w:val="center"/>
          </w:tcPr>
          <w:p>
            <w:pPr>
              <w:pStyle w:val="8"/>
              <w:ind w:firstLine="0" w:firstLineChars="0"/>
            </w:pPr>
            <w:r>
              <w:rPr>
                <w:rFonts w:hint="eastAsia"/>
              </w:rPr>
              <w:t>0.6</w:t>
            </w:r>
          </w:p>
        </w:tc>
        <w:tc>
          <w:tcPr>
            <w:tcW w:w="1697" w:type="dxa"/>
            <w:vAlign w:val="center"/>
          </w:tcPr>
          <w:p>
            <w:pPr>
              <w:pStyle w:val="8"/>
              <w:ind w:firstLine="0" w:firstLineChars="0"/>
            </w:pPr>
            <w:r>
              <w:rPr>
                <w:rFonts w:hint="eastAsia"/>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2322" w:type="dxa"/>
            <w:gridSpan w:val="3"/>
            <w:vAlign w:val="center"/>
          </w:tcPr>
          <w:p>
            <w:pPr>
              <w:pStyle w:val="8"/>
              <w:ind w:firstLine="0" w:firstLineChars="0"/>
            </w:pPr>
            <w:r>
              <w:rPr>
                <w:rFonts w:hint="eastAsia"/>
              </w:rPr>
              <w:t>消毒冲洗水</w:t>
            </w:r>
          </w:p>
        </w:tc>
        <w:tc>
          <w:tcPr>
            <w:tcW w:w="1387" w:type="dxa"/>
            <w:vAlign w:val="center"/>
          </w:tcPr>
          <w:p>
            <w:pPr>
              <w:pStyle w:val="8"/>
              <w:ind w:firstLine="0" w:firstLineChars="0"/>
              <w:rPr>
                <w:highlight w:val="yellow"/>
              </w:rPr>
            </w:pPr>
            <w:r>
              <w:rPr>
                <w:rFonts w:hint="eastAsia"/>
              </w:rPr>
              <w:t>4722</w:t>
            </w:r>
            <w:r>
              <w:t>m</w:t>
            </w:r>
            <w:r>
              <w:rPr>
                <w:vertAlign w:val="superscript"/>
              </w:rPr>
              <w:t>2</w:t>
            </w:r>
          </w:p>
        </w:tc>
        <w:tc>
          <w:tcPr>
            <w:tcW w:w="1588" w:type="dxa"/>
            <w:vAlign w:val="center"/>
          </w:tcPr>
          <w:p>
            <w:pPr>
              <w:pStyle w:val="8"/>
              <w:ind w:firstLine="0" w:firstLineChars="0"/>
              <w:rPr>
                <w:highlight w:val="yellow"/>
              </w:rPr>
            </w:pPr>
            <w:r>
              <w:t>2m</w:t>
            </w:r>
            <w:r>
              <w:rPr>
                <w:vertAlign w:val="superscript"/>
              </w:rPr>
              <w:t>3</w:t>
            </w:r>
            <w:r>
              <w:t>/100m</w:t>
            </w:r>
            <w:r>
              <w:rPr>
                <w:vertAlign w:val="superscript"/>
              </w:rPr>
              <w:t>2</w:t>
            </w:r>
            <w:r>
              <w:t>·</w:t>
            </w:r>
            <w:r>
              <w:rPr>
                <w:rFonts w:hint="eastAsia"/>
              </w:rPr>
              <w:t>次</w:t>
            </w:r>
          </w:p>
        </w:tc>
        <w:tc>
          <w:tcPr>
            <w:tcW w:w="1737" w:type="dxa"/>
            <w:vAlign w:val="center"/>
          </w:tcPr>
          <w:p>
            <w:pPr>
              <w:pStyle w:val="8"/>
              <w:ind w:firstLine="0" w:firstLineChars="0"/>
              <w:rPr>
                <w:highlight w:val="yellow"/>
              </w:rPr>
            </w:pPr>
            <w:r>
              <w:rPr>
                <w:rFonts w:hint="eastAsia"/>
              </w:rPr>
              <w:t>94.4</w:t>
            </w:r>
            <w:r>
              <w:t>m</w:t>
            </w:r>
            <w:r>
              <w:rPr>
                <w:vertAlign w:val="superscript"/>
              </w:rPr>
              <w:t>3</w:t>
            </w:r>
            <w:r>
              <w:t>/次</w:t>
            </w:r>
          </w:p>
        </w:tc>
        <w:tc>
          <w:tcPr>
            <w:tcW w:w="1697" w:type="dxa"/>
            <w:vAlign w:val="center"/>
          </w:tcPr>
          <w:p>
            <w:pPr>
              <w:pStyle w:val="8"/>
              <w:ind w:firstLine="0" w:firstLineChars="0"/>
              <w:rPr>
                <w:highlight w:val="yellow"/>
              </w:rPr>
            </w:pPr>
            <w:r>
              <w:rPr>
                <w:rFonts w:hint="eastAsia"/>
              </w:rPr>
              <w:t>188.8</w:t>
            </w:r>
            <w:r>
              <w:t>（</w:t>
            </w:r>
            <w:r>
              <w:rPr>
                <w:rFonts w:hint="eastAsia"/>
              </w:rPr>
              <w:t>育肥舍</w:t>
            </w:r>
            <w:r>
              <w:t>平均冲洗</w:t>
            </w:r>
            <w:r>
              <w:rPr>
                <w:rFonts w:hint="eastAsia"/>
              </w:rPr>
              <w:t>2</w:t>
            </w:r>
            <w:r>
              <w:t>次计）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2322" w:type="dxa"/>
            <w:gridSpan w:val="3"/>
            <w:vAlign w:val="center"/>
          </w:tcPr>
          <w:p>
            <w:pPr>
              <w:pStyle w:val="8"/>
              <w:ind w:firstLine="0" w:firstLineChars="0"/>
            </w:pPr>
            <w:r>
              <w:rPr>
                <w:rFonts w:hint="eastAsia"/>
              </w:rPr>
              <w:t>水帘降温用水</w:t>
            </w:r>
          </w:p>
        </w:tc>
        <w:tc>
          <w:tcPr>
            <w:tcW w:w="1387" w:type="dxa"/>
            <w:vAlign w:val="center"/>
          </w:tcPr>
          <w:p>
            <w:pPr>
              <w:pStyle w:val="8"/>
              <w:ind w:firstLine="0" w:firstLineChars="0"/>
            </w:pPr>
            <w:r>
              <w:t>90</w:t>
            </w:r>
            <w:r>
              <w:rPr>
                <w:rFonts w:hint="eastAsia"/>
              </w:rPr>
              <w:t>天</w:t>
            </w:r>
          </w:p>
        </w:tc>
        <w:tc>
          <w:tcPr>
            <w:tcW w:w="1588" w:type="dxa"/>
            <w:vAlign w:val="center"/>
          </w:tcPr>
          <w:p>
            <w:pPr>
              <w:pStyle w:val="8"/>
              <w:ind w:firstLine="0" w:firstLineChars="0"/>
            </w:pPr>
            <w:r>
              <w:rPr>
                <w:rFonts w:hint="eastAsia"/>
              </w:rPr>
              <w:t>5</w:t>
            </w:r>
            <w:r>
              <w:t>m</w:t>
            </w:r>
            <w:r>
              <w:rPr>
                <w:vertAlign w:val="superscript"/>
              </w:rPr>
              <w:t>3</w:t>
            </w:r>
            <w:r>
              <w:t>/</w:t>
            </w:r>
            <w:r>
              <w:rPr>
                <w:rFonts w:hint="eastAsia"/>
              </w:rPr>
              <w:t>天</w:t>
            </w:r>
          </w:p>
        </w:tc>
        <w:tc>
          <w:tcPr>
            <w:tcW w:w="1737" w:type="dxa"/>
            <w:vAlign w:val="center"/>
          </w:tcPr>
          <w:p>
            <w:pPr>
              <w:pStyle w:val="8"/>
              <w:ind w:firstLine="0" w:firstLineChars="0"/>
            </w:pPr>
            <w:r>
              <w:rPr>
                <w:rFonts w:hint="eastAsia"/>
              </w:rPr>
              <w:t>5</w:t>
            </w:r>
          </w:p>
        </w:tc>
        <w:tc>
          <w:tcPr>
            <w:tcW w:w="1697" w:type="dxa"/>
            <w:vAlign w:val="center"/>
          </w:tcPr>
          <w:p>
            <w:pPr>
              <w:pStyle w:val="8"/>
              <w:ind w:firstLine="0" w:firstLineChars="0"/>
            </w:pPr>
            <w:r>
              <w:rPr>
                <w:rFonts w:hint="eastAsia"/>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322" w:type="dxa"/>
            <w:gridSpan w:val="3"/>
            <w:vAlign w:val="center"/>
          </w:tcPr>
          <w:p>
            <w:pPr>
              <w:pStyle w:val="8"/>
              <w:ind w:firstLine="0" w:firstLineChars="0"/>
            </w:pPr>
            <w:r>
              <w:rPr>
                <w:rFonts w:hint="eastAsia"/>
              </w:rPr>
              <w:t>合计（</w:t>
            </w:r>
            <w:r>
              <w:t>m³/a</w:t>
            </w:r>
            <w:r>
              <w:rPr>
                <w:rFonts w:hint="eastAsia"/>
              </w:rPr>
              <w:t>）</w:t>
            </w:r>
          </w:p>
        </w:tc>
        <w:tc>
          <w:tcPr>
            <w:tcW w:w="6409" w:type="dxa"/>
            <w:gridSpan w:val="4"/>
            <w:vAlign w:val="center"/>
          </w:tcPr>
          <w:p>
            <w:pPr>
              <w:pStyle w:val="8"/>
              <w:ind w:firstLine="0" w:firstLineChars="0"/>
            </w:pPr>
            <w:r>
              <w:rPr>
                <w:rFonts w:hint="eastAsia"/>
              </w:rPr>
              <w:t>15056.3</w:t>
            </w:r>
          </w:p>
        </w:tc>
      </w:tr>
    </w:tbl>
    <w:p>
      <w:pPr>
        <w:pStyle w:val="11"/>
      </w:pPr>
      <w:r>
        <w:t xml:space="preserve">2.1- </w:t>
      </w:r>
      <w:r>
        <w:fldChar w:fldCharType="begin"/>
      </w:r>
      <w:r>
        <w:instrText xml:space="preserve"> SEQ 2.1- \* ARABIC </w:instrText>
      </w:r>
      <w:r>
        <w:fldChar w:fldCharType="separate"/>
      </w:r>
      <w:r>
        <w:t>4</w:t>
      </w:r>
      <w:r>
        <w:fldChar w:fldCharType="end"/>
      </w:r>
      <w:r>
        <w:rPr>
          <w:rFonts w:hint="eastAsia"/>
        </w:rPr>
        <w:t xml:space="preserve">   项目主要原辅料消耗及资源能源消耗情况一览表</w:t>
      </w:r>
    </w:p>
    <w:tbl>
      <w:tblPr>
        <w:tblStyle w:val="21"/>
        <w:tblW w:w="91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267"/>
        <w:gridCol w:w="1148"/>
        <w:gridCol w:w="1470"/>
        <w:gridCol w:w="35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序号</w:t>
            </w:r>
          </w:p>
        </w:tc>
        <w:tc>
          <w:tcPr>
            <w:tcW w:w="2267" w:type="dxa"/>
            <w:vAlign w:val="center"/>
          </w:tcPr>
          <w:p>
            <w:pPr>
              <w:pStyle w:val="8"/>
              <w:ind w:firstLine="0" w:firstLineChars="0"/>
            </w:pPr>
            <w:r>
              <w:rPr>
                <w:rFonts w:hint="eastAsia"/>
              </w:rPr>
              <w:t>项目名称</w:t>
            </w:r>
          </w:p>
        </w:tc>
        <w:tc>
          <w:tcPr>
            <w:tcW w:w="1148" w:type="dxa"/>
            <w:vAlign w:val="center"/>
          </w:tcPr>
          <w:p>
            <w:pPr>
              <w:pStyle w:val="8"/>
              <w:ind w:firstLine="0" w:firstLineChars="0"/>
            </w:pPr>
            <w:r>
              <w:rPr>
                <w:rFonts w:hint="eastAsia"/>
              </w:rPr>
              <w:t>单位</w:t>
            </w:r>
          </w:p>
        </w:tc>
        <w:tc>
          <w:tcPr>
            <w:tcW w:w="1470" w:type="dxa"/>
            <w:vAlign w:val="center"/>
          </w:tcPr>
          <w:p>
            <w:pPr>
              <w:pStyle w:val="8"/>
              <w:ind w:firstLine="0" w:firstLineChars="0"/>
            </w:pPr>
            <w:r>
              <w:rPr>
                <w:rFonts w:hint="eastAsia"/>
              </w:rPr>
              <w:t>年消耗量</w:t>
            </w:r>
          </w:p>
        </w:tc>
        <w:tc>
          <w:tcPr>
            <w:tcW w:w="3578" w:type="dxa"/>
            <w:vAlign w:val="center"/>
          </w:tcPr>
          <w:p>
            <w:pPr>
              <w:pStyle w:val="8"/>
              <w:ind w:firstLine="0" w:firstLineChars="0"/>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733" w:type="dxa"/>
            <w:vAlign w:val="center"/>
          </w:tcPr>
          <w:p>
            <w:pPr>
              <w:pStyle w:val="8"/>
              <w:ind w:firstLine="0" w:firstLineChars="0"/>
            </w:pPr>
            <w:r>
              <w:t>1</w:t>
            </w:r>
          </w:p>
        </w:tc>
        <w:tc>
          <w:tcPr>
            <w:tcW w:w="2267" w:type="dxa"/>
            <w:vAlign w:val="center"/>
          </w:tcPr>
          <w:p>
            <w:pPr>
              <w:pStyle w:val="8"/>
              <w:ind w:firstLine="0" w:firstLineChars="0"/>
            </w:pPr>
            <w:r>
              <w:rPr>
                <w:rFonts w:hint="eastAsia"/>
              </w:rPr>
              <w:t>饲料</w:t>
            </w:r>
          </w:p>
        </w:tc>
        <w:tc>
          <w:tcPr>
            <w:tcW w:w="1148" w:type="dxa"/>
            <w:vAlign w:val="center"/>
          </w:tcPr>
          <w:p>
            <w:pPr>
              <w:pStyle w:val="8"/>
              <w:ind w:firstLine="0" w:firstLineChars="0"/>
            </w:pPr>
            <w:r>
              <w:t>t/a</w:t>
            </w:r>
          </w:p>
        </w:tc>
        <w:tc>
          <w:tcPr>
            <w:tcW w:w="1470" w:type="dxa"/>
            <w:vAlign w:val="center"/>
          </w:tcPr>
          <w:p>
            <w:pPr>
              <w:pStyle w:val="8"/>
              <w:ind w:firstLine="0" w:firstLineChars="0"/>
            </w:pPr>
            <w:r>
              <w:rPr>
                <w:rFonts w:hint="eastAsia"/>
              </w:rPr>
              <w:t>3890.9</w:t>
            </w:r>
          </w:p>
        </w:tc>
        <w:tc>
          <w:tcPr>
            <w:tcW w:w="3578" w:type="dxa"/>
            <w:vAlign w:val="center"/>
          </w:tcPr>
          <w:p>
            <w:pPr>
              <w:pStyle w:val="8"/>
              <w:ind w:firstLine="0" w:firstLineChars="0"/>
            </w:pPr>
            <w:r>
              <w:rPr>
                <w:rFonts w:hint="eastAsia"/>
              </w:rPr>
              <w:t>全部外购成品饲料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t>2</w:t>
            </w:r>
          </w:p>
        </w:tc>
        <w:tc>
          <w:tcPr>
            <w:tcW w:w="2267" w:type="dxa"/>
            <w:vAlign w:val="center"/>
          </w:tcPr>
          <w:p>
            <w:pPr>
              <w:pStyle w:val="8"/>
              <w:ind w:firstLine="0" w:firstLineChars="0"/>
            </w:pPr>
            <w:r>
              <w:rPr>
                <w:rFonts w:hint="eastAsia"/>
              </w:rPr>
              <w:t>新鲜水</w:t>
            </w:r>
          </w:p>
        </w:tc>
        <w:tc>
          <w:tcPr>
            <w:tcW w:w="1148" w:type="dxa"/>
            <w:vAlign w:val="center"/>
          </w:tcPr>
          <w:p>
            <w:pPr>
              <w:pStyle w:val="8"/>
              <w:ind w:firstLine="0" w:firstLineChars="0"/>
            </w:pPr>
            <w:r>
              <w:t>m</w:t>
            </w:r>
            <w:r>
              <w:rPr>
                <w:vertAlign w:val="superscript"/>
              </w:rPr>
              <w:t>3</w:t>
            </w:r>
            <w:r>
              <w:t>/a</w:t>
            </w:r>
          </w:p>
        </w:tc>
        <w:tc>
          <w:tcPr>
            <w:tcW w:w="1470" w:type="dxa"/>
            <w:vAlign w:val="center"/>
          </w:tcPr>
          <w:p>
            <w:pPr>
              <w:pStyle w:val="8"/>
              <w:ind w:firstLine="0" w:firstLineChars="0"/>
            </w:pPr>
            <w:r>
              <w:rPr>
                <w:rFonts w:hint="eastAsia"/>
              </w:rPr>
              <w:t>15056.3</w:t>
            </w:r>
          </w:p>
        </w:tc>
        <w:tc>
          <w:tcPr>
            <w:tcW w:w="3578" w:type="dxa"/>
            <w:vAlign w:val="center"/>
          </w:tcPr>
          <w:p>
            <w:pPr>
              <w:pStyle w:val="8"/>
              <w:ind w:firstLine="0" w:firstLineChars="0"/>
            </w:pPr>
            <w:r>
              <w:rPr>
                <w:rFonts w:hint="eastAsia"/>
              </w:rPr>
              <w:t>自来水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733" w:type="dxa"/>
            <w:vAlign w:val="center"/>
          </w:tcPr>
          <w:p>
            <w:pPr>
              <w:pStyle w:val="8"/>
              <w:ind w:firstLine="0" w:firstLineChars="0"/>
            </w:pPr>
            <w:r>
              <w:t>3</w:t>
            </w:r>
          </w:p>
        </w:tc>
        <w:tc>
          <w:tcPr>
            <w:tcW w:w="2267" w:type="dxa"/>
            <w:vAlign w:val="center"/>
          </w:tcPr>
          <w:p>
            <w:pPr>
              <w:pStyle w:val="8"/>
              <w:ind w:firstLine="0" w:firstLineChars="0"/>
            </w:pPr>
            <w:r>
              <w:rPr>
                <w:rFonts w:hint="eastAsia"/>
              </w:rPr>
              <w:t>消毒剂</w:t>
            </w:r>
          </w:p>
        </w:tc>
        <w:tc>
          <w:tcPr>
            <w:tcW w:w="1148" w:type="dxa"/>
            <w:vAlign w:val="center"/>
          </w:tcPr>
          <w:p>
            <w:pPr>
              <w:pStyle w:val="8"/>
              <w:ind w:firstLine="0" w:firstLineChars="0"/>
            </w:pPr>
            <w:r>
              <w:t>t/a</w:t>
            </w:r>
          </w:p>
        </w:tc>
        <w:tc>
          <w:tcPr>
            <w:tcW w:w="1470" w:type="dxa"/>
            <w:vAlign w:val="center"/>
          </w:tcPr>
          <w:p>
            <w:pPr>
              <w:pStyle w:val="8"/>
              <w:ind w:firstLine="0" w:firstLineChars="0"/>
            </w:pPr>
            <w:r>
              <w:rPr>
                <w:rFonts w:hint="eastAsia"/>
              </w:rPr>
              <w:t xml:space="preserve">1.67 </w:t>
            </w:r>
          </w:p>
        </w:tc>
        <w:tc>
          <w:tcPr>
            <w:tcW w:w="3578" w:type="dxa"/>
            <w:vAlign w:val="center"/>
          </w:tcPr>
          <w:p>
            <w:pPr>
              <w:pStyle w:val="8"/>
              <w:ind w:firstLine="0" w:firstLineChars="0"/>
            </w:pPr>
            <w:r>
              <w:rPr>
                <w:rFonts w:hint="eastAsia"/>
              </w:rPr>
              <w:t>主要成分为氢氧化钠和高锰酸钾，石灰等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t>4</w:t>
            </w:r>
          </w:p>
        </w:tc>
        <w:tc>
          <w:tcPr>
            <w:tcW w:w="2267" w:type="dxa"/>
            <w:vAlign w:val="center"/>
          </w:tcPr>
          <w:p>
            <w:pPr>
              <w:pStyle w:val="8"/>
              <w:ind w:firstLine="0" w:firstLineChars="0"/>
            </w:pPr>
            <w:r>
              <w:rPr>
                <w:rFonts w:hint="eastAsia"/>
              </w:rPr>
              <w:t>兽药</w:t>
            </w:r>
          </w:p>
        </w:tc>
        <w:tc>
          <w:tcPr>
            <w:tcW w:w="1148" w:type="dxa"/>
            <w:vAlign w:val="center"/>
          </w:tcPr>
          <w:p>
            <w:pPr>
              <w:pStyle w:val="8"/>
              <w:ind w:firstLine="0" w:firstLineChars="0"/>
            </w:pPr>
            <w:r>
              <w:t>t/a</w:t>
            </w:r>
          </w:p>
        </w:tc>
        <w:tc>
          <w:tcPr>
            <w:tcW w:w="1470" w:type="dxa"/>
            <w:vAlign w:val="center"/>
          </w:tcPr>
          <w:p>
            <w:pPr>
              <w:pStyle w:val="8"/>
              <w:ind w:firstLine="0" w:firstLineChars="0"/>
            </w:pPr>
            <w:r>
              <w:rPr>
                <w:rFonts w:hint="eastAsia"/>
              </w:rPr>
              <w:t xml:space="preserve">1.00 </w:t>
            </w:r>
          </w:p>
        </w:tc>
        <w:tc>
          <w:tcPr>
            <w:tcW w:w="3578" w:type="dxa"/>
            <w:vAlign w:val="center"/>
          </w:tcPr>
          <w:p>
            <w:pPr>
              <w:pStyle w:val="8"/>
              <w:ind w:firstLine="0" w:firstLineChars="0"/>
            </w:pPr>
            <w:r>
              <w:rPr>
                <w:rFonts w:hint="eastAsia"/>
              </w:rPr>
              <w:t>从当地畜牧防疫部门（站）购进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5</w:t>
            </w:r>
          </w:p>
        </w:tc>
        <w:tc>
          <w:tcPr>
            <w:tcW w:w="2267" w:type="dxa"/>
            <w:vAlign w:val="center"/>
          </w:tcPr>
          <w:p>
            <w:pPr>
              <w:pStyle w:val="8"/>
              <w:ind w:firstLine="0" w:firstLineChars="0"/>
            </w:pPr>
            <w:r>
              <w:t>EM</w:t>
            </w:r>
            <w:r>
              <w:rPr>
                <w:rFonts w:hint="eastAsia"/>
              </w:rPr>
              <w:t>菌液</w:t>
            </w:r>
          </w:p>
        </w:tc>
        <w:tc>
          <w:tcPr>
            <w:tcW w:w="1148" w:type="dxa"/>
            <w:vAlign w:val="center"/>
          </w:tcPr>
          <w:p>
            <w:pPr>
              <w:pStyle w:val="8"/>
              <w:ind w:firstLine="0" w:firstLineChars="0"/>
            </w:pPr>
            <w:r>
              <w:t>t/a</w:t>
            </w:r>
          </w:p>
        </w:tc>
        <w:tc>
          <w:tcPr>
            <w:tcW w:w="1470" w:type="dxa"/>
            <w:vAlign w:val="center"/>
          </w:tcPr>
          <w:p>
            <w:pPr>
              <w:pStyle w:val="8"/>
              <w:ind w:firstLine="0" w:firstLineChars="0"/>
            </w:pPr>
            <w:r>
              <w:rPr>
                <w:rFonts w:hint="eastAsia"/>
              </w:rPr>
              <w:t xml:space="preserve">2.60 </w:t>
            </w:r>
          </w:p>
        </w:tc>
        <w:tc>
          <w:tcPr>
            <w:tcW w:w="3578" w:type="dxa"/>
            <w:vAlign w:val="center"/>
          </w:tcPr>
          <w:p>
            <w:pPr>
              <w:pStyle w:val="8"/>
              <w:ind w:firstLine="0" w:firstLineChars="0"/>
            </w:pPr>
            <w:r>
              <w:rPr>
                <w:rFonts w:hint="eastAsia"/>
              </w:rPr>
              <w:t>从市场购买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6</w:t>
            </w:r>
          </w:p>
        </w:tc>
        <w:tc>
          <w:tcPr>
            <w:tcW w:w="2267" w:type="dxa"/>
            <w:vAlign w:val="center"/>
          </w:tcPr>
          <w:p>
            <w:pPr>
              <w:pStyle w:val="8"/>
              <w:ind w:firstLine="0" w:firstLineChars="0"/>
            </w:pPr>
            <w:r>
              <w:rPr>
                <w:rFonts w:hint="eastAsia"/>
              </w:rPr>
              <w:t>生物除臭剂</w:t>
            </w:r>
          </w:p>
        </w:tc>
        <w:tc>
          <w:tcPr>
            <w:tcW w:w="1148" w:type="dxa"/>
            <w:vAlign w:val="center"/>
          </w:tcPr>
          <w:p>
            <w:pPr>
              <w:pStyle w:val="8"/>
              <w:ind w:firstLine="0" w:firstLineChars="0"/>
            </w:pPr>
            <w:r>
              <w:t>L/a</w:t>
            </w:r>
          </w:p>
        </w:tc>
        <w:tc>
          <w:tcPr>
            <w:tcW w:w="1470" w:type="dxa"/>
            <w:vAlign w:val="center"/>
          </w:tcPr>
          <w:p>
            <w:pPr>
              <w:pStyle w:val="8"/>
              <w:ind w:firstLine="0" w:firstLineChars="0"/>
            </w:pPr>
            <w:r>
              <w:rPr>
                <w:rFonts w:hint="eastAsia"/>
              </w:rPr>
              <w:t xml:space="preserve">3333.33 </w:t>
            </w:r>
          </w:p>
        </w:tc>
        <w:tc>
          <w:tcPr>
            <w:tcW w:w="3578" w:type="dxa"/>
            <w:vAlign w:val="center"/>
          </w:tcPr>
          <w:p>
            <w:pPr>
              <w:pStyle w:val="8"/>
              <w:ind w:firstLine="0" w:firstLineChars="0"/>
            </w:pPr>
            <w:r>
              <w:rPr>
                <w:rFonts w:hint="eastAsia"/>
              </w:rPr>
              <w:t>从市场购买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7</w:t>
            </w:r>
          </w:p>
        </w:tc>
        <w:tc>
          <w:tcPr>
            <w:tcW w:w="2267" w:type="dxa"/>
            <w:vAlign w:val="center"/>
          </w:tcPr>
          <w:p>
            <w:pPr>
              <w:pStyle w:val="8"/>
              <w:ind w:firstLine="0" w:firstLineChars="0"/>
            </w:pPr>
            <w:r>
              <w:rPr>
                <w:rFonts w:hint="eastAsia"/>
              </w:rPr>
              <w:t>电</w:t>
            </w:r>
          </w:p>
        </w:tc>
        <w:tc>
          <w:tcPr>
            <w:tcW w:w="1148" w:type="dxa"/>
            <w:vAlign w:val="center"/>
          </w:tcPr>
          <w:p>
            <w:pPr>
              <w:pStyle w:val="8"/>
              <w:ind w:firstLine="0" w:firstLineChars="0"/>
            </w:pPr>
            <w:r>
              <w:rPr>
                <w:rFonts w:hint="eastAsia"/>
              </w:rPr>
              <w:t>万</w:t>
            </w:r>
            <w:r>
              <w:t>Kwh/a</w:t>
            </w:r>
          </w:p>
        </w:tc>
        <w:tc>
          <w:tcPr>
            <w:tcW w:w="1470" w:type="dxa"/>
            <w:vAlign w:val="center"/>
          </w:tcPr>
          <w:p>
            <w:pPr>
              <w:pStyle w:val="8"/>
              <w:ind w:firstLine="0" w:firstLineChars="0"/>
            </w:pPr>
            <w:r>
              <w:rPr>
                <w:rFonts w:hint="eastAsia"/>
              </w:rPr>
              <w:t>210</w:t>
            </w:r>
          </w:p>
        </w:tc>
        <w:tc>
          <w:tcPr>
            <w:tcW w:w="3578"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8</w:t>
            </w:r>
          </w:p>
        </w:tc>
        <w:tc>
          <w:tcPr>
            <w:tcW w:w="2267" w:type="dxa"/>
            <w:vAlign w:val="center"/>
          </w:tcPr>
          <w:p>
            <w:pPr>
              <w:pStyle w:val="8"/>
              <w:ind w:firstLine="0" w:firstLineChars="0"/>
            </w:pPr>
            <w:r>
              <w:rPr>
                <w:rFonts w:hint="eastAsia"/>
              </w:rPr>
              <w:t>疫苗</w:t>
            </w:r>
          </w:p>
        </w:tc>
        <w:tc>
          <w:tcPr>
            <w:tcW w:w="1148" w:type="dxa"/>
            <w:vAlign w:val="center"/>
          </w:tcPr>
          <w:p>
            <w:pPr>
              <w:pStyle w:val="8"/>
              <w:ind w:firstLine="0" w:firstLineChars="0"/>
            </w:pPr>
            <w:r>
              <w:rPr>
                <w:rFonts w:hint="eastAsia"/>
              </w:rPr>
              <w:t>t/a</w:t>
            </w:r>
          </w:p>
        </w:tc>
        <w:tc>
          <w:tcPr>
            <w:tcW w:w="1470" w:type="dxa"/>
            <w:vAlign w:val="center"/>
          </w:tcPr>
          <w:p>
            <w:pPr>
              <w:pStyle w:val="8"/>
              <w:ind w:firstLine="0" w:firstLineChars="0"/>
            </w:pPr>
            <w:r>
              <w:rPr>
                <w:rFonts w:hint="eastAsia"/>
              </w:rPr>
              <w:t>1.56</w:t>
            </w:r>
          </w:p>
        </w:tc>
        <w:tc>
          <w:tcPr>
            <w:tcW w:w="3578" w:type="dxa"/>
            <w:vAlign w:val="center"/>
          </w:tcPr>
          <w:p>
            <w:pPr>
              <w:pStyle w:val="8"/>
              <w:ind w:firstLine="0" w:firstLineChars="0"/>
            </w:pPr>
            <w:r>
              <w:rPr>
                <w:rFonts w:hint="eastAsia"/>
              </w:rPr>
              <w:t>青霉素类、头孢类、氨基糖类等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9</w:t>
            </w:r>
          </w:p>
        </w:tc>
        <w:tc>
          <w:tcPr>
            <w:tcW w:w="2267" w:type="dxa"/>
            <w:vAlign w:val="center"/>
          </w:tcPr>
          <w:p>
            <w:pPr>
              <w:pStyle w:val="8"/>
              <w:ind w:firstLine="0" w:firstLineChars="0"/>
            </w:pPr>
            <w:r>
              <w:rPr>
                <w:rFonts w:hint="eastAsia"/>
              </w:rPr>
              <w:t>稻壳</w:t>
            </w:r>
          </w:p>
        </w:tc>
        <w:tc>
          <w:tcPr>
            <w:tcW w:w="1148" w:type="dxa"/>
            <w:vAlign w:val="center"/>
          </w:tcPr>
          <w:p>
            <w:pPr>
              <w:pStyle w:val="8"/>
              <w:ind w:firstLine="0" w:firstLineChars="0"/>
            </w:pPr>
            <w:r>
              <w:t>t/</w:t>
            </w:r>
            <w:r>
              <w:rPr>
                <w:rFonts w:hint="eastAsia"/>
              </w:rPr>
              <w:t>3</w:t>
            </w:r>
            <w:r>
              <w:t>a</w:t>
            </w:r>
          </w:p>
        </w:tc>
        <w:tc>
          <w:tcPr>
            <w:tcW w:w="1470" w:type="dxa"/>
            <w:vAlign w:val="center"/>
          </w:tcPr>
          <w:p>
            <w:pPr>
              <w:pStyle w:val="8"/>
              <w:ind w:firstLine="0" w:firstLineChars="0"/>
            </w:pPr>
            <w:r>
              <w:rPr>
                <w:rFonts w:hint="eastAsia"/>
              </w:rPr>
              <w:t>36</w:t>
            </w:r>
          </w:p>
        </w:tc>
        <w:tc>
          <w:tcPr>
            <w:tcW w:w="3578" w:type="dxa"/>
            <w:vAlign w:val="center"/>
          </w:tcPr>
          <w:p>
            <w:pPr>
              <w:pStyle w:val="8"/>
              <w:ind w:firstLine="0" w:firstLineChars="0"/>
            </w:pPr>
            <w:r>
              <w:rPr>
                <w:rFonts w:hint="eastAsia"/>
              </w:rPr>
              <w:t>从市场购买，3年更换一次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10</w:t>
            </w:r>
          </w:p>
        </w:tc>
        <w:tc>
          <w:tcPr>
            <w:tcW w:w="2267" w:type="dxa"/>
            <w:vAlign w:val="center"/>
          </w:tcPr>
          <w:p>
            <w:pPr>
              <w:pStyle w:val="8"/>
              <w:ind w:firstLine="0" w:firstLineChars="0"/>
            </w:pPr>
            <w:r>
              <w:rPr>
                <w:rFonts w:hint="eastAsia"/>
              </w:rPr>
              <w:t>锯末</w:t>
            </w:r>
          </w:p>
        </w:tc>
        <w:tc>
          <w:tcPr>
            <w:tcW w:w="1148" w:type="dxa"/>
            <w:vAlign w:val="center"/>
          </w:tcPr>
          <w:p>
            <w:pPr>
              <w:pStyle w:val="8"/>
              <w:ind w:firstLine="0" w:firstLineChars="0"/>
            </w:pPr>
            <w:r>
              <w:t>t/</w:t>
            </w:r>
            <w:r>
              <w:rPr>
                <w:rFonts w:hint="eastAsia"/>
              </w:rPr>
              <w:t>3</w:t>
            </w:r>
            <w:r>
              <w:t>a</w:t>
            </w:r>
          </w:p>
        </w:tc>
        <w:tc>
          <w:tcPr>
            <w:tcW w:w="1470" w:type="dxa"/>
            <w:vAlign w:val="center"/>
          </w:tcPr>
          <w:p>
            <w:pPr>
              <w:pStyle w:val="8"/>
              <w:ind w:firstLine="0" w:firstLineChars="0"/>
            </w:pPr>
            <w:r>
              <w:rPr>
                <w:rFonts w:hint="eastAsia"/>
              </w:rPr>
              <w:t>72</w:t>
            </w:r>
          </w:p>
        </w:tc>
        <w:tc>
          <w:tcPr>
            <w:tcW w:w="3578" w:type="dxa"/>
            <w:vAlign w:val="center"/>
          </w:tcPr>
          <w:p>
            <w:pPr>
              <w:pStyle w:val="8"/>
              <w:ind w:firstLine="0" w:firstLineChars="0"/>
            </w:pPr>
            <w:r>
              <w:rPr>
                <w:rFonts w:hint="eastAsia"/>
              </w:rPr>
              <w:t>从市场购买，3年更换一次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11</w:t>
            </w:r>
          </w:p>
        </w:tc>
        <w:tc>
          <w:tcPr>
            <w:tcW w:w="2267" w:type="dxa"/>
            <w:vAlign w:val="center"/>
          </w:tcPr>
          <w:p>
            <w:pPr>
              <w:pStyle w:val="8"/>
              <w:ind w:firstLine="0" w:firstLineChars="0"/>
            </w:pPr>
            <w:r>
              <w:rPr>
                <w:rFonts w:hint="eastAsia"/>
              </w:rPr>
              <w:t>玉米</w:t>
            </w:r>
          </w:p>
        </w:tc>
        <w:tc>
          <w:tcPr>
            <w:tcW w:w="1148" w:type="dxa"/>
            <w:vAlign w:val="center"/>
          </w:tcPr>
          <w:p>
            <w:pPr>
              <w:pStyle w:val="8"/>
              <w:ind w:firstLine="0" w:firstLineChars="0"/>
            </w:pPr>
            <w:r>
              <w:t>t/</w:t>
            </w:r>
            <w:r>
              <w:rPr>
                <w:rFonts w:hint="eastAsia"/>
              </w:rPr>
              <w:t>3</w:t>
            </w:r>
            <w:r>
              <w:t>a</w:t>
            </w:r>
          </w:p>
        </w:tc>
        <w:tc>
          <w:tcPr>
            <w:tcW w:w="1470" w:type="dxa"/>
            <w:vAlign w:val="center"/>
          </w:tcPr>
          <w:p>
            <w:pPr>
              <w:pStyle w:val="8"/>
              <w:ind w:firstLine="0" w:firstLineChars="0"/>
            </w:pPr>
            <w:r>
              <w:rPr>
                <w:rFonts w:hint="eastAsia"/>
              </w:rPr>
              <w:t>3.06</w:t>
            </w:r>
          </w:p>
        </w:tc>
        <w:tc>
          <w:tcPr>
            <w:tcW w:w="3578" w:type="dxa"/>
            <w:vAlign w:val="center"/>
          </w:tcPr>
          <w:p>
            <w:pPr>
              <w:pStyle w:val="8"/>
              <w:ind w:firstLine="0" w:firstLineChars="0"/>
            </w:pPr>
            <w:r>
              <w:rPr>
                <w:rFonts w:hint="eastAsia"/>
              </w:rPr>
              <w:t>从市场购买，3年更换一次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733" w:type="dxa"/>
            <w:vAlign w:val="center"/>
          </w:tcPr>
          <w:p>
            <w:pPr>
              <w:pStyle w:val="8"/>
              <w:ind w:firstLine="0" w:firstLineChars="0"/>
            </w:pPr>
            <w:r>
              <w:rPr>
                <w:rFonts w:hint="eastAsia"/>
              </w:rPr>
              <w:t>12</w:t>
            </w:r>
          </w:p>
        </w:tc>
        <w:tc>
          <w:tcPr>
            <w:tcW w:w="2267" w:type="dxa"/>
            <w:vAlign w:val="center"/>
          </w:tcPr>
          <w:p>
            <w:pPr>
              <w:pStyle w:val="8"/>
              <w:ind w:firstLine="0" w:firstLineChars="0"/>
            </w:pPr>
            <w:r>
              <w:rPr>
                <w:rFonts w:hint="eastAsia"/>
              </w:rPr>
              <w:t>微生物菌种</w:t>
            </w:r>
          </w:p>
        </w:tc>
        <w:tc>
          <w:tcPr>
            <w:tcW w:w="1148" w:type="dxa"/>
            <w:vAlign w:val="center"/>
          </w:tcPr>
          <w:p>
            <w:pPr>
              <w:pStyle w:val="8"/>
              <w:ind w:firstLine="0" w:firstLineChars="0"/>
            </w:pPr>
            <w:r>
              <w:t>t/</w:t>
            </w:r>
            <w:r>
              <w:rPr>
                <w:rFonts w:hint="eastAsia"/>
              </w:rPr>
              <w:t>3</w:t>
            </w:r>
            <w:r>
              <w:t>a</w:t>
            </w:r>
          </w:p>
        </w:tc>
        <w:tc>
          <w:tcPr>
            <w:tcW w:w="1470" w:type="dxa"/>
            <w:vAlign w:val="center"/>
          </w:tcPr>
          <w:p>
            <w:pPr>
              <w:pStyle w:val="8"/>
              <w:ind w:firstLine="0" w:firstLineChars="0"/>
            </w:pPr>
            <w:r>
              <w:rPr>
                <w:rFonts w:hint="eastAsia"/>
              </w:rPr>
              <w:t>0.31</w:t>
            </w:r>
          </w:p>
        </w:tc>
        <w:tc>
          <w:tcPr>
            <w:tcW w:w="3578" w:type="dxa"/>
            <w:vAlign w:val="center"/>
          </w:tcPr>
          <w:p>
            <w:pPr>
              <w:pStyle w:val="8"/>
              <w:ind w:firstLine="0" w:firstLineChars="0"/>
            </w:pPr>
            <w:r>
              <w:rPr>
                <w:rFonts w:hint="eastAsia"/>
              </w:rPr>
              <w:t>从市场购买，3年更换一次</w:t>
            </w:r>
          </w:p>
        </w:tc>
      </w:tr>
    </w:tbl>
    <w:p>
      <w:pPr>
        <w:pStyle w:val="5"/>
        <w:spacing w:before="48" w:after="48"/>
      </w:pPr>
      <w:bookmarkStart w:id="138" w:name="_Toc333863813"/>
      <w:bookmarkStart w:id="139" w:name="_Toc375671999"/>
      <w:r>
        <w:rPr>
          <w:rFonts w:hint="eastAsia"/>
        </w:rPr>
        <w:t>2.1.7主要设备</w:t>
      </w:r>
    </w:p>
    <w:p>
      <w:pPr>
        <w:ind w:firstLine="480"/>
      </w:pPr>
      <w:r>
        <w:t>生猪繁殖场主要生产设备包括定位栏、保育床、自动喂料系统、检测设备等，公用环保工程设备主要为水帘降温系统、保暖系统、排风系统等。</w:t>
      </w:r>
    </w:p>
    <w:p>
      <w:pPr>
        <w:pStyle w:val="11"/>
      </w:pPr>
      <w:r>
        <w:t xml:space="preserve">2.1- </w:t>
      </w:r>
      <w:r>
        <w:fldChar w:fldCharType="begin"/>
      </w:r>
      <w:r>
        <w:instrText xml:space="preserve"> SEQ 2.1- \* ARABIC </w:instrText>
      </w:r>
      <w:r>
        <w:fldChar w:fldCharType="separate"/>
      </w:r>
      <w:r>
        <w:t>5</w:t>
      </w:r>
      <w:r>
        <w:fldChar w:fldCharType="end"/>
      </w:r>
      <w:r>
        <w:rPr>
          <w:rFonts w:hint="eastAsia"/>
        </w:rPr>
        <w:t xml:space="preserve">   工程主要设备一览表</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0"/>
        <w:gridCol w:w="2771"/>
        <w:gridCol w:w="1524"/>
        <w:gridCol w:w="717"/>
        <w:gridCol w:w="1413"/>
        <w:gridCol w:w="1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730" w:type="dxa"/>
            <w:vAlign w:val="center"/>
          </w:tcPr>
          <w:p>
            <w:pPr>
              <w:pStyle w:val="8"/>
              <w:ind w:firstLine="0" w:firstLineChars="0"/>
            </w:pPr>
            <w:r>
              <w:rPr>
                <w:rFonts w:hint="eastAsia"/>
              </w:rPr>
              <w:t>序号</w:t>
            </w:r>
          </w:p>
        </w:tc>
        <w:tc>
          <w:tcPr>
            <w:tcW w:w="2771" w:type="dxa"/>
            <w:vAlign w:val="center"/>
          </w:tcPr>
          <w:p>
            <w:pPr>
              <w:pStyle w:val="8"/>
              <w:ind w:firstLine="0" w:firstLineChars="0"/>
            </w:pPr>
            <w:r>
              <w:rPr>
                <w:rFonts w:hint="eastAsia"/>
              </w:rPr>
              <w:t>名称</w:t>
            </w:r>
          </w:p>
        </w:tc>
        <w:tc>
          <w:tcPr>
            <w:tcW w:w="1524" w:type="dxa"/>
            <w:vAlign w:val="center"/>
          </w:tcPr>
          <w:p>
            <w:pPr>
              <w:pStyle w:val="8"/>
              <w:ind w:firstLine="0" w:firstLineChars="0"/>
            </w:pPr>
            <w:r>
              <w:rPr>
                <w:rFonts w:hint="eastAsia"/>
              </w:rPr>
              <w:t>型号规格</w:t>
            </w:r>
          </w:p>
        </w:tc>
        <w:tc>
          <w:tcPr>
            <w:tcW w:w="717" w:type="dxa"/>
            <w:vAlign w:val="center"/>
          </w:tcPr>
          <w:p>
            <w:pPr>
              <w:pStyle w:val="8"/>
              <w:ind w:firstLine="0" w:firstLineChars="0"/>
            </w:pPr>
            <w:r>
              <w:rPr>
                <w:rFonts w:hint="eastAsia"/>
              </w:rPr>
              <w:t>单位</w:t>
            </w:r>
          </w:p>
        </w:tc>
        <w:tc>
          <w:tcPr>
            <w:tcW w:w="1413" w:type="dxa"/>
            <w:vAlign w:val="center"/>
          </w:tcPr>
          <w:p>
            <w:pPr>
              <w:pStyle w:val="8"/>
              <w:ind w:firstLine="0" w:firstLineChars="0"/>
            </w:pPr>
            <w:r>
              <w:rPr>
                <w:rFonts w:hint="eastAsia"/>
              </w:rPr>
              <w:t>数量</w:t>
            </w:r>
          </w:p>
        </w:tc>
        <w:tc>
          <w:tcPr>
            <w:tcW w:w="1576" w:type="dxa"/>
            <w:vAlign w:val="center"/>
          </w:tcPr>
          <w:p>
            <w:pPr>
              <w:pStyle w:val="8"/>
              <w:ind w:firstLine="0" w:firstLineChars="0"/>
            </w:pPr>
            <w:r>
              <w:rPr>
                <w:rFonts w:hint="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w:t>
            </w:r>
          </w:p>
        </w:tc>
        <w:tc>
          <w:tcPr>
            <w:tcW w:w="2771" w:type="dxa"/>
            <w:vAlign w:val="center"/>
          </w:tcPr>
          <w:p>
            <w:pPr>
              <w:pStyle w:val="8"/>
              <w:ind w:firstLine="0" w:firstLineChars="0"/>
            </w:pPr>
            <w:r>
              <w:rPr>
                <w:rFonts w:hint="eastAsia"/>
              </w:rPr>
              <w:t>育肥舍猪栏</w:t>
            </w:r>
          </w:p>
        </w:tc>
        <w:tc>
          <w:tcPr>
            <w:tcW w:w="1524" w:type="dxa"/>
            <w:vAlign w:val="center"/>
          </w:tcPr>
          <w:p>
            <w:pPr>
              <w:pStyle w:val="8"/>
              <w:ind w:firstLine="0" w:firstLineChars="0"/>
            </w:pPr>
            <w:r>
              <w:rPr>
                <w:rFonts w:hint="eastAsia"/>
              </w:rPr>
              <w:t>猪用定位栏</w:t>
            </w:r>
          </w:p>
        </w:tc>
        <w:tc>
          <w:tcPr>
            <w:tcW w:w="717" w:type="dxa"/>
            <w:vAlign w:val="center"/>
          </w:tcPr>
          <w:p>
            <w:pPr>
              <w:pStyle w:val="8"/>
              <w:ind w:firstLine="0" w:firstLineChars="0"/>
            </w:pPr>
            <w:r>
              <w:rPr>
                <w:rFonts w:hint="eastAsia"/>
              </w:rPr>
              <w:t>只</w:t>
            </w:r>
          </w:p>
        </w:tc>
        <w:tc>
          <w:tcPr>
            <w:tcW w:w="1413" w:type="dxa"/>
            <w:vAlign w:val="center"/>
          </w:tcPr>
          <w:p>
            <w:pPr>
              <w:pStyle w:val="8"/>
              <w:ind w:firstLine="0" w:firstLineChars="0"/>
            </w:pPr>
            <w:r>
              <w:rPr>
                <w:rFonts w:hint="eastAsia"/>
              </w:rPr>
              <w:t>1660</w:t>
            </w:r>
          </w:p>
        </w:tc>
        <w:tc>
          <w:tcPr>
            <w:tcW w:w="1576" w:type="dxa"/>
            <w:vAlign w:val="center"/>
          </w:tcPr>
          <w:p>
            <w:pPr>
              <w:pStyle w:val="8"/>
              <w:ind w:firstLine="0" w:firstLineChars="0"/>
            </w:pPr>
            <w:r>
              <w:rPr>
                <w:rFonts w:hint="eastAsia"/>
              </w:rPr>
              <w:t>镀锌管砖混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730" w:type="dxa"/>
            <w:vAlign w:val="center"/>
          </w:tcPr>
          <w:p>
            <w:pPr>
              <w:pStyle w:val="8"/>
              <w:ind w:firstLine="0" w:firstLineChars="0"/>
            </w:pPr>
            <w:r>
              <w:t>2</w:t>
            </w:r>
          </w:p>
        </w:tc>
        <w:tc>
          <w:tcPr>
            <w:tcW w:w="2771" w:type="dxa"/>
            <w:vAlign w:val="center"/>
          </w:tcPr>
          <w:p>
            <w:pPr>
              <w:pStyle w:val="8"/>
              <w:ind w:firstLine="0" w:firstLineChars="0"/>
            </w:pPr>
            <w:r>
              <w:rPr>
                <w:rFonts w:hint="eastAsia"/>
              </w:rPr>
              <w:t>保育栏</w:t>
            </w:r>
          </w:p>
        </w:tc>
        <w:tc>
          <w:tcPr>
            <w:tcW w:w="1524" w:type="dxa"/>
            <w:vAlign w:val="center"/>
          </w:tcPr>
          <w:p>
            <w:pPr>
              <w:pStyle w:val="8"/>
              <w:ind w:firstLine="0" w:firstLineChars="0"/>
            </w:pPr>
            <w:r>
              <w:rPr>
                <w:rFonts w:hint="eastAsia"/>
              </w:rPr>
              <w:t>双体两栏双面食槽</w:t>
            </w:r>
          </w:p>
        </w:tc>
        <w:tc>
          <w:tcPr>
            <w:tcW w:w="717" w:type="dxa"/>
            <w:vAlign w:val="center"/>
          </w:tcPr>
          <w:p>
            <w:pPr>
              <w:pStyle w:val="8"/>
              <w:ind w:firstLine="0" w:firstLineChars="0"/>
            </w:pPr>
            <w:r>
              <w:rPr>
                <w:rFonts w:hint="eastAsia"/>
              </w:rPr>
              <w:t>套</w:t>
            </w:r>
          </w:p>
        </w:tc>
        <w:tc>
          <w:tcPr>
            <w:tcW w:w="1413" w:type="dxa"/>
            <w:vAlign w:val="center"/>
          </w:tcPr>
          <w:p>
            <w:pPr>
              <w:pStyle w:val="8"/>
              <w:ind w:firstLine="0" w:firstLineChars="0"/>
            </w:pPr>
            <w:r>
              <w:rPr>
                <w:rFonts w:hint="eastAsia"/>
              </w:rPr>
              <w:t>1000</w:t>
            </w:r>
          </w:p>
        </w:tc>
        <w:tc>
          <w:tcPr>
            <w:tcW w:w="1576" w:type="dxa"/>
            <w:vAlign w:val="center"/>
          </w:tcPr>
          <w:p>
            <w:pPr>
              <w:pStyle w:val="8"/>
              <w:ind w:firstLine="0" w:firstLineChars="0"/>
            </w:pPr>
            <w:r>
              <w:rPr>
                <w:rFonts w:hint="eastAsia"/>
              </w:rPr>
              <w:t>镀锌管砖混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730" w:type="dxa"/>
            <w:vAlign w:val="center"/>
          </w:tcPr>
          <w:p>
            <w:pPr>
              <w:pStyle w:val="8"/>
              <w:ind w:firstLine="0" w:firstLineChars="0"/>
            </w:pPr>
            <w:r>
              <w:t>3</w:t>
            </w:r>
          </w:p>
        </w:tc>
        <w:tc>
          <w:tcPr>
            <w:tcW w:w="2771" w:type="dxa"/>
            <w:vAlign w:val="center"/>
          </w:tcPr>
          <w:p>
            <w:pPr>
              <w:pStyle w:val="8"/>
              <w:ind w:firstLine="0" w:firstLineChars="0"/>
            </w:pPr>
            <w:r>
              <w:rPr>
                <w:rFonts w:hint="eastAsia"/>
              </w:rPr>
              <w:t>潜污泵</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台</w:t>
            </w:r>
          </w:p>
        </w:tc>
        <w:tc>
          <w:tcPr>
            <w:tcW w:w="1413" w:type="dxa"/>
            <w:vAlign w:val="center"/>
          </w:tcPr>
          <w:p>
            <w:pPr>
              <w:pStyle w:val="8"/>
              <w:ind w:firstLine="0" w:firstLineChars="0"/>
            </w:pPr>
            <w:r>
              <w:rPr>
                <w:rFonts w:hint="eastAsia"/>
              </w:rPr>
              <w:t>4</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730" w:type="dxa"/>
            <w:vAlign w:val="center"/>
          </w:tcPr>
          <w:p>
            <w:pPr>
              <w:pStyle w:val="8"/>
              <w:ind w:firstLine="0" w:firstLineChars="0"/>
            </w:pPr>
            <w:r>
              <w:t>4</w:t>
            </w:r>
          </w:p>
        </w:tc>
        <w:tc>
          <w:tcPr>
            <w:tcW w:w="2771" w:type="dxa"/>
            <w:vAlign w:val="center"/>
          </w:tcPr>
          <w:p>
            <w:pPr>
              <w:pStyle w:val="8"/>
              <w:ind w:firstLine="0" w:firstLineChars="0"/>
            </w:pPr>
            <w:r>
              <w:rPr>
                <w:rFonts w:hint="eastAsia"/>
              </w:rPr>
              <w:t>饮水嘴</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个</w:t>
            </w:r>
          </w:p>
        </w:tc>
        <w:tc>
          <w:tcPr>
            <w:tcW w:w="1413" w:type="dxa"/>
            <w:vAlign w:val="center"/>
          </w:tcPr>
          <w:p>
            <w:pPr>
              <w:pStyle w:val="8"/>
              <w:ind w:firstLine="0" w:firstLineChars="0"/>
            </w:pPr>
            <w:r>
              <w:rPr>
                <w:rFonts w:hint="eastAsia"/>
              </w:rPr>
              <w:t>600</w:t>
            </w:r>
          </w:p>
        </w:tc>
        <w:tc>
          <w:tcPr>
            <w:tcW w:w="1576" w:type="dxa"/>
            <w:vAlign w:val="center"/>
          </w:tcPr>
          <w:p>
            <w:pPr>
              <w:pStyle w:val="8"/>
              <w:ind w:firstLine="0" w:firstLineChars="0"/>
            </w:pPr>
            <w:r>
              <w:rPr>
                <w:rFonts w:hint="eastAsia"/>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30" w:type="dxa"/>
            <w:vAlign w:val="center"/>
          </w:tcPr>
          <w:p>
            <w:pPr>
              <w:pStyle w:val="8"/>
              <w:ind w:firstLine="0" w:firstLineChars="0"/>
            </w:pPr>
            <w:r>
              <w:t>5</w:t>
            </w:r>
          </w:p>
        </w:tc>
        <w:tc>
          <w:tcPr>
            <w:tcW w:w="2771" w:type="dxa"/>
            <w:vAlign w:val="center"/>
          </w:tcPr>
          <w:p>
            <w:pPr>
              <w:pStyle w:val="8"/>
              <w:ind w:firstLine="0" w:firstLineChars="0"/>
            </w:pPr>
            <w:r>
              <w:rPr>
                <w:rFonts w:hint="eastAsia"/>
              </w:rPr>
              <w:t>刮粪机</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台</w:t>
            </w:r>
          </w:p>
        </w:tc>
        <w:tc>
          <w:tcPr>
            <w:tcW w:w="1413" w:type="dxa"/>
            <w:vAlign w:val="center"/>
          </w:tcPr>
          <w:p>
            <w:pPr>
              <w:pStyle w:val="8"/>
              <w:ind w:firstLine="0" w:firstLineChars="0"/>
            </w:pPr>
            <w:r>
              <w:rPr>
                <w:rFonts w:hint="eastAsia"/>
              </w:rPr>
              <w:t>7</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730" w:type="dxa"/>
            <w:vAlign w:val="center"/>
          </w:tcPr>
          <w:p>
            <w:pPr>
              <w:pStyle w:val="8"/>
              <w:ind w:firstLine="0" w:firstLineChars="0"/>
            </w:pPr>
            <w:r>
              <w:t>6</w:t>
            </w:r>
          </w:p>
        </w:tc>
        <w:tc>
          <w:tcPr>
            <w:tcW w:w="2771" w:type="dxa"/>
            <w:vAlign w:val="center"/>
          </w:tcPr>
          <w:p>
            <w:pPr>
              <w:pStyle w:val="8"/>
              <w:ind w:firstLine="0" w:firstLineChars="0"/>
            </w:pPr>
            <w:r>
              <w:rPr>
                <w:rFonts w:hint="eastAsia"/>
              </w:rPr>
              <w:t>消毒喷雾装置</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套</w:t>
            </w:r>
          </w:p>
        </w:tc>
        <w:tc>
          <w:tcPr>
            <w:tcW w:w="1413" w:type="dxa"/>
            <w:vAlign w:val="center"/>
          </w:tcPr>
          <w:p>
            <w:pPr>
              <w:pStyle w:val="8"/>
              <w:ind w:firstLine="0" w:firstLineChars="0"/>
            </w:pPr>
            <w:r>
              <w:t>2</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730" w:type="dxa"/>
            <w:vAlign w:val="center"/>
          </w:tcPr>
          <w:p>
            <w:pPr>
              <w:pStyle w:val="8"/>
              <w:ind w:firstLine="0" w:firstLineChars="0"/>
            </w:pPr>
            <w:r>
              <w:t>7</w:t>
            </w:r>
          </w:p>
        </w:tc>
        <w:tc>
          <w:tcPr>
            <w:tcW w:w="2771" w:type="dxa"/>
            <w:vAlign w:val="center"/>
          </w:tcPr>
          <w:p>
            <w:pPr>
              <w:pStyle w:val="8"/>
              <w:ind w:firstLine="0" w:firstLineChars="0"/>
            </w:pPr>
            <w:r>
              <w:rPr>
                <w:rFonts w:hint="eastAsia"/>
              </w:rPr>
              <w:t>供暖设备</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套</w:t>
            </w:r>
          </w:p>
        </w:tc>
        <w:tc>
          <w:tcPr>
            <w:tcW w:w="1413" w:type="dxa"/>
            <w:vAlign w:val="center"/>
          </w:tcPr>
          <w:p>
            <w:pPr>
              <w:pStyle w:val="8"/>
              <w:ind w:firstLine="0" w:firstLineChars="0"/>
            </w:pPr>
            <w:r>
              <w:rPr>
                <w:rFonts w:hint="eastAsia"/>
              </w:rPr>
              <w:t>1</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8</w:t>
            </w:r>
          </w:p>
        </w:tc>
        <w:tc>
          <w:tcPr>
            <w:tcW w:w="2771" w:type="dxa"/>
            <w:vAlign w:val="center"/>
          </w:tcPr>
          <w:p>
            <w:pPr>
              <w:pStyle w:val="8"/>
              <w:ind w:firstLine="0" w:firstLineChars="0"/>
            </w:pPr>
            <w:r>
              <w:rPr>
                <w:rFonts w:hint="eastAsia"/>
              </w:rPr>
              <w:t>冰箱（兽医室配套）</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台</w:t>
            </w:r>
          </w:p>
        </w:tc>
        <w:tc>
          <w:tcPr>
            <w:tcW w:w="1413" w:type="dxa"/>
            <w:vAlign w:val="center"/>
          </w:tcPr>
          <w:p>
            <w:pPr>
              <w:pStyle w:val="8"/>
              <w:ind w:firstLine="0" w:firstLineChars="0"/>
            </w:pPr>
            <w:r>
              <w:rPr>
                <w:rFonts w:hint="eastAsia"/>
              </w:rPr>
              <w:t>1</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9</w:t>
            </w:r>
          </w:p>
        </w:tc>
        <w:tc>
          <w:tcPr>
            <w:tcW w:w="2771" w:type="dxa"/>
            <w:vAlign w:val="center"/>
          </w:tcPr>
          <w:p>
            <w:pPr>
              <w:pStyle w:val="8"/>
              <w:ind w:firstLine="0" w:firstLineChars="0"/>
            </w:pPr>
            <w:r>
              <w:rPr>
                <w:rFonts w:hint="eastAsia"/>
              </w:rPr>
              <w:t>电子磅</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台</w:t>
            </w:r>
          </w:p>
        </w:tc>
        <w:tc>
          <w:tcPr>
            <w:tcW w:w="1413" w:type="dxa"/>
            <w:vAlign w:val="center"/>
          </w:tcPr>
          <w:p>
            <w:pPr>
              <w:pStyle w:val="8"/>
              <w:ind w:firstLine="0" w:firstLineChars="0"/>
            </w:pPr>
            <w:r>
              <w:rPr>
                <w:rFonts w:hint="eastAsia"/>
              </w:rPr>
              <w:t>1</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730" w:type="dxa"/>
            <w:vAlign w:val="center"/>
          </w:tcPr>
          <w:p>
            <w:pPr>
              <w:pStyle w:val="8"/>
              <w:ind w:firstLine="0" w:firstLineChars="0"/>
            </w:pPr>
            <w:r>
              <w:t>10</w:t>
            </w:r>
          </w:p>
        </w:tc>
        <w:tc>
          <w:tcPr>
            <w:tcW w:w="2771" w:type="dxa"/>
            <w:vAlign w:val="center"/>
          </w:tcPr>
          <w:p>
            <w:pPr>
              <w:pStyle w:val="8"/>
              <w:ind w:firstLine="0" w:firstLineChars="0"/>
            </w:pPr>
            <w:r>
              <w:rPr>
                <w:rFonts w:hint="eastAsia"/>
              </w:rPr>
              <w:t>保暖设施</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套</w:t>
            </w:r>
          </w:p>
        </w:tc>
        <w:tc>
          <w:tcPr>
            <w:tcW w:w="1413" w:type="dxa"/>
            <w:vAlign w:val="center"/>
          </w:tcPr>
          <w:p>
            <w:pPr>
              <w:pStyle w:val="8"/>
              <w:ind w:firstLine="0" w:firstLineChars="0"/>
            </w:pPr>
            <w:r>
              <w:rPr>
                <w:rFonts w:hint="eastAsia"/>
              </w:rPr>
              <w:t>1</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11</w:t>
            </w:r>
          </w:p>
        </w:tc>
        <w:tc>
          <w:tcPr>
            <w:tcW w:w="2771" w:type="dxa"/>
            <w:vAlign w:val="center"/>
          </w:tcPr>
          <w:p>
            <w:pPr>
              <w:pStyle w:val="8"/>
              <w:ind w:firstLine="0" w:firstLineChars="0"/>
            </w:pPr>
            <w:r>
              <w:rPr>
                <w:rFonts w:hint="eastAsia"/>
              </w:rPr>
              <w:t>生产环节兽医用</w:t>
            </w:r>
          </w:p>
          <w:p>
            <w:pPr>
              <w:pStyle w:val="8"/>
              <w:ind w:firstLine="0" w:firstLineChars="0"/>
            </w:pPr>
            <w:r>
              <w:rPr>
                <w:rFonts w:hint="eastAsia"/>
              </w:rPr>
              <w:t>相关配套设备</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套</w:t>
            </w:r>
          </w:p>
        </w:tc>
        <w:tc>
          <w:tcPr>
            <w:tcW w:w="1413" w:type="dxa"/>
            <w:vAlign w:val="center"/>
          </w:tcPr>
          <w:p>
            <w:pPr>
              <w:pStyle w:val="8"/>
              <w:ind w:firstLine="0" w:firstLineChars="0"/>
            </w:pPr>
            <w:r>
              <w:t>1</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12</w:t>
            </w:r>
          </w:p>
        </w:tc>
        <w:tc>
          <w:tcPr>
            <w:tcW w:w="2771" w:type="dxa"/>
            <w:vAlign w:val="center"/>
          </w:tcPr>
          <w:p>
            <w:pPr>
              <w:pStyle w:val="8"/>
              <w:ind w:firstLine="0" w:firstLineChars="0"/>
            </w:pPr>
            <w:r>
              <w:rPr>
                <w:rFonts w:hint="eastAsia"/>
              </w:rPr>
              <w:t>风机</w:t>
            </w:r>
          </w:p>
        </w:tc>
        <w:tc>
          <w:tcPr>
            <w:tcW w:w="1524" w:type="dxa"/>
            <w:vAlign w:val="center"/>
          </w:tcPr>
          <w:p>
            <w:pPr>
              <w:pStyle w:val="8"/>
              <w:ind w:firstLine="0" w:firstLineChars="0"/>
            </w:pPr>
            <w:r>
              <w:t>500m</w:t>
            </w:r>
            <w:r>
              <w:rPr>
                <w:vertAlign w:val="superscript"/>
              </w:rPr>
              <w:t>3</w:t>
            </w:r>
            <w:r>
              <w:t>/h</w:t>
            </w:r>
          </w:p>
        </w:tc>
        <w:tc>
          <w:tcPr>
            <w:tcW w:w="717" w:type="dxa"/>
            <w:vAlign w:val="center"/>
          </w:tcPr>
          <w:p>
            <w:pPr>
              <w:pStyle w:val="8"/>
              <w:ind w:firstLine="0" w:firstLineChars="0"/>
            </w:pPr>
            <w:r>
              <w:rPr>
                <w:rFonts w:hint="eastAsia"/>
              </w:rPr>
              <w:t>台</w:t>
            </w:r>
          </w:p>
        </w:tc>
        <w:tc>
          <w:tcPr>
            <w:tcW w:w="1413" w:type="dxa"/>
            <w:vAlign w:val="center"/>
          </w:tcPr>
          <w:p>
            <w:pPr>
              <w:pStyle w:val="8"/>
              <w:ind w:firstLine="0" w:firstLineChars="0"/>
            </w:pPr>
            <w:r>
              <w:rPr>
                <w:rFonts w:hint="eastAsia"/>
                <w:color w:val="000000"/>
              </w:rPr>
              <w:t>48</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w:t>
            </w:r>
            <w:r>
              <w:rPr>
                <w:rFonts w:hint="eastAsia"/>
              </w:rPr>
              <w:t>3</w:t>
            </w:r>
          </w:p>
        </w:tc>
        <w:tc>
          <w:tcPr>
            <w:tcW w:w="2771" w:type="dxa"/>
            <w:vAlign w:val="center"/>
          </w:tcPr>
          <w:p>
            <w:pPr>
              <w:pStyle w:val="8"/>
              <w:ind w:firstLine="0" w:firstLineChars="0"/>
            </w:pPr>
            <w:r>
              <w:rPr>
                <w:rFonts w:hint="eastAsia"/>
              </w:rPr>
              <w:t>水帘降温系统</w:t>
            </w:r>
          </w:p>
        </w:tc>
        <w:tc>
          <w:tcPr>
            <w:tcW w:w="1524" w:type="dxa"/>
            <w:vAlign w:val="center"/>
          </w:tcPr>
          <w:p>
            <w:pPr>
              <w:pStyle w:val="8"/>
              <w:ind w:firstLine="0" w:firstLineChars="0"/>
            </w:pPr>
          </w:p>
        </w:tc>
        <w:tc>
          <w:tcPr>
            <w:tcW w:w="717" w:type="dxa"/>
            <w:vAlign w:val="center"/>
          </w:tcPr>
          <w:p>
            <w:pPr>
              <w:pStyle w:val="8"/>
              <w:ind w:firstLine="0" w:firstLineChars="0"/>
            </w:pPr>
            <w:r>
              <w:rPr>
                <w:rFonts w:hint="eastAsia"/>
              </w:rPr>
              <w:t>套</w:t>
            </w:r>
          </w:p>
        </w:tc>
        <w:tc>
          <w:tcPr>
            <w:tcW w:w="1413" w:type="dxa"/>
            <w:vAlign w:val="center"/>
          </w:tcPr>
          <w:p>
            <w:pPr>
              <w:pStyle w:val="8"/>
              <w:ind w:firstLine="0" w:firstLineChars="0"/>
            </w:pPr>
            <w:r>
              <w:rPr>
                <w:rFonts w:hint="eastAsia"/>
              </w:rPr>
              <w:t>14</w:t>
            </w:r>
          </w:p>
        </w:tc>
        <w:tc>
          <w:tcPr>
            <w:tcW w:w="1576" w:type="dxa"/>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w:t>
            </w:r>
            <w:r>
              <w:rPr>
                <w:rFonts w:hint="eastAsia"/>
              </w:rPr>
              <w:t>4</w:t>
            </w:r>
          </w:p>
        </w:tc>
        <w:tc>
          <w:tcPr>
            <w:tcW w:w="2771" w:type="dxa"/>
            <w:vAlign w:val="center"/>
          </w:tcPr>
          <w:p>
            <w:pPr>
              <w:pStyle w:val="8"/>
              <w:ind w:firstLine="0" w:firstLineChars="0"/>
              <w:rPr>
                <w:highlight w:val="yellow"/>
              </w:rPr>
            </w:pPr>
            <w:r>
              <w:rPr>
                <w:rFonts w:hint="eastAsia"/>
              </w:rPr>
              <w:t>翻耙电机</w:t>
            </w:r>
          </w:p>
        </w:tc>
        <w:tc>
          <w:tcPr>
            <w:tcW w:w="1524" w:type="dxa"/>
            <w:vAlign w:val="center"/>
          </w:tcPr>
          <w:p>
            <w:pPr>
              <w:pStyle w:val="8"/>
              <w:ind w:firstLine="0" w:firstLineChars="0"/>
              <w:rPr>
                <w:highlight w:val="yellow"/>
              </w:rPr>
            </w:pPr>
          </w:p>
        </w:tc>
        <w:tc>
          <w:tcPr>
            <w:tcW w:w="717" w:type="dxa"/>
            <w:vAlign w:val="center"/>
          </w:tcPr>
          <w:p>
            <w:pPr>
              <w:pStyle w:val="8"/>
              <w:ind w:firstLine="0" w:firstLineChars="0"/>
              <w:rPr>
                <w:highlight w:val="yellow"/>
              </w:rPr>
            </w:pPr>
            <w:r>
              <w:rPr>
                <w:rFonts w:hint="eastAsia"/>
              </w:rPr>
              <w:t>台</w:t>
            </w:r>
          </w:p>
        </w:tc>
        <w:tc>
          <w:tcPr>
            <w:tcW w:w="1413" w:type="dxa"/>
            <w:vAlign w:val="center"/>
          </w:tcPr>
          <w:p>
            <w:pPr>
              <w:pStyle w:val="8"/>
              <w:ind w:firstLine="0" w:firstLineChars="0"/>
              <w:rPr>
                <w:highlight w:val="yellow"/>
              </w:rPr>
            </w:pPr>
            <w:r>
              <w:rPr>
                <w:rFonts w:hint="eastAsia"/>
              </w:rPr>
              <w:t>2</w:t>
            </w:r>
          </w:p>
        </w:tc>
        <w:tc>
          <w:tcPr>
            <w:tcW w:w="157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w:t>
            </w:r>
            <w:r>
              <w:rPr>
                <w:rFonts w:hint="eastAsia"/>
              </w:rPr>
              <w:t>5</w:t>
            </w:r>
          </w:p>
        </w:tc>
        <w:tc>
          <w:tcPr>
            <w:tcW w:w="2771" w:type="dxa"/>
            <w:vAlign w:val="center"/>
          </w:tcPr>
          <w:p>
            <w:pPr>
              <w:pStyle w:val="8"/>
              <w:ind w:firstLine="0" w:firstLineChars="0"/>
              <w:rPr>
                <w:highlight w:val="yellow"/>
              </w:rPr>
            </w:pPr>
            <w:r>
              <w:rPr>
                <w:rFonts w:hint="eastAsia"/>
              </w:rPr>
              <w:t>行走电机</w:t>
            </w:r>
          </w:p>
        </w:tc>
        <w:tc>
          <w:tcPr>
            <w:tcW w:w="1524" w:type="dxa"/>
            <w:vAlign w:val="center"/>
          </w:tcPr>
          <w:p>
            <w:pPr>
              <w:pStyle w:val="8"/>
              <w:ind w:firstLine="0" w:firstLineChars="0"/>
              <w:rPr>
                <w:highlight w:val="yellow"/>
              </w:rPr>
            </w:pPr>
          </w:p>
        </w:tc>
        <w:tc>
          <w:tcPr>
            <w:tcW w:w="717" w:type="dxa"/>
            <w:vAlign w:val="center"/>
          </w:tcPr>
          <w:p>
            <w:pPr>
              <w:pStyle w:val="8"/>
              <w:ind w:firstLine="0" w:firstLineChars="0"/>
              <w:rPr>
                <w:highlight w:val="yellow"/>
              </w:rPr>
            </w:pPr>
            <w:r>
              <w:rPr>
                <w:rFonts w:hint="eastAsia"/>
              </w:rPr>
              <w:t>台</w:t>
            </w:r>
          </w:p>
        </w:tc>
        <w:tc>
          <w:tcPr>
            <w:tcW w:w="1413" w:type="dxa"/>
            <w:vAlign w:val="center"/>
          </w:tcPr>
          <w:p>
            <w:pPr>
              <w:pStyle w:val="8"/>
              <w:ind w:firstLine="0" w:firstLineChars="0"/>
              <w:rPr>
                <w:highlight w:val="yellow"/>
              </w:rPr>
            </w:pPr>
            <w:r>
              <w:rPr>
                <w:rFonts w:hint="eastAsia"/>
              </w:rPr>
              <w:t>1</w:t>
            </w:r>
          </w:p>
        </w:tc>
        <w:tc>
          <w:tcPr>
            <w:tcW w:w="157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w:t>
            </w:r>
            <w:r>
              <w:rPr>
                <w:rFonts w:hint="eastAsia"/>
              </w:rPr>
              <w:t>6</w:t>
            </w:r>
          </w:p>
        </w:tc>
        <w:tc>
          <w:tcPr>
            <w:tcW w:w="2771" w:type="dxa"/>
            <w:vAlign w:val="center"/>
          </w:tcPr>
          <w:p>
            <w:pPr>
              <w:pStyle w:val="8"/>
              <w:ind w:firstLine="0" w:firstLineChars="0"/>
            </w:pPr>
            <w:r>
              <w:rPr>
                <w:rFonts w:hint="eastAsia"/>
              </w:rPr>
              <w:t>冷冻库</w:t>
            </w:r>
          </w:p>
        </w:tc>
        <w:tc>
          <w:tcPr>
            <w:tcW w:w="1524" w:type="dxa"/>
            <w:vAlign w:val="center"/>
          </w:tcPr>
          <w:p>
            <w:pPr>
              <w:pStyle w:val="8"/>
              <w:ind w:firstLine="0" w:firstLineChars="0"/>
            </w:pPr>
            <w:r>
              <w:rPr>
                <w:rFonts w:hint="eastAsia"/>
              </w:rPr>
              <w:t>3m×10m×2.5m</w:t>
            </w:r>
          </w:p>
        </w:tc>
        <w:tc>
          <w:tcPr>
            <w:tcW w:w="717" w:type="dxa"/>
            <w:vAlign w:val="center"/>
          </w:tcPr>
          <w:p>
            <w:pPr>
              <w:pStyle w:val="8"/>
              <w:ind w:firstLine="0" w:firstLineChars="0"/>
            </w:pPr>
            <w:r>
              <w:t>个</w:t>
            </w:r>
          </w:p>
        </w:tc>
        <w:tc>
          <w:tcPr>
            <w:tcW w:w="1413" w:type="dxa"/>
            <w:vAlign w:val="center"/>
          </w:tcPr>
          <w:p>
            <w:pPr>
              <w:pStyle w:val="8"/>
              <w:ind w:firstLine="0" w:firstLineChars="0"/>
            </w:pPr>
            <w:r>
              <w:rPr>
                <w:rFonts w:hint="eastAsia"/>
              </w:rPr>
              <w:t>1</w:t>
            </w:r>
          </w:p>
        </w:tc>
        <w:tc>
          <w:tcPr>
            <w:tcW w:w="157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w:t>
            </w:r>
            <w:r>
              <w:rPr>
                <w:rFonts w:hint="eastAsia"/>
              </w:rPr>
              <w:t>7</w:t>
            </w:r>
          </w:p>
        </w:tc>
        <w:tc>
          <w:tcPr>
            <w:tcW w:w="2771" w:type="dxa"/>
            <w:vAlign w:val="center"/>
          </w:tcPr>
          <w:p>
            <w:pPr>
              <w:pStyle w:val="8"/>
              <w:ind w:firstLine="0" w:firstLineChars="0"/>
            </w:pPr>
            <w:r>
              <w:rPr>
                <w:rFonts w:hint="eastAsia"/>
              </w:rPr>
              <w:t>冷冻机</w:t>
            </w:r>
          </w:p>
        </w:tc>
        <w:tc>
          <w:tcPr>
            <w:tcW w:w="1524" w:type="dxa"/>
            <w:vAlign w:val="center"/>
          </w:tcPr>
          <w:p>
            <w:pPr>
              <w:pStyle w:val="8"/>
              <w:ind w:firstLine="0" w:firstLineChars="0"/>
            </w:pPr>
            <w:r>
              <w:rPr>
                <w:rFonts w:hint="eastAsia"/>
              </w:rPr>
              <w:t>3HP</w:t>
            </w:r>
          </w:p>
        </w:tc>
        <w:tc>
          <w:tcPr>
            <w:tcW w:w="717" w:type="dxa"/>
            <w:vAlign w:val="center"/>
          </w:tcPr>
          <w:p>
            <w:pPr>
              <w:pStyle w:val="8"/>
              <w:ind w:firstLine="0" w:firstLineChars="0"/>
            </w:pPr>
            <w:r>
              <w:t>台</w:t>
            </w:r>
          </w:p>
        </w:tc>
        <w:tc>
          <w:tcPr>
            <w:tcW w:w="1413" w:type="dxa"/>
            <w:vAlign w:val="center"/>
          </w:tcPr>
          <w:p>
            <w:pPr>
              <w:pStyle w:val="8"/>
              <w:ind w:firstLine="0" w:firstLineChars="0"/>
            </w:pPr>
            <w:r>
              <w:rPr>
                <w:rFonts w:hint="eastAsia"/>
              </w:rPr>
              <w:t>1</w:t>
            </w:r>
          </w:p>
        </w:tc>
        <w:tc>
          <w:tcPr>
            <w:tcW w:w="1576" w:type="dxa"/>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30" w:type="dxa"/>
            <w:vAlign w:val="center"/>
          </w:tcPr>
          <w:p>
            <w:pPr>
              <w:pStyle w:val="8"/>
              <w:ind w:firstLine="0" w:firstLineChars="0"/>
            </w:pPr>
            <w:r>
              <w:t>1</w:t>
            </w:r>
            <w:r>
              <w:rPr>
                <w:rFonts w:hint="eastAsia"/>
              </w:rPr>
              <w:t>8</w:t>
            </w:r>
          </w:p>
        </w:tc>
        <w:tc>
          <w:tcPr>
            <w:tcW w:w="2771" w:type="dxa"/>
            <w:vAlign w:val="center"/>
          </w:tcPr>
          <w:p>
            <w:pPr>
              <w:pStyle w:val="8"/>
              <w:ind w:firstLine="0" w:firstLineChars="0"/>
            </w:pPr>
            <w:r>
              <w:rPr>
                <w:rFonts w:hint="eastAsia"/>
              </w:rPr>
              <w:t>饲料塔</w:t>
            </w:r>
          </w:p>
        </w:tc>
        <w:tc>
          <w:tcPr>
            <w:tcW w:w="1524" w:type="dxa"/>
            <w:vAlign w:val="center"/>
          </w:tcPr>
          <w:p>
            <w:pPr>
              <w:pStyle w:val="8"/>
              <w:ind w:firstLine="0" w:firstLineChars="0"/>
            </w:pPr>
            <w:r>
              <w:rPr>
                <w:rFonts w:hint="eastAsia"/>
              </w:rPr>
              <w:t>15t</w:t>
            </w:r>
          </w:p>
        </w:tc>
        <w:tc>
          <w:tcPr>
            <w:tcW w:w="717" w:type="dxa"/>
            <w:vAlign w:val="center"/>
          </w:tcPr>
          <w:p>
            <w:pPr>
              <w:pStyle w:val="8"/>
              <w:ind w:firstLine="0" w:firstLineChars="0"/>
            </w:pPr>
            <w:r>
              <w:rPr>
                <w:rFonts w:hint="eastAsia"/>
              </w:rPr>
              <w:t>个</w:t>
            </w:r>
          </w:p>
        </w:tc>
        <w:tc>
          <w:tcPr>
            <w:tcW w:w="1413" w:type="dxa"/>
            <w:vAlign w:val="center"/>
          </w:tcPr>
          <w:p>
            <w:pPr>
              <w:pStyle w:val="8"/>
              <w:ind w:firstLine="0" w:firstLineChars="0"/>
            </w:pPr>
            <w:r>
              <w:rPr>
                <w:rFonts w:hint="eastAsia"/>
              </w:rPr>
              <w:t>3</w:t>
            </w:r>
          </w:p>
        </w:tc>
        <w:tc>
          <w:tcPr>
            <w:tcW w:w="1576" w:type="dxa"/>
            <w:vAlign w:val="center"/>
          </w:tcPr>
          <w:p>
            <w:pPr>
              <w:pStyle w:val="8"/>
              <w:ind w:firstLine="0" w:firstLineChars="0"/>
              <w:rPr>
                <w:highlight w:val="yellow"/>
              </w:rPr>
            </w:pPr>
          </w:p>
        </w:tc>
      </w:tr>
    </w:tbl>
    <w:p>
      <w:pPr>
        <w:pStyle w:val="5"/>
        <w:spacing w:before="48" w:after="48"/>
      </w:pPr>
      <w:bookmarkStart w:id="140" w:name="_Toc468689126"/>
      <w:r>
        <w:rPr>
          <w:rFonts w:hint="eastAsia"/>
        </w:rPr>
        <w:t>2.1.8公用工程</w:t>
      </w:r>
      <w:bookmarkEnd w:id="140"/>
    </w:p>
    <w:p>
      <w:pPr>
        <w:ind w:firstLine="480"/>
      </w:pPr>
      <w:bookmarkStart w:id="141" w:name="_Toc288479987"/>
      <w:bookmarkStart w:id="142" w:name="_Toc207680719"/>
      <w:bookmarkStart w:id="143" w:name="_Toc289329190"/>
      <w:bookmarkStart w:id="144" w:name="_Toc288479629"/>
      <w:bookmarkStart w:id="145" w:name="_Toc289344532"/>
      <w:r>
        <w:rPr>
          <w:rFonts w:hint="eastAsia"/>
        </w:rPr>
        <w:t>（</w:t>
      </w:r>
      <w:r>
        <w:t>1</w:t>
      </w:r>
      <w:r>
        <w:rPr>
          <w:rFonts w:hint="eastAsia"/>
        </w:rPr>
        <w:t>）给水工程</w:t>
      </w:r>
    </w:p>
    <w:p>
      <w:pPr>
        <w:ind w:firstLine="480"/>
        <w:rPr>
          <w:highlight w:val="yellow"/>
        </w:rPr>
      </w:pPr>
      <w:r>
        <w:rPr>
          <w:rFonts w:hint="eastAsia"/>
        </w:rPr>
        <w:t>项目新鲜水用量为15056.3</w:t>
      </w:r>
      <w:r>
        <w:t>m</w:t>
      </w:r>
      <w:r>
        <w:rPr>
          <w:vertAlign w:val="superscript"/>
        </w:rPr>
        <w:t>3</w:t>
      </w:r>
      <w:r>
        <w:t>/a</w:t>
      </w:r>
      <w:r>
        <w:rPr>
          <w:rFonts w:hint="eastAsia"/>
        </w:rPr>
        <w:t>，按日折算为41.25</w:t>
      </w:r>
      <w:r>
        <w:t>m</w:t>
      </w:r>
      <w:r>
        <w:rPr>
          <w:vertAlign w:val="superscript"/>
        </w:rPr>
        <w:t>3</w:t>
      </w:r>
      <w:r>
        <w:t>/</w:t>
      </w:r>
      <w:r>
        <w:rPr>
          <w:rFonts w:hint="eastAsia"/>
        </w:rPr>
        <w:t>d</w:t>
      </w:r>
      <w:r>
        <w:t>。</w:t>
      </w:r>
      <w:r>
        <w:rPr>
          <w:rFonts w:hint="eastAsia"/>
        </w:rPr>
        <w:t>主要用水工序为猪只饮用水、清洁消毒冲洗用水、猪舍水帘降温补充水、人员生活用水。水源来自自来水，可满足供水要求。</w:t>
      </w:r>
    </w:p>
    <w:p>
      <w:pPr>
        <w:ind w:firstLine="480"/>
      </w:pPr>
      <w:r>
        <w:rPr>
          <w:rFonts w:hint="eastAsia"/>
        </w:rPr>
        <w:t>（</w:t>
      </w:r>
      <w:r>
        <w:t>2</w:t>
      </w:r>
      <w:r>
        <w:rPr>
          <w:rFonts w:hint="eastAsia"/>
        </w:rPr>
        <w:t>）排水工程</w:t>
      </w:r>
    </w:p>
    <w:p>
      <w:pPr>
        <w:ind w:firstLine="480"/>
      </w:pPr>
      <w:r>
        <w:rPr>
          <w:rFonts w:hint="eastAsia"/>
        </w:rPr>
        <w:t>项目建设在山顶上，周边无明显地表水体，项目实施雨污分流制，项目雨水经雨水排沟收集后排入东南面农灌渠，最终汇入涔水。</w:t>
      </w:r>
    </w:p>
    <w:p>
      <w:pPr>
        <w:ind w:firstLine="480"/>
      </w:pPr>
      <w:r>
        <w:rPr>
          <w:rFonts w:hint="eastAsia"/>
        </w:rPr>
        <w:t>员工生活污水泵入发酵床，参与微生物发酵过程，大部分因高温挥发损失，少部分滞留于发酵床的垫料层中，作为有机肥料用于周边农田农作物，项目无废水外排。</w:t>
      </w:r>
    </w:p>
    <w:p>
      <w:pPr>
        <w:ind w:firstLine="480"/>
      </w:pPr>
      <w:r>
        <w:rPr>
          <w:rFonts w:hint="eastAsia"/>
        </w:rPr>
        <w:t>项目养殖废水处理系统设计方案，采用微生物异位发酵床系统，猪尿通过集污池进入发酵床，发酵后垫料作为肥料外卖有机肥厂。</w:t>
      </w:r>
    </w:p>
    <w:p>
      <w:pPr>
        <w:ind w:firstLine="480"/>
      </w:pPr>
      <w:r>
        <w:rPr>
          <w:rFonts w:hint="eastAsia"/>
        </w:rPr>
        <w:t>（</w:t>
      </w:r>
      <w:r>
        <w:t>3</w:t>
      </w:r>
      <w:r>
        <w:rPr>
          <w:rFonts w:hint="eastAsia"/>
        </w:rPr>
        <w:t>）降温与供热</w:t>
      </w:r>
    </w:p>
    <w:p>
      <w:pPr>
        <w:ind w:firstLine="480"/>
      </w:pPr>
      <w:r>
        <w:rPr>
          <w:rFonts w:hint="eastAsia"/>
        </w:rPr>
        <w:t>在夏季高温季节，猪舍采用水帘</w:t>
      </w:r>
      <w:r>
        <w:t>+</w:t>
      </w:r>
      <w:r>
        <w:rPr>
          <w:rFonts w:hint="eastAsia"/>
        </w:rPr>
        <w:t>自然抽风方式降温。水帘降温的工作原理为：用负压风机把室内的污浊、热空气抽走，安装在负压风机对面的水帘墙则用于进风。室外的新鲜热空气在经过水帘墙被淋湿的小孔时，与水发生热交换而被过滤和降温。由水帘片和边框组成，水帘片的厚度为</w:t>
      </w:r>
      <w:r>
        <w:t>15cm左右，</w:t>
      </w:r>
      <w:r>
        <w:rPr>
          <w:rFonts w:hint="eastAsia"/>
        </w:rPr>
        <w:t>边框材料为铝合金，防止生锈而漏水。</w:t>
      </w:r>
    </w:p>
    <w:p>
      <w:pPr>
        <w:ind w:firstLine="480"/>
      </w:pPr>
      <w:r>
        <w:rPr>
          <w:rFonts w:hint="eastAsia"/>
        </w:rPr>
        <w:t>在春冬季外界温度较低时，部分猪舍（保育猪）需提升温度以满足生产需要。本项目均采用电加热，为满足保育猪猪舍的温度（</w:t>
      </w:r>
      <w:r>
        <w:t>16-20ºC</w:t>
      </w:r>
      <w:r>
        <w:rPr>
          <w:rFonts w:hint="eastAsia"/>
        </w:rPr>
        <w:t>）。</w:t>
      </w:r>
    </w:p>
    <w:p>
      <w:pPr>
        <w:ind w:firstLine="480"/>
      </w:pPr>
      <w:r>
        <w:rPr>
          <w:rFonts w:hint="eastAsia"/>
        </w:rPr>
        <w:t>（</w:t>
      </w:r>
      <w:r>
        <w:t>4</w:t>
      </w:r>
      <w:r>
        <w:rPr>
          <w:rFonts w:hint="eastAsia"/>
        </w:rPr>
        <w:t>）供电</w:t>
      </w:r>
    </w:p>
    <w:p>
      <w:pPr>
        <w:ind w:firstLine="480"/>
        <w:rPr>
          <w:highlight w:val="yellow"/>
        </w:rPr>
      </w:pPr>
      <w:r>
        <w:rPr>
          <w:rFonts w:hint="eastAsia"/>
        </w:rPr>
        <w:t>本项目生产、生活用电，供电电源来自大堰垱镇供电局。项目配备一套柴油发电机组，装机功率为200</w:t>
      </w:r>
      <w:r>
        <w:t>KW</w:t>
      </w:r>
      <w:r>
        <w:rPr>
          <w:rFonts w:hint="eastAsia"/>
        </w:rPr>
        <w:t>，以备停电时供电。</w:t>
      </w:r>
    </w:p>
    <w:p>
      <w:pPr>
        <w:ind w:firstLine="480"/>
      </w:pPr>
      <w:r>
        <w:rPr>
          <w:rFonts w:hint="eastAsia"/>
        </w:rPr>
        <w:t>（5）消防</w:t>
      </w:r>
    </w:p>
    <w:p>
      <w:pPr>
        <w:ind w:firstLine="480"/>
      </w:pPr>
      <w:r>
        <w:rPr>
          <w:rFonts w:hint="eastAsia"/>
        </w:rPr>
        <w:t>①室外消防</w:t>
      </w:r>
    </w:p>
    <w:p>
      <w:pPr>
        <w:ind w:firstLine="480"/>
      </w:pPr>
      <w:r>
        <w:rPr>
          <w:rFonts w:hint="eastAsia"/>
        </w:rPr>
        <w:t>本工程室外最大消防流量</w:t>
      </w:r>
      <w:r>
        <w:t>35L/s</w:t>
      </w:r>
      <w:r>
        <w:rPr>
          <w:rFonts w:hint="eastAsia"/>
        </w:rPr>
        <w:t>，消防水源为自来水，室外消防采用低压制，场区消防管网环状布置，按规范设置室外消火栓。</w:t>
      </w:r>
    </w:p>
    <w:p>
      <w:pPr>
        <w:ind w:firstLine="480"/>
      </w:pPr>
      <w:r>
        <w:rPr>
          <w:rFonts w:hint="eastAsia"/>
        </w:rPr>
        <w:t>②室内消防</w:t>
      </w:r>
    </w:p>
    <w:p>
      <w:pPr>
        <w:ind w:firstLine="480"/>
      </w:pPr>
      <w:r>
        <w:rPr>
          <w:rFonts w:hint="eastAsia"/>
        </w:rPr>
        <w:t>室内消防流量</w:t>
      </w:r>
      <w:r>
        <w:t>10L/s</w:t>
      </w:r>
      <w:r>
        <w:rPr>
          <w:rFonts w:hint="eastAsia"/>
        </w:rPr>
        <w:t>，设</w:t>
      </w:r>
      <w:r>
        <w:t>DN65</w:t>
      </w:r>
      <w:r>
        <w:rPr>
          <w:rFonts w:hint="eastAsia"/>
        </w:rPr>
        <w:t>双栓，保证火灾时二股水枪同时到达着火点。</w:t>
      </w:r>
    </w:p>
    <w:p>
      <w:pPr>
        <w:ind w:firstLine="480"/>
      </w:pPr>
      <w:r>
        <w:rPr>
          <w:rFonts w:hint="eastAsia"/>
        </w:rPr>
        <w:t>每栋建筑物均按要求设置灭火器。</w:t>
      </w:r>
      <w:bookmarkStart w:id="146" w:name="_Toc335755426"/>
      <w:bookmarkStart w:id="147" w:name="_Toc312239787"/>
    </w:p>
    <w:p>
      <w:pPr>
        <w:pStyle w:val="5"/>
        <w:spacing w:before="48" w:after="48"/>
      </w:pPr>
      <w:r>
        <w:rPr>
          <w:rFonts w:hint="eastAsia"/>
        </w:rPr>
        <w:t>2.1.9</w:t>
      </w:r>
      <w:r>
        <w:t>土石方平衡</w:t>
      </w:r>
      <w:bookmarkEnd w:id="146"/>
    </w:p>
    <w:p>
      <w:pPr>
        <w:ind w:firstLine="480"/>
      </w:pPr>
      <w:r>
        <w:rPr>
          <w:rFonts w:hint="eastAsia"/>
        </w:rPr>
        <w:t>项目拟建地建设过程中采用高挖低填，多余土方可用于修筑进场道路，土方可保持平衡，无弃方。</w:t>
      </w:r>
    </w:p>
    <w:p>
      <w:pPr>
        <w:pStyle w:val="5"/>
        <w:spacing w:before="48" w:after="48"/>
      </w:pPr>
      <w:r>
        <w:rPr>
          <w:rFonts w:hint="eastAsia"/>
        </w:rPr>
        <w:t>2.1.10建设投资及资金来源</w:t>
      </w:r>
      <w:bookmarkEnd w:id="147"/>
    </w:p>
    <w:p>
      <w:pPr>
        <w:ind w:firstLine="480"/>
      </w:pPr>
      <w:r>
        <w:t>项目总投资</w:t>
      </w:r>
      <w:r>
        <w:rPr>
          <w:rFonts w:hint="eastAsia"/>
        </w:rPr>
        <w:t>600万元，项目所需资金由企业自筹。</w:t>
      </w:r>
    </w:p>
    <w:p>
      <w:pPr>
        <w:pStyle w:val="5"/>
        <w:spacing w:before="48" w:after="48"/>
      </w:pPr>
      <w:r>
        <w:rPr>
          <w:rFonts w:hint="eastAsia"/>
        </w:rPr>
        <w:t>2.1.11劳动定员与工作制度</w:t>
      </w:r>
    </w:p>
    <w:p>
      <w:pPr>
        <w:ind w:firstLine="480"/>
      </w:pPr>
      <w:r>
        <w:rPr>
          <w:rFonts w:hint="eastAsia"/>
        </w:rPr>
        <w:t>项目工程管理及饲养人员定员6人，每天工作</w:t>
      </w:r>
      <w:r>
        <w:t>8</w:t>
      </w:r>
      <w:r>
        <w:rPr>
          <w:rFonts w:hint="eastAsia"/>
        </w:rPr>
        <w:t>小时。项目全年工作日为</w:t>
      </w:r>
      <w:r>
        <w:t>365</w:t>
      </w:r>
      <w:r>
        <w:rPr>
          <w:rFonts w:hint="eastAsia"/>
        </w:rPr>
        <w:t>天。</w:t>
      </w:r>
      <w:bookmarkEnd w:id="141"/>
      <w:bookmarkEnd w:id="142"/>
      <w:bookmarkEnd w:id="143"/>
      <w:bookmarkEnd w:id="144"/>
      <w:bookmarkEnd w:id="145"/>
    </w:p>
    <w:p>
      <w:pPr>
        <w:pStyle w:val="4"/>
        <w:spacing w:before="48" w:after="48"/>
      </w:pPr>
      <w:bookmarkStart w:id="148" w:name="_Toc18897"/>
      <w:r>
        <w:rPr>
          <w:rFonts w:hint="eastAsia"/>
        </w:rPr>
        <w:t>2.2</w:t>
      </w:r>
      <w:r>
        <w:t>生产工艺流程</w:t>
      </w:r>
      <w:bookmarkEnd w:id="138"/>
      <w:bookmarkEnd w:id="139"/>
      <w:r>
        <w:t>及产污环节</w:t>
      </w:r>
      <w:bookmarkEnd w:id="148"/>
    </w:p>
    <w:p>
      <w:pPr>
        <w:pStyle w:val="5"/>
        <w:spacing w:before="48" w:after="48"/>
      </w:pPr>
      <w:r>
        <w:rPr>
          <w:rFonts w:hint="eastAsia"/>
        </w:rPr>
        <w:t>2.2.1</w:t>
      </w:r>
      <w:r>
        <w:t>施工期工艺流程及产污环节</w:t>
      </w:r>
    </w:p>
    <w:p>
      <w:pPr>
        <w:ind w:firstLine="480"/>
      </w:pPr>
      <w:r>
        <w:rPr>
          <w:rFonts w:hint="eastAsia"/>
        </w:rPr>
        <w:t>施工期生产工艺流程及产污环节见图2.2</w:t>
      </w:r>
      <w:r>
        <w:t>-1。</w:t>
      </w:r>
    </w:p>
    <w:p>
      <w:pPr>
        <w:pStyle w:val="5"/>
        <w:spacing w:before="48" w:after="48"/>
      </w:pPr>
      <w:r>
        <mc:AlternateContent>
          <mc:Choice Requires="wpc">
            <w:drawing>
              <wp:anchor distT="0" distB="0" distL="114300" distR="114300" simplePos="0" relativeHeight="251676672" behindDoc="0" locked="0" layoutInCell="1" allowOverlap="1">
                <wp:simplePos x="0" y="0"/>
                <wp:positionH relativeFrom="column">
                  <wp:posOffset>76835</wp:posOffset>
                </wp:positionH>
                <wp:positionV relativeFrom="paragraph">
                  <wp:posOffset>46355</wp:posOffset>
                </wp:positionV>
                <wp:extent cx="5600700" cy="2489835"/>
                <wp:effectExtent l="635" t="0" r="0" b="0"/>
                <wp:wrapSquare wrapText="bothSides"/>
                <wp:docPr id="352"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8" name="矩形 4"/>
                        <wps:cNvSpPr>
                          <a:spLocks noChangeArrowheads="1"/>
                        </wps:cNvSpPr>
                        <wps:spPr bwMode="auto">
                          <a:xfrm>
                            <a:off x="1489710" y="1984375"/>
                            <a:ext cx="2766695" cy="338455"/>
                          </a:xfrm>
                          <a:prstGeom prst="rect">
                            <a:avLst/>
                          </a:prstGeom>
                          <a:solidFill>
                            <a:srgbClr val="FFFFFF"/>
                          </a:solidFill>
                          <a:ln>
                            <a:noFill/>
                          </a:ln>
                          <a:effectLst/>
                        </wps:spPr>
                        <wps:txbx>
                          <w:txbxContent>
                            <w:p>
                              <w:pPr>
                                <w:ind w:firstLine="422"/>
                                <w:jc w:val="center"/>
                                <w:rPr>
                                  <w:b/>
                                  <w:bCs/>
                                  <w:sz w:val="21"/>
                                  <w:szCs w:val="21"/>
                                </w:rPr>
                              </w:pPr>
                              <w:r>
                                <w:rPr>
                                  <w:rFonts w:hint="eastAsia"/>
                                  <w:b/>
                                  <w:sz w:val="21"/>
                                  <w:szCs w:val="21"/>
                                </w:rPr>
                                <w:t>图</w:t>
                              </w:r>
                              <w:r>
                                <w:rPr>
                                  <w:rFonts w:hint="eastAsia"/>
                                  <w:b/>
                                  <w:bCs/>
                                  <w:sz w:val="21"/>
                                  <w:szCs w:val="21"/>
                                </w:rPr>
                                <w:t>2.2-1</w:t>
                              </w:r>
                              <w:r>
                                <w:rPr>
                                  <w:b/>
                                  <w:bCs/>
                                  <w:sz w:val="21"/>
                                  <w:szCs w:val="21"/>
                                </w:rPr>
                                <w:t xml:space="preserve">  </w:t>
                              </w:r>
                              <w:r>
                                <w:rPr>
                                  <w:rFonts w:hint="eastAsia"/>
                                  <w:b/>
                                  <w:bCs/>
                                  <w:sz w:val="21"/>
                                  <w:szCs w:val="21"/>
                                </w:rPr>
                                <w:t>施工期工艺流程及产污环节</w:t>
                              </w:r>
                            </w:p>
                            <w:p>
                              <w:pPr>
                                <w:ind w:firstLine="480"/>
                                <w:jc w:val="center"/>
                              </w:pPr>
                            </w:p>
                            <w:p>
                              <w:pPr>
                                <w:ind w:firstLine="480"/>
                                <w:jc w:val="center"/>
                                <w:rPr>
                                  <w:szCs w:val="21"/>
                                </w:rPr>
                              </w:pPr>
                            </w:p>
                            <w:p>
                              <w:pPr>
                                <w:ind w:firstLine="480"/>
                                <w:jc w:val="center"/>
                              </w:pPr>
                            </w:p>
                          </w:txbxContent>
                        </wps:txbx>
                        <wps:bodyPr rot="0" vert="horz" wrap="square" lIns="121926" tIns="60964" rIns="121926" bIns="60964" anchor="t" anchorCtr="0" upright="1">
                          <a:noAutofit/>
                        </wps:bodyPr>
                      </wps:wsp>
                      <wps:wsp>
                        <wps:cNvPr id="299" name="矩形 5"/>
                        <wps:cNvSpPr>
                          <a:spLocks noChangeArrowheads="1"/>
                        </wps:cNvSpPr>
                        <wps:spPr bwMode="auto">
                          <a:xfrm>
                            <a:off x="1257300" y="885111"/>
                            <a:ext cx="8388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主体施工</w:t>
                              </w:r>
                            </w:p>
                          </w:txbxContent>
                        </wps:txbx>
                        <wps:bodyPr rot="0" vert="horz" wrap="square" lIns="91440" tIns="45720" rIns="91440" bIns="45720" anchor="t" anchorCtr="0" upright="1">
                          <a:noAutofit/>
                        </wps:bodyPr>
                      </wps:wsp>
                      <wps:wsp>
                        <wps:cNvPr id="300" name="直线 6"/>
                        <wps:cNvCnPr/>
                        <wps:spPr bwMode="auto">
                          <a:xfrm>
                            <a:off x="1028700" y="1076315"/>
                            <a:ext cx="228600" cy="600"/>
                          </a:xfrm>
                          <a:prstGeom prst="line">
                            <a:avLst/>
                          </a:prstGeom>
                          <a:noFill/>
                          <a:ln w="9525">
                            <a:solidFill>
                              <a:srgbClr val="000000"/>
                            </a:solidFill>
                            <a:round/>
                            <a:tailEnd type="stealth" w="med" len="med"/>
                          </a:ln>
                          <a:effectLst/>
                        </wps:spPr>
                        <wps:bodyPr/>
                      </wps:wsp>
                      <wps:wsp>
                        <wps:cNvPr id="301" name="矩形 7"/>
                        <wps:cNvSpPr>
                          <a:spLocks noChangeArrowheads="1"/>
                        </wps:cNvSpPr>
                        <wps:spPr bwMode="auto">
                          <a:xfrm>
                            <a:off x="2314500" y="866112"/>
                            <a:ext cx="7906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装修工程</w:t>
                              </w:r>
                            </w:p>
                          </w:txbxContent>
                        </wps:txbx>
                        <wps:bodyPr rot="0" vert="horz" wrap="square" lIns="91440" tIns="45720" rIns="91440" bIns="45720" anchor="t" anchorCtr="0" upright="1">
                          <a:noAutofit/>
                        </wps:bodyPr>
                      </wps:wsp>
                      <wps:wsp>
                        <wps:cNvPr id="302" name="直线 8"/>
                        <wps:cNvCnPr/>
                        <wps:spPr bwMode="auto">
                          <a:xfrm>
                            <a:off x="2095500" y="1028714"/>
                            <a:ext cx="228600" cy="600"/>
                          </a:xfrm>
                          <a:prstGeom prst="line">
                            <a:avLst/>
                          </a:prstGeom>
                          <a:noFill/>
                          <a:ln w="9525">
                            <a:solidFill>
                              <a:srgbClr val="000000"/>
                            </a:solidFill>
                            <a:round/>
                            <a:tailEnd type="stealth" w="med" len="med"/>
                          </a:ln>
                          <a:effectLst/>
                        </wps:spPr>
                        <wps:bodyPr/>
                      </wps:wsp>
                      <wps:wsp>
                        <wps:cNvPr id="303" name="矩形 9"/>
                        <wps:cNvSpPr>
                          <a:spLocks noChangeArrowheads="1"/>
                        </wps:cNvSpPr>
                        <wps:spPr bwMode="auto">
                          <a:xfrm>
                            <a:off x="3352100" y="885111"/>
                            <a:ext cx="8014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设备安装</w:t>
                              </w:r>
                            </w:p>
                          </w:txbxContent>
                        </wps:txbx>
                        <wps:bodyPr rot="0" vert="horz" wrap="square" lIns="91440" tIns="45720" rIns="91440" bIns="45720" anchor="t" anchorCtr="0" upright="1">
                          <a:noAutofit/>
                        </wps:bodyPr>
                      </wps:wsp>
                      <wps:wsp>
                        <wps:cNvPr id="304" name="直线 10"/>
                        <wps:cNvCnPr/>
                        <wps:spPr bwMode="auto">
                          <a:xfrm flipV="1">
                            <a:off x="3123500" y="1019814"/>
                            <a:ext cx="228600" cy="5700"/>
                          </a:xfrm>
                          <a:prstGeom prst="line">
                            <a:avLst/>
                          </a:prstGeom>
                          <a:noFill/>
                          <a:ln w="9525">
                            <a:solidFill>
                              <a:srgbClr val="000000"/>
                            </a:solidFill>
                            <a:round/>
                            <a:tailEnd type="stealth" w="med" len="med"/>
                          </a:ln>
                          <a:effectLst/>
                        </wps:spPr>
                        <wps:bodyPr/>
                      </wps:wsp>
                      <wps:wsp>
                        <wps:cNvPr id="305" name="矩形 11"/>
                        <wps:cNvSpPr>
                          <a:spLocks noChangeArrowheads="1"/>
                        </wps:cNvSpPr>
                        <wps:spPr bwMode="auto">
                          <a:xfrm>
                            <a:off x="114299" y="0"/>
                            <a:ext cx="1012825" cy="667385"/>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Cs w:val="21"/>
                                </w:rPr>
                              </w:pPr>
                              <w:r>
                                <w:rPr>
                                  <w:rFonts w:hint="eastAsia"/>
                                  <w:sz w:val="21"/>
                                  <w:szCs w:val="21"/>
                                </w:rPr>
                                <w:t>建筑垃圾</w:t>
                              </w:r>
                            </w:p>
                            <w:p>
                              <w:pPr>
                                <w:ind w:firstLine="480"/>
                                <w:jc w:val="center"/>
                                <w:rPr>
                                  <w:szCs w:val="21"/>
                                </w:rPr>
                              </w:pPr>
                            </w:p>
                          </w:txbxContent>
                        </wps:txbx>
                        <wps:bodyPr rot="0" vert="horz" wrap="square" lIns="91440" tIns="45720" rIns="91440" bIns="45720" anchor="t" anchorCtr="0" upright="1">
                          <a:noAutofit/>
                        </wps:bodyPr>
                      </wps:wsp>
                      <wps:wsp>
                        <wps:cNvPr id="306" name="矩形 12"/>
                        <wps:cNvSpPr>
                          <a:spLocks noChangeArrowheads="1"/>
                        </wps:cNvSpPr>
                        <wps:spPr bwMode="auto">
                          <a:xfrm>
                            <a:off x="1257300" y="15200"/>
                            <a:ext cx="915600" cy="671809"/>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 w:val="21"/>
                                  <w:szCs w:val="21"/>
                                </w:rPr>
                              </w:pPr>
                              <w:r>
                                <w:rPr>
                                  <w:rFonts w:hint="eastAsia"/>
                                  <w:sz w:val="21"/>
                                  <w:szCs w:val="21"/>
                                </w:rPr>
                                <w:t>建筑垃圾</w:t>
                              </w:r>
                            </w:p>
                          </w:txbxContent>
                        </wps:txbx>
                        <wps:bodyPr rot="0" vert="horz" wrap="square" lIns="91440" tIns="45720" rIns="91440" bIns="45720" anchor="t" anchorCtr="0" upright="1">
                          <a:noAutofit/>
                        </wps:bodyPr>
                      </wps:wsp>
                      <wps:wsp>
                        <wps:cNvPr id="307" name="直线 13"/>
                        <wps:cNvCnPr/>
                        <wps:spPr bwMode="auto">
                          <a:xfrm flipV="1">
                            <a:off x="1714500" y="680710"/>
                            <a:ext cx="600" cy="204403"/>
                          </a:xfrm>
                          <a:prstGeom prst="line">
                            <a:avLst/>
                          </a:prstGeom>
                          <a:noFill/>
                          <a:ln w="9525">
                            <a:solidFill>
                              <a:srgbClr val="000000"/>
                            </a:solidFill>
                            <a:prstDash val="dashDot"/>
                            <a:round/>
                            <a:tailEnd type="stealth" w="med" len="med"/>
                          </a:ln>
                          <a:effectLst/>
                        </wps:spPr>
                        <wps:bodyPr/>
                      </wps:wsp>
                      <wps:wsp>
                        <wps:cNvPr id="308" name="矩形 14"/>
                        <wps:cNvSpPr>
                          <a:spLocks noChangeArrowheads="1"/>
                        </wps:cNvSpPr>
                        <wps:spPr bwMode="auto">
                          <a:xfrm>
                            <a:off x="4399900" y="875612"/>
                            <a:ext cx="7436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投入使用</w:t>
                              </w:r>
                            </w:p>
                          </w:txbxContent>
                        </wps:txbx>
                        <wps:bodyPr rot="0" vert="horz" wrap="square" lIns="91440" tIns="45720" rIns="91440" bIns="45720" anchor="t" anchorCtr="0" upright="1">
                          <a:noAutofit/>
                        </wps:bodyPr>
                      </wps:wsp>
                      <wps:wsp>
                        <wps:cNvPr id="309" name="矩形 15"/>
                        <wps:cNvSpPr>
                          <a:spLocks noChangeArrowheads="1"/>
                        </wps:cNvSpPr>
                        <wps:spPr bwMode="auto">
                          <a:xfrm>
                            <a:off x="114299" y="885111"/>
                            <a:ext cx="914400" cy="297204"/>
                          </a:xfrm>
                          <a:prstGeom prst="rect">
                            <a:avLst/>
                          </a:prstGeom>
                          <a:noFill/>
                          <a:ln w="9525">
                            <a:solidFill>
                              <a:srgbClr val="000000"/>
                            </a:solidFill>
                            <a:miter lim="800000"/>
                          </a:ln>
                          <a:effectLst/>
                        </wps:spPr>
                        <wps:txbx>
                          <w:txbxContent>
                            <w:p>
                              <w:pPr>
                                <w:ind w:firstLine="0" w:firstLineChars="0"/>
                                <w:jc w:val="center"/>
                                <w:rPr>
                                  <w:sz w:val="21"/>
                                  <w:szCs w:val="21"/>
                                </w:rPr>
                              </w:pPr>
                              <w:r>
                                <w:rPr>
                                  <w:rFonts w:hint="eastAsia"/>
                                  <w:b/>
                                  <w:bCs/>
                                  <w:sz w:val="21"/>
                                  <w:szCs w:val="21"/>
                                </w:rPr>
                                <w:t>基础施工</w:t>
                              </w:r>
                            </w:p>
                          </w:txbxContent>
                        </wps:txbx>
                        <wps:bodyPr rot="0" vert="horz" wrap="square" lIns="91440" tIns="45720" rIns="91440" bIns="45720" anchor="t" anchorCtr="0" upright="1">
                          <a:noAutofit/>
                        </wps:bodyPr>
                      </wps:wsp>
                      <wps:wsp>
                        <wps:cNvPr id="310" name="直线 16"/>
                        <wps:cNvCnPr/>
                        <wps:spPr bwMode="auto">
                          <a:xfrm>
                            <a:off x="4171300" y="1019114"/>
                            <a:ext cx="228600" cy="700"/>
                          </a:xfrm>
                          <a:prstGeom prst="line">
                            <a:avLst/>
                          </a:prstGeom>
                          <a:noFill/>
                          <a:ln w="9525">
                            <a:solidFill>
                              <a:srgbClr val="000000"/>
                            </a:solidFill>
                            <a:round/>
                            <a:tailEnd type="stealth" w="med" len="med"/>
                          </a:ln>
                          <a:effectLst/>
                        </wps:spPr>
                        <wps:bodyPr/>
                      </wps:wsp>
                      <wps:wsp>
                        <wps:cNvPr id="311" name="直线 17"/>
                        <wps:cNvCnPr/>
                        <wps:spPr bwMode="auto">
                          <a:xfrm flipV="1">
                            <a:off x="571500" y="680710"/>
                            <a:ext cx="600" cy="204403"/>
                          </a:xfrm>
                          <a:prstGeom prst="line">
                            <a:avLst/>
                          </a:prstGeom>
                          <a:noFill/>
                          <a:ln w="9525">
                            <a:solidFill>
                              <a:srgbClr val="000000"/>
                            </a:solidFill>
                            <a:prstDash val="dashDot"/>
                            <a:round/>
                            <a:tailEnd type="stealth" w="med" len="med"/>
                          </a:ln>
                          <a:effectLst/>
                        </wps:spPr>
                        <wps:bodyPr/>
                      </wps:wsp>
                      <wps:wsp>
                        <wps:cNvPr id="312" name="直线 18"/>
                        <wps:cNvCnPr/>
                        <wps:spPr bwMode="auto">
                          <a:xfrm>
                            <a:off x="571500" y="1182317"/>
                            <a:ext cx="600" cy="191803"/>
                          </a:xfrm>
                          <a:prstGeom prst="line">
                            <a:avLst/>
                          </a:prstGeom>
                          <a:noFill/>
                          <a:ln w="9525">
                            <a:solidFill>
                              <a:srgbClr val="000000"/>
                            </a:solidFill>
                            <a:prstDash val="dashDot"/>
                            <a:round/>
                            <a:tailEnd type="stealth" w="med" len="med"/>
                          </a:ln>
                          <a:effectLst/>
                        </wps:spPr>
                        <wps:bodyPr/>
                      </wps:wsp>
                      <wps:wsp>
                        <wps:cNvPr id="313" name="矩形 19"/>
                        <wps:cNvSpPr>
                          <a:spLocks noChangeArrowheads="1"/>
                        </wps:cNvSpPr>
                        <wps:spPr bwMode="auto">
                          <a:xfrm>
                            <a:off x="114299" y="1374119"/>
                            <a:ext cx="914400" cy="610209"/>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扬尘</w:t>
                              </w:r>
                            </w:p>
                            <w:p>
                              <w:pPr>
                                <w:spacing w:line="240" w:lineRule="auto"/>
                                <w:ind w:firstLine="0" w:firstLineChars="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14" name="直线 20"/>
                        <wps:cNvCnPr/>
                        <wps:spPr bwMode="auto">
                          <a:xfrm>
                            <a:off x="1714500" y="1176017"/>
                            <a:ext cx="600" cy="191703"/>
                          </a:xfrm>
                          <a:prstGeom prst="line">
                            <a:avLst/>
                          </a:prstGeom>
                          <a:noFill/>
                          <a:ln w="9525">
                            <a:solidFill>
                              <a:srgbClr val="000000"/>
                            </a:solidFill>
                            <a:prstDash val="dashDot"/>
                            <a:round/>
                            <a:tailEnd type="stealth" w="med" len="med"/>
                          </a:ln>
                          <a:effectLst/>
                        </wps:spPr>
                        <wps:bodyPr/>
                      </wps:wsp>
                      <wps:wsp>
                        <wps:cNvPr id="315" name="矩形 21"/>
                        <wps:cNvSpPr>
                          <a:spLocks noChangeArrowheads="1"/>
                        </wps:cNvSpPr>
                        <wps:spPr bwMode="auto">
                          <a:xfrm>
                            <a:off x="1257300" y="1367719"/>
                            <a:ext cx="914400" cy="514407"/>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扬尘</w:t>
                              </w:r>
                            </w:p>
                            <w:p>
                              <w:pPr>
                                <w:spacing w:line="240" w:lineRule="auto"/>
                                <w:ind w:firstLine="0" w:firstLineChars="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316" name="矩形 22"/>
                        <wps:cNvSpPr>
                          <a:spLocks noChangeArrowheads="1"/>
                        </wps:cNvSpPr>
                        <wps:spPr bwMode="auto">
                          <a:xfrm>
                            <a:off x="2295500" y="15200"/>
                            <a:ext cx="915600" cy="671809"/>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Cs w:val="21"/>
                                </w:rPr>
                              </w:pPr>
                              <w:r>
                                <w:rPr>
                                  <w:rFonts w:hint="eastAsia"/>
                                  <w:sz w:val="21"/>
                                  <w:szCs w:val="21"/>
                                </w:rPr>
                                <w:t>建筑垃圾</w:t>
                              </w:r>
                            </w:p>
                          </w:txbxContent>
                        </wps:txbx>
                        <wps:bodyPr rot="0" vert="horz" wrap="square" lIns="91440" tIns="45720" rIns="91440" bIns="45720" anchor="t" anchorCtr="0" upright="1">
                          <a:noAutofit/>
                        </wps:bodyPr>
                      </wps:wsp>
                      <wps:wsp>
                        <wps:cNvPr id="317" name="直线 23"/>
                        <wps:cNvCnPr/>
                        <wps:spPr bwMode="auto">
                          <a:xfrm flipV="1">
                            <a:off x="2743200" y="623509"/>
                            <a:ext cx="600" cy="204503"/>
                          </a:xfrm>
                          <a:prstGeom prst="line">
                            <a:avLst/>
                          </a:prstGeom>
                          <a:noFill/>
                          <a:ln w="9525">
                            <a:solidFill>
                              <a:srgbClr val="000000"/>
                            </a:solidFill>
                            <a:prstDash val="dashDot"/>
                            <a:round/>
                            <a:tailEnd type="stealth" w="med" len="med"/>
                          </a:ln>
                          <a:effectLst/>
                        </wps:spPr>
                        <wps:bodyPr/>
                      </wps:wsp>
                      <wps:wsp>
                        <wps:cNvPr id="318" name="直线 24"/>
                        <wps:cNvCnPr/>
                        <wps:spPr bwMode="auto">
                          <a:xfrm>
                            <a:off x="2743200" y="1166416"/>
                            <a:ext cx="600" cy="191803"/>
                          </a:xfrm>
                          <a:prstGeom prst="line">
                            <a:avLst/>
                          </a:prstGeom>
                          <a:noFill/>
                          <a:ln w="9525">
                            <a:solidFill>
                              <a:srgbClr val="000000"/>
                            </a:solidFill>
                            <a:prstDash val="dashDot"/>
                            <a:round/>
                            <a:tailEnd type="stealth" w="med" len="med"/>
                          </a:ln>
                          <a:effectLst/>
                        </wps:spPr>
                        <wps:bodyPr/>
                      </wps:wsp>
                      <wps:wsp>
                        <wps:cNvPr id="319" name="矩形 25"/>
                        <wps:cNvSpPr>
                          <a:spLocks noChangeArrowheads="1"/>
                        </wps:cNvSpPr>
                        <wps:spPr bwMode="auto">
                          <a:xfrm>
                            <a:off x="2343100" y="1367719"/>
                            <a:ext cx="914400" cy="571508"/>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装修废气</w:t>
                              </w:r>
                            </w:p>
                            <w:p>
                              <w:pPr>
                                <w:spacing w:line="240" w:lineRule="auto"/>
                                <w:ind w:firstLine="0" w:firstLineChars="0"/>
                                <w:jc w:val="center"/>
                                <w:rPr>
                                  <w:sz w:val="21"/>
                                  <w:szCs w:val="21"/>
                                </w:rPr>
                              </w:pPr>
                              <w:r>
                                <w:rPr>
                                  <w:rFonts w:hint="eastAsia"/>
                                  <w:sz w:val="21"/>
                                  <w:szCs w:val="21"/>
                                </w:rPr>
                                <w:t>施工噪声</w:t>
                              </w:r>
                            </w:p>
                          </w:txbxContent>
                        </wps:txbx>
                        <wps:bodyPr rot="0" vert="horz" wrap="square" lIns="91440" tIns="45720" rIns="91440" bIns="45720" anchor="t" anchorCtr="0" upright="1">
                          <a:noAutofit/>
                        </wps:bodyPr>
                      </wps:wsp>
                      <wps:wsp>
                        <wps:cNvPr id="119" name="直线 26"/>
                        <wps:cNvCnPr/>
                        <wps:spPr bwMode="auto">
                          <a:xfrm>
                            <a:off x="3810000" y="1185517"/>
                            <a:ext cx="600" cy="191803"/>
                          </a:xfrm>
                          <a:prstGeom prst="line">
                            <a:avLst/>
                          </a:prstGeom>
                          <a:noFill/>
                          <a:ln w="9525">
                            <a:solidFill>
                              <a:srgbClr val="000000"/>
                            </a:solidFill>
                            <a:prstDash val="dashDot"/>
                            <a:round/>
                            <a:tailEnd type="stealth" w="med" len="med"/>
                          </a:ln>
                          <a:effectLst/>
                        </wps:spPr>
                        <wps:bodyPr/>
                      </wps:wsp>
                      <wps:wsp>
                        <wps:cNvPr id="123" name="矩形 27"/>
                        <wps:cNvSpPr>
                          <a:spLocks noChangeArrowheads="1"/>
                        </wps:cNvSpPr>
                        <wps:spPr bwMode="auto">
                          <a:xfrm>
                            <a:off x="3276600" y="1367719"/>
                            <a:ext cx="914400" cy="553108"/>
                          </a:xfrm>
                          <a:prstGeom prst="rect">
                            <a:avLst/>
                          </a:prstGeom>
                          <a:noFill/>
                          <a:ln>
                            <a:noFill/>
                          </a:ln>
                          <a:effectLst/>
                        </wps:spPr>
                        <wps:txbx>
                          <w:txbxContent>
                            <w:p>
                              <w:pPr>
                                <w:spacing w:line="240" w:lineRule="auto"/>
                                <w:ind w:firstLine="0" w:firstLineChars="0"/>
                                <w:jc w:val="center"/>
                                <w:rPr>
                                  <w:sz w:val="21"/>
                                  <w:szCs w:val="21"/>
                                </w:rPr>
                              </w:pPr>
                              <w:r>
                                <w:rPr>
                                  <w:rFonts w:hint="eastAsia"/>
                                  <w:bCs/>
                                  <w:sz w:val="21"/>
                                  <w:szCs w:val="21"/>
                                </w:rPr>
                                <w:t>废弃物</w:t>
                              </w:r>
                            </w:p>
                            <w:p>
                              <w:pPr>
                                <w:spacing w:line="240" w:lineRule="auto"/>
                                <w:ind w:firstLine="0" w:firstLineChars="0"/>
                                <w:jc w:val="center"/>
                                <w:rPr>
                                  <w:sz w:val="21"/>
                                  <w:szCs w:val="21"/>
                                </w:rPr>
                              </w:pPr>
                              <w:r>
                                <w:rPr>
                                  <w:rFonts w:hint="eastAsia"/>
                                  <w:sz w:val="21"/>
                                  <w:szCs w:val="21"/>
                                </w:rPr>
                                <w:t>噪声</w:t>
                              </w:r>
                            </w:p>
                          </w:txbxContent>
                        </wps:txbx>
                        <wps:bodyPr rot="0" vert="horz" wrap="square" lIns="91440" tIns="45720" rIns="91440" bIns="45720" anchor="t" anchorCtr="0" upright="1">
                          <a:noAutofit/>
                        </wps:bodyPr>
                      </wps:wsp>
                    </wpc:wpc>
                  </a:graphicData>
                </a:graphic>
              </wp:anchor>
            </w:drawing>
          </mc:Choice>
          <mc:Fallback>
            <w:pict>
              <v:group id="画布 4" o:spid="_x0000_s1026" o:spt="203" style="position:absolute;left:0pt;margin-left:6.05pt;margin-top:3.65pt;height:196.05pt;width:441pt;mso-wrap-distance-bottom:0pt;mso-wrap-distance-left:9pt;mso-wrap-distance-right:9pt;mso-wrap-distance-top:0pt;z-index:251676672;mso-width-relative:page;mso-height-relative:page;" coordsize="5600700,2489835" editas="canvas"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">
                <o:lock v:ext="edit" aspectratio="f"/>
                <v:shape id="画布 4" o:spid="_x0000_s1026" style="position:absolute;left:0;top:0;height:2489835;width:56007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AAAAAZHJzL1BLAQIUABQA&#10;AAAIAIdO4kCseTfF2QAAAAgBAAAPAAAAAAAAAAEAIAAAACIAAABkcnMvZG93bnJldi54bWxQSwEC&#10;FAAUAAAACACHTuJAEaCtZy4GAADxNgAADgAAAAAAAAABACAAAAAoAQAAZHJzL2Uyb0RvYy54bWxQ&#10;SwUGAAAAAAYABgBZAQAAyAkAAAAA&#10;">
                  <v:fill on="f" focussize="0,0"/>
                  <v:stroke on="f"/>
                  <v:imagedata o:title=""/>
                  <o:lock v:ext="edit" aspectratio="t"/>
                </v:shape>
                <v:rect id="矩形 4" o:spid="_x0000_s1026" o:spt="1" style="position:absolute;left:1489710;top:1984375;height:338455;width:2766695;" fillcolor="#FFFFFF" filled="t" stroked="f" coordsize="21600,21600" o:gfxdata="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9aO7vWAAAACAEAAA8AAAAAAAAAAQAgAAAAIgAAAGRycy9kb3ducmV2&#10;LnhtbFBLAQIUABQAAAAIAIdO4kCUFh50NwIAAE8EAAAOAAAAAAAAAAEAIAAAACUBAABkcnMvZTJv&#10;RG9jLnhtbFBLBQYAAAAABgAGAFkBAADOBQAAAAA=&#10;">
                  <v:fill on="t" focussize="0,0"/>
                  <v:stroke on="f"/>
                  <v:imagedata o:title=""/>
                  <o:lock v:ext="edit" aspectratio="f"/>
                  <v:textbox inset="9.60047244094488pt,4.80031496062992pt,9.60047244094488pt,4.80031496062992pt">
                    <w:txbxContent>
                      <w:p>
                        <w:pPr>
                          <w:ind w:firstLine="422"/>
                          <w:jc w:val="center"/>
                          <w:rPr>
                            <w:b/>
                            <w:bCs/>
                            <w:sz w:val="21"/>
                            <w:szCs w:val="21"/>
                          </w:rPr>
                        </w:pPr>
                        <w:r>
                          <w:rPr>
                            <w:rFonts w:hint="eastAsia"/>
                            <w:b/>
                            <w:sz w:val="21"/>
                            <w:szCs w:val="21"/>
                          </w:rPr>
                          <w:t>图</w:t>
                        </w:r>
                        <w:r>
                          <w:rPr>
                            <w:rFonts w:hint="eastAsia"/>
                            <w:b/>
                            <w:bCs/>
                            <w:sz w:val="21"/>
                            <w:szCs w:val="21"/>
                          </w:rPr>
                          <w:t>2.2-1</w:t>
                        </w:r>
                        <w:r>
                          <w:rPr>
                            <w:b/>
                            <w:bCs/>
                            <w:sz w:val="21"/>
                            <w:szCs w:val="21"/>
                          </w:rPr>
                          <w:t xml:space="preserve">  </w:t>
                        </w:r>
                        <w:r>
                          <w:rPr>
                            <w:rFonts w:hint="eastAsia"/>
                            <w:b/>
                            <w:bCs/>
                            <w:sz w:val="21"/>
                            <w:szCs w:val="21"/>
                          </w:rPr>
                          <w:t>施工期工艺流程及产污环节</w:t>
                        </w:r>
                      </w:p>
                      <w:p>
                        <w:pPr>
                          <w:ind w:firstLine="480"/>
                          <w:jc w:val="center"/>
                        </w:pPr>
                      </w:p>
                      <w:p>
                        <w:pPr>
                          <w:ind w:firstLine="480"/>
                          <w:jc w:val="center"/>
                          <w:rPr>
                            <w:szCs w:val="21"/>
                          </w:rPr>
                        </w:pPr>
                      </w:p>
                      <w:p>
                        <w:pPr>
                          <w:ind w:firstLine="480"/>
                          <w:jc w:val="center"/>
                        </w:pPr>
                      </w:p>
                    </w:txbxContent>
                  </v:textbox>
                </v:rect>
                <v:rect id="矩形 5" o:spid="_x0000_s1026" o:spt="1" style="position:absolute;left:1257300;top:885111;height:297204;width:8388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HhMUXWAAAACAEAAA8AAAAAAAAAAQAgAAAAIgAA&#10;AGRycy9kb3ducmV2LnhtbFBLAQIUABQAAAAIAIdO4kBvR7wdQwIAAGsEAAAOAAAAAAAAAAEAIAAA&#10;ACUBAABkcnMvZTJvRG9jLnhtbFBLBQYAAAAABgAGAFkBAADaBQ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主体施工</w:t>
                        </w:r>
                      </w:p>
                    </w:txbxContent>
                  </v:textbox>
                </v:rect>
                <v:line id="直线 6" o:spid="_x0000_s1026" o:spt="20" style="position:absolute;left:1028700;top:1076315;height:6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fSM3HVAAAA&#10;CAEAAA8AAAAAAAAAAQAgAAAAIgAAAGRycy9kb3ducmV2LnhtbFBLAQIUABQAAAAIAIdO4kCgxlBz&#10;5wEAALkDAAAOAAAAAAAAAAEAIAAAACQBAABkcnMvZTJvRG9jLnhtbFBLBQYAAAAABgAGAFkBAAB9&#10;BQAAAAA=&#10;">
                  <v:fill on="f" focussize="0,0"/>
                  <v:stroke color="#000000" joinstyle="round" endarrow="classic"/>
                  <v:imagedata o:title=""/>
                  <o:lock v:ext="edit" aspectratio="f"/>
                </v:line>
                <v:rect id="矩形 7" o:spid="_x0000_s1026" o:spt="1" style="position:absolute;left:2314500;top:866112;height:297204;width:7906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4TFF1gAAAAgBAAAPAAAAAAAAAAEAIAAAACIA&#10;AABkcnMvZG93bnJldi54bWxQSwECFAAUAAAACACHTuJAgQ8ACkQCAABrBAAADgAAAAAAAAABACAA&#10;AAAlAQAAZHJzL2Uyb0RvYy54bWxQSwUGAAAAAAYABgBZAQAA2wU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装修工程</w:t>
                        </w:r>
                      </w:p>
                    </w:txbxContent>
                  </v:textbox>
                </v:rect>
                <v:line id="直线 8" o:spid="_x0000_s1026" o:spt="20" style="position:absolute;left:2095500;top:1028714;height:6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9IzcdUA&#10;AAAIAQAADwAAAAAAAAABACAAAAAiAAAAZHJzL2Rvd25yZXYueG1sUEsBAhQAFAAAAAgAh07iQOSG&#10;N/bpAQAAuQMAAA4AAAAAAAAAAQAgAAAAJAEAAGRycy9lMm9Eb2MueG1sUEsFBgAAAAAGAAYAWQEA&#10;AH8FAAAAAA==&#10;">
                  <v:fill on="f" focussize="0,0"/>
                  <v:stroke color="#000000" joinstyle="round" endarrow="classic"/>
                  <v:imagedata o:title=""/>
                  <o:lock v:ext="edit" aspectratio="f"/>
                </v:line>
                <v:rect id="矩形 9" o:spid="_x0000_s1026" o:spt="1" style="position:absolute;left:3352100;top:885111;height:297204;width:8014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4TFF1gAAAAgBAAAPAAAAAAAAAAEAIAAAACIA&#10;AABkcnMvZG93bnJldi54bWxQSwECFAAUAAAACACHTuJAiyA8uUQCAABrBAAADgAAAAAAAAABACAA&#10;AAAlAQAAZHJzL2Uyb0RvYy54bWxQSwUGAAAAAAYABgBZAQAA2wU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设备安装</w:t>
                        </w:r>
                      </w:p>
                    </w:txbxContent>
                  </v:textbox>
                </v:rect>
                <v:line id="直线 10" o:spid="_x0000_s1026" o:spt="20" style="position:absolute;left:3123500;top:1019814;flip:y;height:5700;width:228600;" filled="f" stroked="t" coordsize="21600,21600" o:gfxdata="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TxGiNYAAAAIAQAADwAAAAAAAAABACAAAAAiAAAAZHJzL2Rvd25yZXYueG1sUEsBAhQAFAAA&#10;AAgAh07iQCtrhNPxAQAAxQMAAA4AAAAAAAAAAQAgAAAAJQEAAGRycy9lMm9Eb2MueG1sUEsFBgAA&#10;AAAGAAYAWQEAAIgFAAAAAA==&#10;">
                  <v:fill on="f" focussize="0,0"/>
                  <v:stroke color="#000000" joinstyle="round" endarrow="classic"/>
                  <v:imagedata o:title=""/>
                  <o:lock v:ext="edit" aspectratio="f"/>
                </v:line>
                <v:rect id="矩形 11" o:spid="_x0000_s1026" o:spt="1" style="position:absolute;left:114299;top:0;height:667385;width:1012825;"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Hk3xdkAAAAIAQAA&#10;DwAAAAAAAAABACAAAAAiAAAAZHJzL2Rvd25yZXYueG1sUEsBAhQAFAAAAAgAh07iQMxoZIMYAgAA&#10;HgQAAA4AAAAAAAAAAQAgAAAAKAEAAGRycy9lMm9Eb2MueG1sUEsFBgAAAAAGAAYAWQEAALIFAAAA&#10;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Cs w:val="21"/>
                          </w:rPr>
                        </w:pPr>
                        <w:r>
                          <w:rPr>
                            <w:rFonts w:hint="eastAsia"/>
                            <w:sz w:val="21"/>
                            <w:szCs w:val="21"/>
                          </w:rPr>
                          <w:t>建筑垃圾</w:t>
                        </w:r>
                      </w:p>
                      <w:p>
                        <w:pPr>
                          <w:ind w:firstLine="480"/>
                          <w:jc w:val="center"/>
                          <w:rPr>
                            <w:szCs w:val="21"/>
                          </w:rPr>
                        </w:pPr>
                      </w:p>
                    </w:txbxContent>
                  </v:textbox>
                </v:rect>
                <v:rect id="矩形 12" o:spid="_x0000_s1026" o:spt="1" style="position:absolute;left:1257300;top:15200;height:671809;width:9156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5N8XZAAAA&#10;CAEAAA8AAAAAAAAAAQAgAAAAIgAAAGRycy9kb3ducmV2LnhtbFBLAQIUABQAAAAIAIdO4kCKvY3T&#10;HAIAACIEAAAOAAAAAAAAAAEAIAAAACgBAABkcnMvZTJvRG9jLnhtbFBLBQYAAAAABgAGAFkBAAC2&#10;BQ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 w:val="21"/>
                            <w:szCs w:val="21"/>
                          </w:rPr>
                        </w:pPr>
                        <w:r>
                          <w:rPr>
                            <w:rFonts w:hint="eastAsia"/>
                            <w:sz w:val="21"/>
                            <w:szCs w:val="21"/>
                          </w:rPr>
                          <w:t>建筑垃圾</w:t>
                        </w:r>
                      </w:p>
                    </w:txbxContent>
                  </v:textbox>
                </v:rect>
                <v:line id="直线 13" o:spid="_x0000_s1026" o:spt="20" style="position:absolute;left:1714500;top:680710;flip:y;height:2044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H3wo3WAAAACAEAAA8AAAAAAAAAAQAgAAAAIgAAAGRycy9kb3ducmV2&#10;LnhtbFBLAQIUABQAAAAIAIdO4kCeAdY1/gEAAN4DAAAOAAAAAAAAAAEAIAAAACUBAABkcnMvZTJv&#10;RG9jLnhtbFBLBQYAAAAABgAGAFkBAACVBQAAAAA=&#10;">
                  <v:fill on="f" focussize="0,0"/>
                  <v:stroke color="#000000" joinstyle="round" dashstyle="dashDot" endarrow="classic"/>
                  <v:imagedata o:title=""/>
                  <o:lock v:ext="edit" aspectratio="f"/>
                </v:line>
                <v:rect id="矩形 14" o:spid="_x0000_s1026" o:spt="1" style="position:absolute;left:4399900;top:875612;height:297204;width:7436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HhMUXWAAAACAEAAA8AAAAAAAAAAQAgAAAA&#10;IgAAAGRycy9kb3ducmV2LnhtbFBLAQIUABQAAAAIAIdO4kBiGNLpRgIAAGwEAAAOAAAAAAAAAAEA&#10;IAAAACUBAABkcnMvZTJvRG9jLnhtbFBLBQYAAAAABgAGAFkBAADdBQ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投入使用</w:t>
                        </w:r>
                      </w:p>
                    </w:txbxContent>
                  </v:textbox>
                </v:rect>
                <v:rect id="矩形 15" o:spid="_x0000_s1026" o:spt="1" style="position:absolute;left:114299;top:885111;height:297204;width:914400;" filled="f" stroked="t" coordsize="21600,21600" o:gfxdata="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4TFF1gAAAAgBAAAPAAAAAAAAAAEAIAAAACIAAABk&#10;cnMvZG93bnJldi54bWxQSwECFAAUAAAACACHTuJAMkCLsEECAABrBAAADgAAAAAAAAABACAAAAAl&#10;AQAAZHJzL2Uyb0RvYy54bWxQSwUGAAAAAAYABgBZAQAA2AUAAAAA&#10;">
                  <v:fill on="f" focussize="0,0"/>
                  <v:stroke color="#000000" miterlimit="8" joinstyle="miter"/>
                  <v:imagedata o:title=""/>
                  <o:lock v:ext="edit" aspectratio="f"/>
                  <v:textbox>
                    <w:txbxContent>
                      <w:p>
                        <w:pPr>
                          <w:ind w:firstLine="0" w:firstLineChars="0"/>
                          <w:jc w:val="center"/>
                          <w:rPr>
                            <w:sz w:val="21"/>
                            <w:szCs w:val="21"/>
                          </w:rPr>
                        </w:pPr>
                        <w:r>
                          <w:rPr>
                            <w:rFonts w:hint="eastAsia"/>
                            <w:b/>
                            <w:bCs/>
                            <w:sz w:val="21"/>
                            <w:szCs w:val="21"/>
                          </w:rPr>
                          <w:t>基础施工</w:t>
                        </w:r>
                      </w:p>
                    </w:txbxContent>
                  </v:textbox>
                </v:rect>
                <v:line id="直线 16" o:spid="_x0000_s1026" o:spt="20" style="position:absolute;left:4171300;top:1019114;height:700;width:228600;" filled="f" stroked="t" coordsize="21600,21600" o:gfxdata="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30jNx&#10;1QAAAAgBAAAPAAAAAAAAAAEAIAAAACIAAABkcnMvZG93bnJldi54bWxQSwECFAAUAAAACACHTuJA&#10;UvbF5esBAAC6AwAADgAAAAAAAAABACAAAAAkAQAAZHJzL2Uyb0RvYy54bWxQSwUGAAAAAAYABgBZ&#10;AQAAgQUAAAAA&#10;">
                  <v:fill on="f" focussize="0,0"/>
                  <v:stroke color="#000000" joinstyle="round" endarrow="classic"/>
                  <v:imagedata o:title=""/>
                  <o:lock v:ext="edit" aspectratio="f"/>
                </v:line>
                <v:line id="直线 17" o:spid="_x0000_s1026" o:spt="20" style="position:absolute;left:571500;top:680710;flip:y;height:2044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H3wo3WAAAACAEAAA8AAAAAAAAAAQAgAAAAIgAAAGRycy9kb3ducmV2&#10;LnhtbFBLAQIUABQAAAAIAIdO4kCI7gf0/gEAAN0DAAAOAAAAAAAAAAEAIAAAACUBAABkcnMvZTJv&#10;RG9jLnhtbFBLBQYAAAAABgAGAFkBAACVBQAAAAA=&#10;">
                  <v:fill on="f" focussize="0,0"/>
                  <v:stroke color="#000000" joinstyle="round" dashstyle="dashDot" endarrow="classic"/>
                  <v:imagedata o:title=""/>
                  <o:lock v:ext="edit" aspectratio="f"/>
                </v:line>
                <v:line id="直线 18" o:spid="_x0000_s1026" o:spt="20" style="position:absolute;left:571500;top:1182317;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lKATXAAAACAEAAA8AAAAAAAAAAQAgAAAAIgAAAGRycy9kb3ducmV2LnhtbFBL&#10;AQIUABQAAAAIAIdO4kAbmy9q9wEAANQDAAAOAAAAAAAAAAEAIAAAACYBAABkcnMvZTJvRG9jLnht&#10;bFBLBQYAAAAABgAGAFkBAACPBQAAAAA=&#10;">
                  <v:fill on="f" focussize="0,0"/>
                  <v:stroke color="#000000" joinstyle="round" dashstyle="dashDot" endarrow="classic"/>
                  <v:imagedata o:title=""/>
                  <o:lock v:ext="edit" aspectratio="f"/>
                </v:line>
                <v:rect id="矩形 19" o:spid="_x0000_s1026" o:spt="1" style="position:absolute;left:114299;top:1374119;height:610209;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5N8XZAAAA&#10;CAEAAA8AAAAAAAAAAQAgAAAAIgAAAGRycy9kb3ducmV2LnhtbFBLAQIUABQAAAAIAIdO4kDhsUQr&#10;HAIAACMEAAAOAAAAAAAAAAEAIAAAACgBAABkcnMvZTJvRG9jLnhtbFBLBQYAAAAABgAGAFkBAAC2&#10;BQ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扬尘</w:t>
                        </w:r>
                      </w:p>
                      <w:p>
                        <w:pPr>
                          <w:spacing w:line="240" w:lineRule="auto"/>
                          <w:ind w:firstLine="0" w:firstLineChars="0"/>
                          <w:jc w:val="center"/>
                          <w:rPr>
                            <w:sz w:val="21"/>
                            <w:szCs w:val="21"/>
                          </w:rPr>
                        </w:pPr>
                        <w:r>
                          <w:rPr>
                            <w:rFonts w:hint="eastAsia"/>
                            <w:sz w:val="21"/>
                            <w:szCs w:val="21"/>
                          </w:rPr>
                          <w:t>施工噪声</w:t>
                        </w:r>
                      </w:p>
                    </w:txbxContent>
                  </v:textbox>
                </v:rect>
                <v:line id="直线 20" o:spid="_x0000_s1026" o:spt="20" style="position:absolute;left:1714500;top:1176017;height:1917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6UoBNcAAAAIAQAADwAAAAAAAAABACAAAAAiAAAAZHJzL2Rvd25yZXYueG1sUEsB&#10;AhQAFAAAAAgAh07iQMOxQiz2AQAA1QMAAA4AAAAAAAAAAQAgAAAAJgEAAGRycy9lMm9Eb2MueG1s&#10;UEsFBgAAAAAGAAYAWQEAAI4FAAAAAA==&#10;">
                  <v:fill on="f" focussize="0,0"/>
                  <v:stroke color="#000000" joinstyle="round" dashstyle="dashDot" endarrow="classic"/>
                  <v:imagedata o:title=""/>
                  <o:lock v:ext="edit" aspectratio="f"/>
                </v:line>
                <v:rect id="矩形 21" o:spid="_x0000_s1026" o:spt="1" style="position:absolute;left:1257300;top:1367719;height:514407;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eTfF2QAAAAgB&#10;AAAPAAAAAAAAAAEAIAAAACIAAABkcnMvZG93bnJldi54bWxQSwECFAAUAAAACACHTuJAOJ4L3BoC&#10;AAAkBAAADgAAAAAAAAABACAAAAAoAQAAZHJzL2Uyb0RvYy54bWxQSwUGAAAAAAYABgBZAQAAtAUA&#10;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扬尘</w:t>
                        </w:r>
                      </w:p>
                      <w:p>
                        <w:pPr>
                          <w:spacing w:line="240" w:lineRule="auto"/>
                          <w:ind w:firstLine="0" w:firstLineChars="0"/>
                          <w:jc w:val="center"/>
                          <w:rPr>
                            <w:sz w:val="21"/>
                            <w:szCs w:val="21"/>
                          </w:rPr>
                        </w:pPr>
                        <w:r>
                          <w:rPr>
                            <w:rFonts w:hint="eastAsia"/>
                            <w:sz w:val="21"/>
                            <w:szCs w:val="21"/>
                          </w:rPr>
                          <w:t>施工噪声</w:t>
                        </w:r>
                      </w:p>
                    </w:txbxContent>
                  </v:textbox>
                </v:rect>
                <v:rect id="矩形 22" o:spid="_x0000_s1026" o:spt="1" style="position:absolute;left:2295500;top:15200;height:671809;width:9156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5N8XZAAAA&#10;CAEAAA8AAAAAAAAAAQAgAAAAIgAAAGRycy9kb3ducmV2LnhtbFBLAQIUABQAAAAIAIdO4kA0JPc0&#10;HAIAACIEAAAOAAAAAAAAAAEAIAAAACgBAABkcnMvZTJvRG9jLnhtbFBLBQYAAAAABgAGAFkBAAC2&#10;BQ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施工废水</w:t>
                        </w:r>
                      </w:p>
                      <w:p>
                        <w:pPr>
                          <w:spacing w:line="240" w:lineRule="auto"/>
                          <w:ind w:firstLine="0" w:firstLineChars="0"/>
                          <w:jc w:val="center"/>
                          <w:rPr>
                            <w:sz w:val="21"/>
                            <w:szCs w:val="21"/>
                          </w:rPr>
                        </w:pPr>
                        <w:r>
                          <w:rPr>
                            <w:rFonts w:hint="eastAsia"/>
                            <w:sz w:val="21"/>
                            <w:szCs w:val="21"/>
                          </w:rPr>
                          <w:t>生活废水</w:t>
                        </w:r>
                      </w:p>
                      <w:p>
                        <w:pPr>
                          <w:spacing w:line="240" w:lineRule="auto"/>
                          <w:ind w:firstLine="0" w:firstLineChars="0"/>
                          <w:jc w:val="center"/>
                          <w:rPr>
                            <w:szCs w:val="21"/>
                          </w:rPr>
                        </w:pPr>
                        <w:r>
                          <w:rPr>
                            <w:rFonts w:hint="eastAsia"/>
                            <w:sz w:val="21"/>
                            <w:szCs w:val="21"/>
                          </w:rPr>
                          <w:t>建筑垃圾</w:t>
                        </w:r>
                      </w:p>
                    </w:txbxContent>
                  </v:textbox>
                </v:rect>
                <v:line id="直线 23" o:spid="_x0000_s1026" o:spt="20" style="position:absolute;left:2743200;top:623509;flip:y;height:204503;width:600;" filled="f" stroked="t" coordsize="21600,21600" o:gfxdata="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3wo3WAAAACAEAAA8AAAAAAAAAAQAgAAAAIgAAAGRycy9kb3du&#10;cmV2LnhtbFBLAQIUABQAAAAIAIdO4kB97yfBAQIAAN4DAAAOAAAAAAAAAAEAIAAAACUBAABkcnMv&#10;ZTJvRG9jLnhtbFBLBQYAAAAABgAGAFkBAACYBQAAAAA=&#10;">
                  <v:fill on="f" focussize="0,0"/>
                  <v:stroke color="#000000" joinstyle="round" dashstyle="dashDot" endarrow="classic"/>
                  <v:imagedata o:title=""/>
                  <o:lock v:ext="edit" aspectratio="f"/>
                </v:line>
                <v:line id="直线 24" o:spid="_x0000_s1026" o:spt="20" style="position:absolute;left:2743200;top:1166416;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SgE1wAAAAgBAAAPAAAAAAAAAAEAIAAAACIAAABkcnMvZG93bnJldi54bWxQ&#10;SwECFAAUAAAACACHTuJAubZVavgBAADVAwAADgAAAAAAAAABACAAAAAmAQAAZHJzL2Uyb0RvYy54&#10;bWxQSwUGAAAAAAYABgBZAQAAkAUAAAAA&#10;">
                  <v:fill on="f" focussize="0,0"/>
                  <v:stroke color="#000000" joinstyle="round" dashstyle="dashDot" endarrow="classic"/>
                  <v:imagedata o:title=""/>
                  <o:lock v:ext="edit" aspectratio="f"/>
                </v:line>
                <v:rect id="矩形 25" o:spid="_x0000_s1026" o:spt="1" style="position:absolute;left:2343100;top:1367719;height:571508;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TfF2QAA&#10;AAgBAAAPAAAAAAAAAAEAIAAAACIAAABkcnMvZG93bnJldi54bWxQSwECFAAUAAAACACHTuJAYDo6&#10;Fh0CAAAkBAAADgAAAAAAAAABACAAAAAo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装修废气</w:t>
                        </w:r>
                      </w:p>
                      <w:p>
                        <w:pPr>
                          <w:spacing w:line="240" w:lineRule="auto"/>
                          <w:ind w:firstLine="0" w:firstLineChars="0"/>
                          <w:jc w:val="center"/>
                          <w:rPr>
                            <w:sz w:val="21"/>
                            <w:szCs w:val="21"/>
                          </w:rPr>
                        </w:pPr>
                        <w:r>
                          <w:rPr>
                            <w:rFonts w:hint="eastAsia"/>
                            <w:sz w:val="21"/>
                            <w:szCs w:val="21"/>
                          </w:rPr>
                          <w:t>施工噪声</w:t>
                        </w:r>
                      </w:p>
                    </w:txbxContent>
                  </v:textbox>
                </v:rect>
                <v:line id="直线 26" o:spid="_x0000_s1026" o:spt="20" style="position:absolute;left:3810000;top:1185517;height:191803;width:600;" filled="f" stroked="t" coordsize="21600,21600" o:gfxdata="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SgE1wAAAAgBAAAPAAAAAAAAAAEAIAAAACIAAABkcnMvZG93bnJldi54bWxQSwEC&#10;FAAUAAAACACHTuJAGZIlX/UBAADVAwAADgAAAAAAAAABACAAAAAmAQAAZHJzL2Uyb0RvYy54bWxQ&#10;SwUGAAAAAAYABgBZAQAAjQUAAAAA&#10;">
                  <v:fill on="f" focussize="0,0"/>
                  <v:stroke color="#000000" joinstyle="round" dashstyle="dashDot" endarrow="classic"/>
                  <v:imagedata o:title=""/>
                  <o:lock v:ext="edit" aspectratio="f"/>
                </v:line>
                <v:rect id="矩形 27" o:spid="_x0000_s1026" o:spt="1" style="position:absolute;left:3276600;top:1367719;height:553108;width:914400;" filled="f" stroked="f" coordsize="21600,21600" o:gfxdata="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eTfF2QAA&#10;AAgBAAAPAAAAAAAAAAEAIAAAACIAAABkcnMvZG93bnJldi54bWxQSwECFAAUAAAACACHTuJA2mov&#10;ER0CAAAkBAAADgAAAAAAAAABACAAAAAoAQAAZHJzL2Uyb0RvYy54bWxQSwUGAAAAAAYABgBZAQAA&#10;twUAAAAA&#10;">
                  <v:fill on="f" focussize="0,0"/>
                  <v:stroke on="f"/>
                  <v:imagedata o:title=""/>
                  <o:lock v:ext="edit" aspectratio="f"/>
                  <v:textbox>
                    <w:txbxContent>
                      <w:p>
                        <w:pPr>
                          <w:spacing w:line="240" w:lineRule="auto"/>
                          <w:ind w:firstLine="0" w:firstLineChars="0"/>
                          <w:jc w:val="center"/>
                          <w:rPr>
                            <w:sz w:val="21"/>
                            <w:szCs w:val="21"/>
                          </w:rPr>
                        </w:pPr>
                        <w:r>
                          <w:rPr>
                            <w:rFonts w:hint="eastAsia"/>
                            <w:bCs/>
                            <w:sz w:val="21"/>
                            <w:szCs w:val="21"/>
                          </w:rPr>
                          <w:t>废弃物</w:t>
                        </w:r>
                      </w:p>
                      <w:p>
                        <w:pPr>
                          <w:spacing w:line="240" w:lineRule="auto"/>
                          <w:ind w:firstLine="0" w:firstLineChars="0"/>
                          <w:jc w:val="center"/>
                          <w:rPr>
                            <w:sz w:val="21"/>
                            <w:szCs w:val="21"/>
                          </w:rPr>
                        </w:pPr>
                        <w:r>
                          <w:rPr>
                            <w:rFonts w:hint="eastAsia"/>
                            <w:sz w:val="21"/>
                            <w:szCs w:val="21"/>
                          </w:rPr>
                          <w:t>噪声</w:t>
                        </w:r>
                      </w:p>
                    </w:txbxContent>
                  </v:textbox>
                </v:rect>
                <w10:wrap type="square"/>
              </v:group>
            </w:pict>
          </mc:Fallback>
        </mc:AlternateContent>
      </w:r>
      <w:r>
        <w:rPr>
          <w:rFonts w:hint="eastAsia"/>
        </w:rPr>
        <w:t>2.2.2</w:t>
      </w:r>
      <w:r>
        <w:t>营运期生产工艺流程及产污环节</w:t>
      </w:r>
    </w:p>
    <w:p>
      <w:pPr>
        <w:ind w:firstLine="480"/>
      </w:pPr>
      <w:r>
        <w:rPr>
          <w:rFonts w:hint="eastAsia"/>
        </w:rPr>
        <w:t>每栋猪舍分为上下两层结构，第一层为猪舍，地板为水泥漏缝板，水泥漏缝下面为1</w:t>
      </w:r>
      <w:r>
        <w:t>m深的</w:t>
      </w:r>
      <w:r>
        <w:rPr>
          <w:rFonts w:hint="eastAsia"/>
        </w:rPr>
        <w:t>刮</w:t>
      </w:r>
      <w:r>
        <w:t>粪池</w:t>
      </w:r>
      <w:r>
        <w:rPr>
          <w:rFonts w:hint="eastAsia"/>
        </w:rPr>
        <w:t>。</w:t>
      </w:r>
      <w:r>
        <w:t>猪只产生的粪尿通过水泥</w:t>
      </w:r>
      <w:r>
        <w:rPr>
          <w:rFonts w:hint="eastAsia"/>
        </w:rPr>
        <w:t>漏缝直接落入到各自的刮粪池中，刮粪池的粪尿通过自动清粪进入集污池中。集污池内的粪尿经干式分离机分离后，猪粪用于异位发酵处理。猪尿等养殖废水处理系统采用微生物异位发酵床系统，进入发酵床，发酵后垫料作为肥料外售</w:t>
      </w:r>
      <w:r>
        <w:t>。</w:t>
      </w:r>
    </w:p>
    <w:p>
      <w:pPr>
        <w:ind w:firstLine="480"/>
      </w:pPr>
      <w:r>
        <w:rPr>
          <w:rFonts w:hint="eastAsia"/>
        </w:rPr>
        <w:t>定时定量地通过潜污泵喷淋在发酵床的垫料层上。异位发酵床采用一些高效有益微生物与垫料建造，粪污通过潜污泵直接喷淋发酵床基质上，再利用</w:t>
      </w:r>
      <w:r>
        <w:t>翻抛机</w:t>
      </w:r>
      <w:r>
        <w:rPr>
          <w:rFonts w:hint="eastAsia"/>
        </w:rPr>
        <w:t>，使猪粪、尿和垫料充分混合，通过有益发酵微生物菌落进行好氧微生物发酵，使猪粪、尿有机物质得到充分的分解和转化。</w:t>
      </w:r>
    </w:p>
    <w:p>
      <w:pPr>
        <w:ind w:firstLine="480"/>
      </w:pPr>
      <w:r>
        <w:rPr>
          <w:rFonts w:hint="eastAsia"/>
        </w:rPr>
        <w:t>微生物异位发酵处理猪场粪污是一项集粪污减量化、无害化和资源化利用为一体的综合技术。采用该技术工艺可以克服舍内微生物发酵处理猪场粪污存在的一些不足，具有占地面积小、投资较少、运行成本低和无臭味等优点，养猪场无需设置排污口，可实现粪污零排放，粪污经发酵处理后可全部转化为固态有机肥原料，实现变废为宝。</w:t>
      </w:r>
    </w:p>
    <w:p>
      <w:pPr>
        <w:ind w:firstLine="480"/>
      </w:pPr>
      <w:r>
        <w:rPr>
          <w:rFonts w:hint="eastAsia"/>
        </w:rPr>
        <w:t>一、</w:t>
      </w:r>
      <w:r>
        <w:t>项目主要技术工艺参数：</w:t>
      </w:r>
    </w:p>
    <w:p>
      <w:pPr>
        <w:ind w:firstLine="480"/>
      </w:pPr>
      <w:r>
        <w:rPr>
          <w:rFonts w:hint="eastAsia"/>
        </w:rPr>
        <w:t>育肥场育肥工艺参数：</w:t>
      </w:r>
      <w:r>
        <w:t>生长育肥成活率9</w:t>
      </w:r>
      <w:r>
        <w:rPr>
          <w:rFonts w:hint="eastAsia"/>
        </w:rPr>
        <w:t>9</w:t>
      </w:r>
      <w:r>
        <w:t>%。</w:t>
      </w:r>
    </w:p>
    <w:p>
      <w:pPr>
        <w:ind w:firstLine="480"/>
      </w:pPr>
      <w:r>
        <w:rPr>
          <w:rFonts w:hint="eastAsia"/>
        </w:rPr>
        <w:t>本项目养殖生产工艺流程及产污节点见图2.2-2。</w:t>
      </w:r>
      <w:r>
        <mc:AlternateContent>
          <mc:Choice Requires="wpg">
            <w:drawing>
              <wp:anchor distT="0" distB="0" distL="114300" distR="114300" simplePos="0" relativeHeight="251681792" behindDoc="0" locked="0" layoutInCell="1" allowOverlap="1">
                <wp:simplePos x="0" y="0"/>
                <wp:positionH relativeFrom="column">
                  <wp:posOffset>31750</wp:posOffset>
                </wp:positionH>
                <wp:positionV relativeFrom="paragraph">
                  <wp:posOffset>155575</wp:posOffset>
                </wp:positionV>
                <wp:extent cx="5590540" cy="3983990"/>
                <wp:effectExtent l="19050" t="0" r="29210" b="0"/>
                <wp:wrapNone/>
                <wp:docPr id="15" name="组合 15"/>
                <wp:cNvGraphicFramePr/>
                <a:graphic xmlns:a="http://schemas.openxmlformats.org/drawingml/2006/main">
                  <a:graphicData uri="http://schemas.microsoft.com/office/word/2010/wordprocessingGroup">
                    <wpg:wgp>
                      <wpg:cNvGrpSpPr/>
                      <wpg:grpSpPr>
                        <a:xfrm>
                          <a:off x="0" y="0"/>
                          <a:ext cx="5590540" cy="3983990"/>
                          <a:chOff x="9405" y="635610"/>
                          <a:chExt cx="8804" cy="6274"/>
                        </a:xfrm>
                      </wpg:grpSpPr>
                      <wps:wsp>
                        <wps:cNvPr id="29" name="文本框 5"/>
                        <wps:cNvSpPr txBox="1"/>
                        <wps:spPr>
                          <a:xfrm>
                            <a:off x="9405" y="636503"/>
                            <a:ext cx="8805" cy="945"/>
                          </a:xfrm>
                          <a:prstGeom prst="rect">
                            <a:avLst/>
                          </a:prstGeom>
                          <a:solidFill>
                            <a:srgbClr val="FFFFFF"/>
                          </a:solidFill>
                          <a:ln w="28575" cmpd="sng">
                            <a:solidFill>
                              <a:srgbClr val="41719C">
                                <a:shade val="50000"/>
                              </a:srgbClr>
                            </a:solidFill>
                            <a:prstDash val="sysDot"/>
                          </a:ln>
                        </wps:spPr>
                        <wps:txbx>
                          <w:txbxContent>
                            <w:p>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自选图形 41"/>
                        <wps:cNvCnPr>
                          <a:cxnSpLocks noChangeShapeType="1"/>
                        </wps:cNvCnPr>
                        <wps:spPr bwMode="auto">
                          <a:xfrm>
                            <a:off x="11154" y="639153"/>
                            <a:ext cx="0" cy="449"/>
                          </a:xfrm>
                          <a:prstGeom prst="straightConnector1">
                            <a:avLst/>
                          </a:prstGeom>
                          <a:noFill/>
                          <a:ln w="9525">
                            <a:solidFill>
                              <a:srgbClr val="000000"/>
                            </a:solidFill>
                            <a:round/>
                            <a:tailEnd type="triangle" w="med" len="med"/>
                          </a:ln>
                        </wps:spPr>
                        <wps:bodyPr/>
                      </wps:wsp>
                      <wps:wsp>
                        <wps:cNvPr id="383" name="AutoShape 661"/>
                        <wps:cNvCnPr>
                          <a:cxnSpLocks noChangeShapeType="1"/>
                        </wps:cNvCnPr>
                        <wps:spPr bwMode="auto">
                          <a:xfrm>
                            <a:off x="15414" y="639736"/>
                            <a:ext cx="0" cy="449"/>
                          </a:xfrm>
                          <a:prstGeom prst="straightConnector1">
                            <a:avLst/>
                          </a:prstGeom>
                          <a:noFill/>
                          <a:ln w="9525">
                            <a:solidFill>
                              <a:srgbClr val="000000"/>
                            </a:solidFill>
                            <a:round/>
                            <a:tailEnd type="triangle" w="med" len="med"/>
                          </a:ln>
                        </wps:spPr>
                        <wps:bodyPr/>
                      </wps:wsp>
                      <wps:wsp>
                        <wps:cNvPr id="382" name="Text Box 662"/>
                        <wps:cNvSpPr txBox="1">
                          <a:spLocks noChangeArrowheads="1"/>
                        </wps:cNvSpPr>
                        <wps:spPr bwMode="auto">
                          <a:xfrm>
                            <a:off x="14559" y="640228"/>
                            <a:ext cx="1695" cy="995"/>
                          </a:xfrm>
                          <a:prstGeom prst="rect">
                            <a:avLst/>
                          </a:prstGeom>
                          <a:solidFill>
                            <a:srgbClr val="FFFFFF"/>
                          </a:solidFill>
                          <a:ln w="6350">
                            <a:noFill/>
                            <a:round/>
                          </a:ln>
                        </wps:spPr>
                        <wps:txbx>
                          <w:txbxContent>
                            <w:p>
                              <w:pPr>
                                <w:spacing w:line="280" w:lineRule="exact"/>
                                <w:ind w:firstLine="0" w:firstLineChars="0"/>
                                <w:rPr>
                                  <w:sz w:val="21"/>
                                  <w:szCs w:val="21"/>
                                </w:rPr>
                              </w:pPr>
                              <w:r>
                                <w:rPr>
                                  <w:rFonts w:hint="eastAsia"/>
                                  <w:sz w:val="21"/>
                                  <w:szCs w:val="21"/>
                                </w:rPr>
                                <w:t xml:space="preserve">送澧县病死畜禽无害化集中处理收集中心 </w:t>
                              </w:r>
                            </w:p>
                          </w:txbxContent>
                        </wps:txbx>
                        <wps:bodyPr rot="0" vert="horz" wrap="square" lIns="91440" tIns="45720" rIns="91440" bIns="45720" anchor="t" anchorCtr="0" upright="1">
                          <a:noAutofit/>
                        </wps:bodyPr>
                      </wps:wsp>
                      <wps:wsp>
                        <wps:cNvPr id="381" name="Text Box 642"/>
                        <wps:cNvSpPr txBox="1">
                          <a:spLocks noChangeArrowheads="1"/>
                        </wps:cNvSpPr>
                        <wps:spPr bwMode="auto">
                          <a:xfrm>
                            <a:off x="10420" y="640543"/>
                            <a:ext cx="1424" cy="450"/>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异位发酵床</w:t>
                              </w:r>
                            </w:p>
                          </w:txbxContent>
                        </wps:txbx>
                        <wps:bodyPr rot="0" vert="horz" wrap="square" lIns="91440" tIns="45720" rIns="91440" bIns="45720" anchor="t" anchorCtr="0" upright="1">
                          <a:noAutofit/>
                        </wps:bodyPr>
                      </wps:wsp>
                      <wps:wsp>
                        <wps:cNvPr id="380" name="自选图形 44"/>
                        <wps:cNvCnPr>
                          <a:cxnSpLocks noChangeShapeType="1"/>
                        </wps:cNvCnPr>
                        <wps:spPr bwMode="auto">
                          <a:xfrm>
                            <a:off x="11139" y="640044"/>
                            <a:ext cx="0" cy="449"/>
                          </a:xfrm>
                          <a:prstGeom prst="straightConnector1">
                            <a:avLst/>
                          </a:prstGeom>
                          <a:noFill/>
                          <a:ln w="9525">
                            <a:solidFill>
                              <a:srgbClr val="000000"/>
                            </a:solidFill>
                            <a:round/>
                            <a:tailEnd type="triangle" w="med" len="med"/>
                          </a:ln>
                        </wps:spPr>
                        <wps:bodyPr/>
                      </wps:wsp>
                      <wps:wsp>
                        <wps:cNvPr id="379" name="Text Box 658"/>
                        <wps:cNvSpPr txBox="1">
                          <a:spLocks noChangeArrowheads="1"/>
                        </wps:cNvSpPr>
                        <wps:spPr bwMode="auto">
                          <a:xfrm>
                            <a:off x="10030" y="641344"/>
                            <a:ext cx="2224" cy="540"/>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有机肥半成品，外售</w:t>
                              </w:r>
                            </w:p>
                          </w:txbxContent>
                        </wps:txbx>
                        <wps:bodyPr rot="0" vert="horz" wrap="square" lIns="91440" tIns="45720" rIns="91440" bIns="45720" anchor="t" anchorCtr="0" upright="1">
                          <a:noAutofit/>
                        </wps:bodyPr>
                      </wps:wsp>
                      <wps:wsp>
                        <wps:cNvPr id="610" name="AutoShape 648"/>
                        <wps:cNvCnPr>
                          <a:cxnSpLocks noChangeShapeType="1"/>
                        </wps:cNvCnPr>
                        <wps:spPr bwMode="auto">
                          <a:xfrm rot="5400000">
                            <a:off x="13469" y="636257"/>
                            <a:ext cx="525" cy="0"/>
                          </a:xfrm>
                          <a:prstGeom prst="straightConnector1">
                            <a:avLst/>
                          </a:prstGeom>
                          <a:noFill/>
                          <a:ln w="9525">
                            <a:solidFill>
                              <a:srgbClr val="000000"/>
                            </a:solidFill>
                            <a:round/>
                            <a:tailEnd type="triangle" w="med" len="med"/>
                          </a:ln>
                        </wps:spPr>
                        <wps:bodyPr/>
                      </wps:wsp>
                      <wps:wsp>
                        <wps:cNvPr id="609" name="文本框 32"/>
                        <wps:cNvSpPr txBox="1">
                          <a:spLocks noChangeArrowheads="1"/>
                        </wps:cNvSpPr>
                        <wps:spPr bwMode="auto">
                          <a:xfrm>
                            <a:off x="13188" y="635610"/>
                            <a:ext cx="1094" cy="495"/>
                          </a:xfrm>
                          <a:prstGeom prst="rect">
                            <a:avLst/>
                          </a:prstGeom>
                          <a:solidFill>
                            <a:srgbClr val="FFFFFF"/>
                          </a:solidFill>
                          <a:ln>
                            <a:noFill/>
                          </a:ln>
                        </wps:spPr>
                        <wps:txbx>
                          <w:txbxContent>
                            <w:p>
                              <w:pPr>
                                <w:ind w:firstLine="0" w:firstLineChars="0"/>
                                <w:rPr>
                                  <w:sz w:val="21"/>
                                  <w:szCs w:val="21"/>
                                </w:rPr>
                              </w:pPr>
                              <w:r>
                                <w:rPr>
                                  <w:rFonts w:hint="eastAsia"/>
                                  <w:sz w:val="21"/>
                                  <w:szCs w:val="21"/>
                                </w:rPr>
                                <w:t>水、饲料</w:t>
                              </w:r>
                            </w:p>
                            <w:p>
                              <w:pPr>
                                <w:ind w:firstLine="480"/>
                              </w:pPr>
                            </w:p>
                          </w:txbxContent>
                        </wps:txbx>
                        <wps:bodyPr rot="0" vert="horz" wrap="square" lIns="91440" tIns="45720" rIns="91440" bIns="45720" anchor="t" anchorCtr="0" upright="1">
                          <a:noAutofit/>
                        </wps:bodyPr>
                      </wps:wsp>
                      <wps:wsp>
                        <wps:cNvPr id="65" name="文本框 45"/>
                        <wps:cNvSpPr txBox="1">
                          <a:spLocks noChangeArrowheads="1"/>
                        </wps:cNvSpPr>
                        <wps:spPr bwMode="auto">
                          <a:xfrm>
                            <a:off x="15610" y="636802"/>
                            <a:ext cx="2489" cy="469"/>
                          </a:xfrm>
                          <a:prstGeom prst="rect">
                            <a:avLst/>
                          </a:prstGeom>
                          <a:solidFill>
                            <a:srgbClr val="FFFFFF"/>
                          </a:solidFill>
                          <a:ln w="6350">
                            <a:solidFill>
                              <a:srgbClr val="000000"/>
                            </a:solidFill>
                            <a:round/>
                          </a:ln>
                        </wps:spPr>
                        <wps:txbx>
                          <w:txbxContent>
                            <w:p>
                              <w:pPr>
                                <w:ind w:firstLine="0" w:firstLineChars="0"/>
                                <w:rPr>
                                  <w:sz w:val="21"/>
                                  <w:szCs w:val="21"/>
                                </w:rPr>
                              </w:pPr>
                              <w:r>
                                <w:rPr>
                                  <w:rFonts w:hint="eastAsia"/>
                                  <w:sz w:val="21"/>
                                  <w:szCs w:val="21"/>
                                </w:rPr>
                                <w:t>优质育肥猪出栏、外售</w:t>
                              </w:r>
                            </w:p>
                          </w:txbxContent>
                        </wps:txbx>
                        <wps:bodyPr rot="0" vert="horz" wrap="square" lIns="91440" tIns="45720" rIns="91440" bIns="45720" anchor="t" anchorCtr="0" upright="1">
                          <a:noAutofit/>
                        </wps:bodyPr>
                      </wps:wsp>
                      <wps:wsp>
                        <wps:cNvPr id="90" name="文本框 39"/>
                        <wps:cNvSpPr txBox="1">
                          <a:spLocks noChangeArrowheads="1"/>
                        </wps:cNvSpPr>
                        <wps:spPr bwMode="auto">
                          <a:xfrm>
                            <a:off x="11813" y="636781"/>
                            <a:ext cx="2836"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育肥场饲养仔猪6个月左右</w:t>
                              </w:r>
                            </w:p>
                          </w:txbxContent>
                        </wps:txbx>
                        <wps:bodyPr rot="0" vert="horz" wrap="square" lIns="91440" tIns="45720" rIns="91440" bIns="45720" anchor="t" anchorCtr="0" upright="1">
                          <a:noAutofit/>
                        </wps:bodyPr>
                      </wps:wsp>
                      <wps:wsp>
                        <wps:cNvPr id="88" name="文本框 31"/>
                        <wps:cNvSpPr txBox="1">
                          <a:spLocks noChangeArrowheads="1"/>
                        </wps:cNvSpPr>
                        <wps:spPr bwMode="auto">
                          <a:xfrm>
                            <a:off x="9488" y="636789"/>
                            <a:ext cx="1306" cy="467"/>
                          </a:xfrm>
                          <a:prstGeom prst="rect">
                            <a:avLst/>
                          </a:prstGeom>
                          <a:solidFill>
                            <a:srgbClr val="FFFFFF"/>
                          </a:solidFill>
                          <a:ln w="6350">
                            <a:solidFill>
                              <a:srgbClr val="000000"/>
                            </a:solidFill>
                            <a:round/>
                          </a:ln>
                        </wps:spPr>
                        <wps:txbx>
                          <w:txbxContent>
                            <w:p>
                              <w:pPr>
                                <w:ind w:firstLine="0" w:firstLineChars="0"/>
                                <w:rPr>
                                  <w:sz w:val="21"/>
                                  <w:szCs w:val="21"/>
                                </w:rPr>
                              </w:pPr>
                              <w:r>
                                <w:rPr>
                                  <w:rFonts w:hint="eastAsia"/>
                                  <w:sz w:val="21"/>
                                  <w:szCs w:val="21"/>
                                </w:rPr>
                                <w:t>外购仔猪</w:t>
                              </w:r>
                            </w:p>
                          </w:txbxContent>
                        </wps:txbx>
                        <wps:bodyPr rot="0" vert="horz" wrap="square" lIns="91440" tIns="45720" rIns="91440" bIns="45720" anchor="t" anchorCtr="0" upright="1">
                          <a:noAutofit/>
                        </wps:bodyPr>
                      </wps:wsp>
                      <wps:wsp>
                        <wps:cNvPr id="66" name="AutoShape 644"/>
                        <wps:cNvCnPr>
                          <a:cxnSpLocks noChangeShapeType="1"/>
                        </wps:cNvCnPr>
                        <wps:spPr bwMode="auto">
                          <a:xfrm flipV="1">
                            <a:off x="10794" y="637004"/>
                            <a:ext cx="1041" cy="5"/>
                          </a:xfrm>
                          <a:prstGeom prst="straightConnector1">
                            <a:avLst/>
                          </a:prstGeom>
                          <a:noFill/>
                          <a:ln w="9525">
                            <a:solidFill>
                              <a:srgbClr val="000000"/>
                            </a:solidFill>
                            <a:round/>
                            <a:tailEnd type="triangle" w="med" len="med"/>
                          </a:ln>
                        </wps:spPr>
                        <wps:bodyPr/>
                      </wps:wsp>
                      <wps:wsp>
                        <wps:cNvPr id="86" name="AutoShape 645"/>
                        <wps:cNvCnPr>
                          <a:cxnSpLocks noChangeShapeType="1"/>
                        </wps:cNvCnPr>
                        <wps:spPr bwMode="auto">
                          <a:xfrm>
                            <a:off x="14679" y="637016"/>
                            <a:ext cx="936" cy="3"/>
                          </a:xfrm>
                          <a:prstGeom prst="straightConnector1">
                            <a:avLst/>
                          </a:prstGeom>
                          <a:noFill/>
                          <a:ln w="9525">
                            <a:solidFill>
                              <a:srgbClr val="000000"/>
                            </a:solidFill>
                            <a:round/>
                            <a:tailEnd type="triangle" w="med" len="med"/>
                          </a:ln>
                        </wps:spPr>
                        <wps:bodyPr/>
                      </wps:wsp>
                      <wps:wsp>
                        <wps:cNvPr id="82" name="AutoShape 655"/>
                        <wps:cNvCnPr>
                          <a:cxnSpLocks noChangeShapeType="1"/>
                        </wps:cNvCnPr>
                        <wps:spPr bwMode="auto">
                          <a:xfrm>
                            <a:off x="13747" y="637468"/>
                            <a:ext cx="0" cy="420"/>
                          </a:xfrm>
                          <a:prstGeom prst="straightConnector1">
                            <a:avLst/>
                          </a:prstGeom>
                          <a:noFill/>
                          <a:ln w="9525">
                            <a:solidFill>
                              <a:srgbClr val="000000"/>
                            </a:solidFill>
                            <a:round/>
                          </a:ln>
                        </wps:spPr>
                        <wps:bodyPr/>
                      </wps:wsp>
                      <wps:wsp>
                        <wps:cNvPr id="80" name="Text Box 657"/>
                        <wps:cNvSpPr txBox="1">
                          <a:spLocks noChangeArrowheads="1"/>
                        </wps:cNvSpPr>
                        <wps:spPr bwMode="auto">
                          <a:xfrm>
                            <a:off x="11829" y="638402"/>
                            <a:ext cx="898"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猪粪</w:t>
                              </w:r>
                            </w:p>
                          </w:txbxContent>
                        </wps:txbx>
                        <wps:bodyPr rot="0" vert="horz" wrap="square" lIns="91440" tIns="45720" rIns="91440" bIns="45720" anchor="t" anchorCtr="0" upright="1">
                          <a:noAutofit/>
                        </wps:bodyPr>
                      </wps:wsp>
                      <wps:wsp>
                        <wps:cNvPr id="79" name="自选图形 37"/>
                        <wps:cNvCnPr>
                          <a:cxnSpLocks noChangeShapeType="1"/>
                        </wps:cNvCnPr>
                        <wps:spPr bwMode="auto">
                          <a:xfrm rot="5400000">
                            <a:off x="11896" y="638155"/>
                            <a:ext cx="525" cy="0"/>
                          </a:xfrm>
                          <a:prstGeom prst="straightConnector1">
                            <a:avLst/>
                          </a:prstGeom>
                          <a:noFill/>
                          <a:ln w="9525">
                            <a:solidFill>
                              <a:srgbClr val="000000"/>
                            </a:solidFill>
                            <a:round/>
                            <a:tailEnd type="triangle" w="med" len="med"/>
                          </a:ln>
                        </wps:spPr>
                        <wps:bodyPr/>
                      </wps:wsp>
                      <wps:wsp>
                        <wps:cNvPr id="78" name="Text Box 664"/>
                        <wps:cNvSpPr txBox="1">
                          <a:spLocks noChangeArrowheads="1"/>
                        </wps:cNvSpPr>
                        <wps:spPr bwMode="auto">
                          <a:xfrm>
                            <a:off x="16891" y="638432"/>
                            <a:ext cx="738" cy="466"/>
                          </a:xfrm>
                          <a:prstGeom prst="rect">
                            <a:avLst/>
                          </a:prstGeom>
                          <a:solidFill>
                            <a:srgbClr val="FFFFFF"/>
                          </a:solidFill>
                          <a:ln>
                            <a:noFill/>
                          </a:ln>
                        </wps:spPr>
                        <wps:txbx>
                          <w:txbxContent>
                            <w:p>
                              <w:pPr>
                                <w:ind w:firstLine="0" w:firstLineChars="0"/>
                              </w:pPr>
                              <w:r>
                                <w:rPr>
                                  <w:rFonts w:hint="eastAsia"/>
                                  <w:sz w:val="21"/>
                                  <w:szCs w:val="21"/>
                                </w:rPr>
                                <w:t>噪声</w:t>
                              </w:r>
                            </w:p>
                          </w:txbxContent>
                        </wps:txbx>
                        <wps:bodyPr rot="0" vert="horz" wrap="square" lIns="91440" tIns="45720" rIns="91440" bIns="45720" anchor="t" anchorCtr="0" upright="1">
                          <a:noAutofit/>
                        </wps:bodyPr>
                      </wps:wsp>
                      <wps:wsp>
                        <wps:cNvPr id="77" name="AutoShape 651"/>
                        <wps:cNvCnPr>
                          <a:cxnSpLocks noChangeShapeType="1"/>
                        </wps:cNvCnPr>
                        <wps:spPr bwMode="auto">
                          <a:xfrm>
                            <a:off x="10298" y="637890"/>
                            <a:ext cx="6935" cy="0"/>
                          </a:xfrm>
                          <a:prstGeom prst="straightConnector1">
                            <a:avLst/>
                          </a:prstGeom>
                          <a:noFill/>
                          <a:ln w="9525">
                            <a:solidFill>
                              <a:srgbClr val="000000"/>
                            </a:solidFill>
                            <a:round/>
                          </a:ln>
                        </wps:spPr>
                        <wps:bodyPr/>
                      </wps:wsp>
                      <wps:wsp>
                        <wps:cNvPr id="76" name="AutoShape 663"/>
                        <wps:cNvCnPr>
                          <a:cxnSpLocks noChangeShapeType="1"/>
                        </wps:cNvCnPr>
                        <wps:spPr bwMode="auto">
                          <a:xfrm rot="5400000">
                            <a:off x="16970" y="638170"/>
                            <a:ext cx="525" cy="0"/>
                          </a:xfrm>
                          <a:prstGeom prst="straightConnector1">
                            <a:avLst/>
                          </a:prstGeom>
                          <a:noFill/>
                          <a:ln w="9525">
                            <a:solidFill>
                              <a:srgbClr val="000000"/>
                            </a:solidFill>
                            <a:round/>
                            <a:tailEnd type="triangle" w="med" len="med"/>
                          </a:ln>
                        </wps:spPr>
                        <wps:bodyPr/>
                      </wps:wsp>
                      <wps:wsp>
                        <wps:cNvPr id="75" name="Text Box 656"/>
                        <wps:cNvSpPr txBox="1">
                          <a:spLocks noChangeArrowheads="1"/>
                        </wps:cNvSpPr>
                        <wps:spPr bwMode="auto">
                          <a:xfrm>
                            <a:off x="13374" y="638447"/>
                            <a:ext cx="840"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废气</w:t>
                              </w:r>
                            </w:p>
                          </w:txbxContent>
                        </wps:txbx>
                        <wps:bodyPr rot="0" vert="horz" wrap="square" lIns="91440" tIns="45720" rIns="91440" bIns="45720" anchor="t" anchorCtr="0" upright="1">
                          <a:noAutofit/>
                        </wps:bodyPr>
                      </wps:wsp>
                      <wps:wsp>
                        <wps:cNvPr id="74" name="AutoShape 646"/>
                        <wps:cNvCnPr>
                          <a:cxnSpLocks noChangeShapeType="1"/>
                        </wps:cNvCnPr>
                        <wps:spPr bwMode="auto">
                          <a:xfrm rot="5400000">
                            <a:off x="13473" y="638146"/>
                            <a:ext cx="572" cy="0"/>
                          </a:xfrm>
                          <a:prstGeom prst="straightConnector1">
                            <a:avLst/>
                          </a:prstGeom>
                          <a:noFill/>
                          <a:ln w="9525">
                            <a:solidFill>
                              <a:srgbClr val="000000"/>
                            </a:solidFill>
                            <a:round/>
                            <a:tailEnd type="triangle" w="med" len="med"/>
                          </a:ln>
                        </wps:spPr>
                        <wps:bodyPr/>
                      </wps:wsp>
                      <wps:wsp>
                        <wps:cNvPr id="73" name="自选图形 35"/>
                        <wps:cNvCnPr>
                          <a:cxnSpLocks noChangeShapeType="1"/>
                        </wps:cNvCnPr>
                        <wps:spPr bwMode="auto">
                          <a:xfrm rot="5400000">
                            <a:off x="10035" y="638153"/>
                            <a:ext cx="526" cy="0"/>
                          </a:xfrm>
                          <a:prstGeom prst="straightConnector1">
                            <a:avLst/>
                          </a:prstGeom>
                          <a:noFill/>
                          <a:ln w="9525">
                            <a:solidFill>
                              <a:srgbClr val="000000"/>
                            </a:solidFill>
                            <a:round/>
                            <a:tailEnd type="triangle" w="med" len="med"/>
                          </a:ln>
                        </wps:spPr>
                        <wps:bodyPr/>
                      </wps:wsp>
                      <wps:wsp>
                        <wps:cNvPr id="72" name="文本框 53"/>
                        <wps:cNvSpPr txBox="1">
                          <a:spLocks noChangeArrowheads="1"/>
                        </wps:cNvSpPr>
                        <wps:spPr bwMode="auto">
                          <a:xfrm>
                            <a:off x="14955" y="638446"/>
                            <a:ext cx="1023" cy="406"/>
                          </a:xfrm>
                          <a:prstGeom prst="rect">
                            <a:avLst/>
                          </a:prstGeom>
                          <a:solidFill>
                            <a:srgbClr val="FFFFFF"/>
                          </a:solidFill>
                          <a:ln>
                            <a:noFill/>
                          </a:ln>
                        </wps:spPr>
                        <wps:txbx>
                          <w:txbxContent>
                            <w:p>
                              <w:pPr>
                                <w:ind w:firstLine="0" w:firstLineChars="0"/>
                                <w:rPr>
                                  <w:sz w:val="21"/>
                                  <w:szCs w:val="21"/>
                                </w:rPr>
                              </w:pPr>
                              <w:r>
                                <w:rPr>
                                  <w:rFonts w:hint="eastAsia"/>
                                  <w:sz w:val="21"/>
                                  <w:szCs w:val="21"/>
                                </w:rPr>
                                <w:t>病死猪</w:t>
                              </w:r>
                            </w:p>
                            <w:p>
                              <w:pPr>
                                <w:ind w:firstLine="480"/>
                              </w:pPr>
                            </w:p>
                          </w:txbxContent>
                        </wps:txbx>
                        <wps:bodyPr rot="0" vert="horz" wrap="square" lIns="91440" tIns="45720" rIns="91440" bIns="45720" anchor="t" anchorCtr="0" upright="1">
                          <a:noAutofit/>
                        </wps:bodyPr>
                      </wps:wsp>
                      <wps:wsp>
                        <wps:cNvPr id="71" name="文本框 40"/>
                        <wps:cNvSpPr txBox="1">
                          <a:spLocks noChangeArrowheads="1"/>
                        </wps:cNvSpPr>
                        <wps:spPr bwMode="auto">
                          <a:xfrm>
                            <a:off x="9923" y="638417"/>
                            <a:ext cx="765" cy="495"/>
                          </a:xfrm>
                          <a:prstGeom prst="rect">
                            <a:avLst/>
                          </a:prstGeom>
                          <a:solidFill>
                            <a:srgbClr val="FFFFFF"/>
                          </a:solidFill>
                          <a:ln>
                            <a:noFill/>
                          </a:ln>
                        </wps:spPr>
                        <wps:txbx>
                          <w:txbxContent>
                            <w:p>
                              <w:pPr>
                                <w:ind w:firstLine="0" w:firstLineChars="0"/>
                                <w:rPr>
                                  <w:sz w:val="21"/>
                                  <w:szCs w:val="21"/>
                                </w:rPr>
                              </w:pPr>
                              <w:r>
                                <w:rPr>
                                  <w:rFonts w:hint="eastAsia"/>
                                  <w:bCs/>
                                  <w:sz w:val="21"/>
                                  <w:szCs w:val="21"/>
                                </w:rPr>
                                <w:t>废水</w:t>
                              </w:r>
                            </w:p>
                          </w:txbxContent>
                        </wps:txbx>
                        <wps:bodyPr rot="0" vert="horz" wrap="square" lIns="91440" tIns="45720" rIns="91440" bIns="45720" anchor="t" anchorCtr="0" upright="1">
                          <a:noAutofit/>
                        </wps:bodyPr>
                      </wps:wsp>
                      <wps:wsp>
                        <wps:cNvPr id="70" name="AutoShape 652"/>
                        <wps:cNvCnPr>
                          <a:cxnSpLocks noChangeShapeType="1"/>
                        </wps:cNvCnPr>
                        <wps:spPr bwMode="auto">
                          <a:xfrm rot="5400000">
                            <a:off x="15151" y="638169"/>
                            <a:ext cx="525" cy="0"/>
                          </a:xfrm>
                          <a:prstGeom prst="straightConnector1">
                            <a:avLst/>
                          </a:prstGeom>
                          <a:noFill/>
                          <a:ln w="9525">
                            <a:solidFill>
                              <a:srgbClr val="000000"/>
                            </a:solidFill>
                            <a:round/>
                            <a:tailEnd type="triangle" w="med" len="med"/>
                          </a:ln>
                        </wps:spPr>
                        <wps:bodyPr/>
                      </wps:wsp>
                      <wps:wsp>
                        <wps:cNvPr id="69" name="Text Box 665"/>
                        <wps:cNvSpPr txBox="1">
                          <a:spLocks noChangeArrowheads="1"/>
                        </wps:cNvSpPr>
                        <wps:spPr bwMode="auto">
                          <a:xfrm>
                            <a:off x="16670" y="639281"/>
                            <a:ext cx="1144" cy="410"/>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 xml:space="preserve">降噪措施 </w:t>
                              </w:r>
                            </w:p>
                          </w:txbxContent>
                        </wps:txbx>
                        <wps:bodyPr rot="0" vert="horz" wrap="square" lIns="91440" tIns="45720" rIns="91440" bIns="45720" anchor="t" anchorCtr="0" upright="1">
                          <a:noAutofit/>
                        </wps:bodyPr>
                      </wps:wsp>
                      <wps:wsp>
                        <wps:cNvPr id="68" name="Text Box 660"/>
                        <wps:cNvSpPr txBox="1">
                          <a:spLocks noChangeArrowheads="1"/>
                        </wps:cNvSpPr>
                        <wps:spPr bwMode="auto">
                          <a:xfrm>
                            <a:off x="14784" y="639325"/>
                            <a:ext cx="1366" cy="545"/>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 xml:space="preserve">冷冻库暂存 </w:t>
                              </w:r>
                            </w:p>
                          </w:txbxContent>
                        </wps:txbx>
                        <wps:bodyPr rot="0" vert="horz" wrap="square" lIns="91440" tIns="45720" rIns="91440" bIns="45720" anchor="t" anchorCtr="0" upright="1">
                          <a:noAutofit/>
                        </wps:bodyPr>
                      </wps:wsp>
                      <wps:wsp>
                        <wps:cNvPr id="288" name="Text Box 659"/>
                        <wps:cNvSpPr txBox="1">
                          <a:spLocks noChangeArrowheads="1"/>
                        </wps:cNvSpPr>
                        <wps:spPr bwMode="auto">
                          <a:xfrm>
                            <a:off x="12865" y="639296"/>
                            <a:ext cx="1845" cy="545"/>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 xml:space="preserve">风机、水帘除臭 </w:t>
                              </w:r>
                            </w:p>
                          </w:txbxContent>
                        </wps:txbx>
                        <wps:bodyPr rot="0" vert="horz" wrap="square" lIns="91440" tIns="45720" rIns="91440" bIns="45720" anchor="t" anchorCtr="0" upright="1">
                          <a:noAutofit/>
                        </wps:bodyPr>
                      </wps:wsp>
                      <wps:wsp>
                        <wps:cNvPr id="290" name="文本框 42"/>
                        <wps:cNvSpPr txBox="1">
                          <a:spLocks noChangeArrowheads="1"/>
                        </wps:cNvSpPr>
                        <wps:spPr bwMode="auto">
                          <a:xfrm>
                            <a:off x="10690" y="639610"/>
                            <a:ext cx="961" cy="395"/>
                          </a:xfrm>
                          <a:prstGeom prst="rect">
                            <a:avLst/>
                          </a:prstGeom>
                          <a:solidFill>
                            <a:srgbClr val="FFFFFF"/>
                          </a:solidFill>
                          <a:ln w="6350">
                            <a:noFill/>
                            <a:round/>
                          </a:ln>
                        </wps:spPr>
                        <wps:txbx>
                          <w:txbxContent>
                            <w:p>
                              <w:pPr>
                                <w:ind w:firstLine="0" w:firstLineChars="0"/>
                                <w:rPr>
                                  <w:sz w:val="21"/>
                                  <w:szCs w:val="21"/>
                                </w:rPr>
                              </w:pPr>
                              <w:r>
                                <w:rPr>
                                  <w:rFonts w:hint="eastAsia"/>
                                  <w:sz w:val="21"/>
                                  <w:szCs w:val="21"/>
                                </w:rPr>
                                <w:t xml:space="preserve">集污池 </w:t>
                              </w:r>
                            </w:p>
                          </w:txbxContent>
                        </wps:txbx>
                        <wps:bodyPr rot="0" vert="horz" wrap="square" lIns="91440" tIns="45720" rIns="91440" bIns="45720" anchor="t" anchorCtr="0" upright="1">
                          <a:noAutofit/>
                        </wps:bodyPr>
                      </wps:wsp>
                      <wps:wsp>
                        <wps:cNvPr id="291" name="AutoShape 661"/>
                        <wps:cNvCnPr>
                          <a:cxnSpLocks noChangeShapeType="1"/>
                        </wps:cNvCnPr>
                        <wps:spPr bwMode="auto">
                          <a:xfrm>
                            <a:off x="15414" y="638836"/>
                            <a:ext cx="0" cy="449"/>
                          </a:xfrm>
                          <a:prstGeom prst="straightConnector1">
                            <a:avLst/>
                          </a:prstGeom>
                          <a:noFill/>
                          <a:ln w="9525">
                            <a:solidFill>
                              <a:srgbClr val="000000"/>
                            </a:solidFill>
                            <a:round/>
                            <a:tailEnd type="triangle" w="med" len="med"/>
                          </a:ln>
                        </wps:spPr>
                        <wps:bodyPr/>
                      </wps:wsp>
                      <wps:wsp>
                        <wps:cNvPr id="292" name="AutoShape 651"/>
                        <wps:cNvCnPr>
                          <a:cxnSpLocks noChangeShapeType="1"/>
                        </wps:cNvCnPr>
                        <wps:spPr bwMode="auto">
                          <a:xfrm>
                            <a:off x="10238" y="639150"/>
                            <a:ext cx="1923" cy="2"/>
                          </a:xfrm>
                          <a:prstGeom prst="straightConnector1">
                            <a:avLst/>
                          </a:prstGeom>
                          <a:noFill/>
                          <a:ln w="9525">
                            <a:solidFill>
                              <a:srgbClr val="000000"/>
                            </a:solidFill>
                            <a:round/>
                          </a:ln>
                        </wps:spPr>
                        <wps:bodyPr/>
                      </wps:wsp>
                      <wps:wsp>
                        <wps:cNvPr id="293" name="自选图形 44"/>
                        <wps:cNvCnPr>
                          <a:cxnSpLocks noChangeShapeType="1"/>
                        </wps:cNvCnPr>
                        <wps:spPr bwMode="auto">
                          <a:xfrm>
                            <a:off x="11124" y="640914"/>
                            <a:ext cx="0" cy="449"/>
                          </a:xfrm>
                          <a:prstGeom prst="straightConnector1">
                            <a:avLst/>
                          </a:prstGeom>
                          <a:noFill/>
                          <a:ln w="9525">
                            <a:solidFill>
                              <a:srgbClr val="000000"/>
                            </a:solidFill>
                            <a:round/>
                            <a:tailEnd type="triangle" w="med" len="med"/>
                          </a:ln>
                        </wps:spPr>
                        <wps:bodyPr/>
                      </wps:wsp>
                      <wps:wsp>
                        <wps:cNvPr id="294" name="AutoShape 661"/>
                        <wps:cNvCnPr>
                          <a:cxnSpLocks noChangeShapeType="1"/>
                        </wps:cNvCnPr>
                        <wps:spPr bwMode="auto">
                          <a:xfrm>
                            <a:off x="13764" y="638806"/>
                            <a:ext cx="0" cy="449"/>
                          </a:xfrm>
                          <a:prstGeom prst="straightConnector1">
                            <a:avLst/>
                          </a:prstGeom>
                          <a:noFill/>
                          <a:ln w="9525">
                            <a:solidFill>
                              <a:srgbClr val="000000"/>
                            </a:solidFill>
                            <a:round/>
                            <a:tailEnd type="triangle" w="med" len="med"/>
                          </a:ln>
                        </wps:spPr>
                        <wps:bodyPr/>
                      </wps:wsp>
                      <wps:wsp>
                        <wps:cNvPr id="295" name="AutoShape 651"/>
                        <wps:cNvCnPr>
                          <a:cxnSpLocks noChangeShapeType="1"/>
                        </wps:cNvCnPr>
                        <wps:spPr bwMode="auto">
                          <a:xfrm flipH="1" flipV="1">
                            <a:off x="10211" y="638792"/>
                            <a:ext cx="12" cy="373"/>
                          </a:xfrm>
                          <a:prstGeom prst="straightConnector1">
                            <a:avLst/>
                          </a:prstGeom>
                          <a:noFill/>
                          <a:ln w="9525">
                            <a:solidFill>
                              <a:srgbClr val="000000"/>
                            </a:solidFill>
                            <a:round/>
                          </a:ln>
                        </wps:spPr>
                        <wps:bodyPr/>
                      </wps:wsp>
                      <wps:wsp>
                        <wps:cNvPr id="296" name="AutoShape 661"/>
                        <wps:cNvCnPr>
                          <a:cxnSpLocks noChangeShapeType="1"/>
                        </wps:cNvCnPr>
                        <wps:spPr bwMode="auto">
                          <a:xfrm>
                            <a:off x="17229" y="638821"/>
                            <a:ext cx="0" cy="449"/>
                          </a:xfrm>
                          <a:prstGeom prst="straightConnector1">
                            <a:avLst/>
                          </a:prstGeom>
                          <a:noFill/>
                          <a:ln w="9525">
                            <a:solidFill>
                              <a:srgbClr val="000000"/>
                            </a:solidFill>
                            <a:round/>
                            <a:tailEnd type="triangle" w="med" len="med"/>
                          </a:ln>
                        </wps:spPr>
                        <wps:bodyPr/>
                      </wps:wsp>
                      <wps:wsp>
                        <wps:cNvPr id="297" name="AutoShape 651"/>
                        <wps:cNvCnPr>
                          <a:cxnSpLocks noChangeShapeType="1"/>
                        </wps:cNvCnPr>
                        <wps:spPr bwMode="auto">
                          <a:xfrm flipH="1" flipV="1">
                            <a:off x="12131" y="638777"/>
                            <a:ext cx="12" cy="373"/>
                          </a:xfrm>
                          <a:prstGeom prst="straightConnector1">
                            <a:avLst/>
                          </a:prstGeom>
                          <a:noFill/>
                          <a:ln w="9525">
                            <a:solidFill>
                              <a:srgbClr val="000000"/>
                            </a:solidFill>
                            <a:round/>
                          </a:ln>
                        </wps:spPr>
                        <wps:bodyPr/>
                      </wps:wsp>
                    </wpg:wgp>
                  </a:graphicData>
                </a:graphic>
              </wp:anchor>
            </w:drawing>
          </mc:Choice>
          <mc:Fallback>
            <w:pict>
              <v:group id="_x0000_s1026" o:spid="_x0000_s1026" o:spt="203" style="position:absolute;left:0pt;margin-left:2.5pt;margin-top:12.25pt;height:313.7pt;width:440.2pt;z-index:251681792;mso-width-relative:page;mso-height-relative:page;" coordorigin="9405,635610" coordsize="8804,6274" o:gfxdata="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">
                <o:lock v:ext="edit" aspectratio="f"/>
                <v:shape id="文本框 5" o:spid="_x0000_s1026" o:spt="202" type="#_x0000_t202" style="position:absolute;left:9405;top:636503;height:945;width:8805;" fillcolor="#FFFFFF" filled="t" stroked="t" coordsize="21600,21600" o:gfxdata="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d4sLu5AAAA2wAA&#10;AA8AAAAAAAAAAQAgAAAAIgAAAGRycy9kb3ducmV2LnhtbFBLAQIUABQAAAAIAIdO4kAzLwWeOwAA&#10;ADkAAAAQAAAAAAAAAAEAIAAAAAgBAABkcnMvc2hhcGV4bWwueG1sUEsFBgAAAAAGAAYAWwEAALID&#10;AAAAAA==&#10;">
                  <v:fill on="t" focussize="0,0"/>
                  <v:stroke weight="2.25pt" color="#2D5171" joinstyle="round" dashstyle="1 1"/>
                  <v:imagedata o:title=""/>
                  <o:lock v:ext="edit" aspectratio="f"/>
                  <v:textbox>
                    <w:txbxContent>
                      <w:p>
                        <w:pPr>
                          <w:ind w:firstLine="480"/>
                        </w:pPr>
                      </w:p>
                    </w:txbxContent>
                  </v:textbox>
                </v:shape>
                <v:shape id="自选图形 41" o:spid="_x0000_s1026" o:spt="32" type="#_x0000_t32" style="position:absolute;left:11154;top:639153;height:449;width:0;"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61" o:spid="_x0000_s1026" o:spt="32" type="#_x0000_t32" style="position:absolute;left:15414;top:639736;height:449;width:0;" filled="f" stroked="t" coordsize="21600,21600" o:gfxdata="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6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662" o:spid="_x0000_s1026" o:spt="202" type="#_x0000_t202" style="position:absolute;left:14559;top:640228;height:995;width:1695;" fillcolor="#FFFFFF" filled="t" stroked="f" coordsize="21600,21600" o:gfxdata="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wwSugAAANwA&#10;AAAPAAAAAAAAAAEAIAAAACIAAABkcnMvZG93bnJldi54bWxQSwECFAAUAAAACACHTuJAMy8FnjsA&#10;AAA5AAAAEAAAAAAAAAABACAAAAAJAQAAZHJzL3NoYXBleG1sLnhtbFBLBQYAAAAABgAGAFsBAACz&#10;AwAAAAA=&#10;">
                  <v:fill on="t" focussize="0,0"/>
                  <v:stroke on="f" weight="0.5pt" joinstyle="round"/>
                  <v:imagedata o:title=""/>
                  <o:lock v:ext="edit" aspectratio="f"/>
                  <v:textbox>
                    <w:txbxContent>
                      <w:p>
                        <w:pPr>
                          <w:spacing w:line="280" w:lineRule="exact"/>
                          <w:ind w:firstLine="0" w:firstLineChars="0"/>
                          <w:rPr>
                            <w:sz w:val="21"/>
                            <w:szCs w:val="21"/>
                          </w:rPr>
                        </w:pPr>
                        <w:r>
                          <w:rPr>
                            <w:rFonts w:hint="eastAsia"/>
                            <w:sz w:val="21"/>
                            <w:szCs w:val="21"/>
                          </w:rPr>
                          <w:t xml:space="preserve">送澧县病死畜禽无害化集中处理收集中心 </w:t>
                        </w:r>
                      </w:p>
                    </w:txbxContent>
                  </v:textbox>
                </v:shape>
                <v:shape id="Text Box 642" o:spid="_x0000_s1026" o:spt="202" type="#_x0000_t202" style="position:absolute;left:10420;top:640543;height:450;width:1424;" fillcolor="#FFFFFF" filled="t" stroked="f" coordsize="21600,21600" o:gfxdata="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GSZbsAAADc&#10;AAAADwAAAAAAAAABACAAAAAiAAAAZHJzL2Rvd25yZXYueG1sUEsBAhQAFAAAAAgAh07iQDMvBZ47&#10;AAAAOQAAABAAAAAAAAAAAQAgAAAACgEAAGRycy9zaGFwZXhtbC54bWxQSwUGAAAAAAYABgBbAQAA&#10;tAMAAAAA&#10;">
                  <v:fill on="t" focussize="0,0"/>
                  <v:stroke on="f" weight="0.5pt" joinstyle="round"/>
                  <v:imagedata o:title=""/>
                  <o:lock v:ext="edit" aspectratio="f"/>
                  <v:textbox>
                    <w:txbxContent>
                      <w:p>
                        <w:pPr>
                          <w:ind w:firstLine="0" w:firstLineChars="0"/>
                          <w:rPr>
                            <w:sz w:val="21"/>
                            <w:szCs w:val="21"/>
                          </w:rPr>
                        </w:pPr>
                        <w:r>
                          <w:rPr>
                            <w:rFonts w:hint="eastAsia"/>
                            <w:sz w:val="21"/>
                            <w:szCs w:val="21"/>
                          </w:rPr>
                          <w:t>异位发酵床</w:t>
                        </w:r>
                      </w:p>
                    </w:txbxContent>
                  </v:textbox>
                </v:shape>
                <v:shape id="自选图形 44" o:spid="_x0000_s1026" o:spt="32" type="#_x0000_t32" style="position:absolute;left:11139;top:640044;height:449;width:0;" filled="f" stroked="t" coordsize="21600,21600" o:gfxdata="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rpL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658" o:spid="_x0000_s1026" o:spt="202" type="#_x0000_t202" style="position:absolute;left:10030;top:641344;height:540;width:2224;" fillcolor="#FFFFFF" filled="t" stroked="f" coordsize="21600,21600" o:gfxdata="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2LuRLsAAADc&#10;AAAADwAAAAAAAAABACAAAAAiAAAAZHJzL2Rvd25yZXYueG1sUEsBAhQAFAAAAAgAh07iQDMvBZ47&#10;AAAAOQAAABAAAAAAAAAAAQAgAAAACgEAAGRycy9zaGFwZXhtbC54bWxQSwUGAAAAAAYABgBbAQAA&#10;tAMAAAAA&#10;">
                  <v:fill on="t" focussize="0,0"/>
                  <v:stroke on="f" weight="0.5pt" joinstyle="round"/>
                  <v:imagedata o:title=""/>
                  <o:lock v:ext="edit" aspectratio="f"/>
                  <v:textbox>
                    <w:txbxContent>
                      <w:p>
                        <w:pPr>
                          <w:ind w:firstLine="0" w:firstLineChars="0"/>
                          <w:rPr>
                            <w:sz w:val="21"/>
                            <w:szCs w:val="21"/>
                          </w:rPr>
                        </w:pPr>
                        <w:r>
                          <w:rPr>
                            <w:rFonts w:hint="eastAsia"/>
                            <w:sz w:val="21"/>
                            <w:szCs w:val="21"/>
                          </w:rPr>
                          <w:t>有机肥半成品，外售</w:t>
                        </w:r>
                      </w:p>
                    </w:txbxContent>
                  </v:textbox>
                </v:shape>
                <v:shape id="AutoShape 648" o:spid="_x0000_s1026" o:spt="32" type="#_x0000_t32" style="position:absolute;left:13469;top:636257;height:0;width:525;rotation:5898240f;" filled="f" stroked="t" coordsize="21600,21600" o:gfxdata="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Us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32" o:spid="_x0000_s1026" o:spt="202" type="#_x0000_t202" style="position:absolute;left:13188;top:635610;height:495;width:1094;" fillcolor="#FFFFFF" filled="t" stroked="f" coordsize="21600,21600" o:gfxdata="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SLGS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ind w:firstLine="0" w:firstLineChars="0"/>
                          <w:rPr>
                            <w:sz w:val="21"/>
                            <w:szCs w:val="21"/>
                          </w:rPr>
                        </w:pPr>
                        <w:r>
                          <w:rPr>
                            <w:rFonts w:hint="eastAsia"/>
                            <w:sz w:val="21"/>
                            <w:szCs w:val="21"/>
                          </w:rPr>
                          <w:t>水、饲料</w:t>
                        </w:r>
                      </w:p>
                      <w:p>
                        <w:pPr>
                          <w:ind w:firstLine="480"/>
                        </w:pPr>
                      </w:p>
                    </w:txbxContent>
                  </v:textbox>
                </v:shape>
                <v:shape id="文本框 45" o:spid="_x0000_s1026" o:spt="202" type="#_x0000_t202" style="position:absolute;left:15610;top:636802;height:469;width:2489;" fillcolor="#FFFFFF" filled="t" stroked="t" coordsize="21600,21600" o:gfxdata="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hVLD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ind w:firstLine="0" w:firstLineChars="0"/>
                          <w:rPr>
                            <w:sz w:val="21"/>
                            <w:szCs w:val="21"/>
                          </w:rPr>
                        </w:pPr>
                        <w:r>
                          <w:rPr>
                            <w:rFonts w:hint="eastAsia"/>
                            <w:sz w:val="21"/>
                            <w:szCs w:val="21"/>
                          </w:rPr>
                          <w:t>优质育肥猪出栏、外售</w:t>
                        </w:r>
                      </w:p>
                    </w:txbxContent>
                  </v:textbox>
                </v:shape>
                <v:shape id="文本框 39" o:spid="_x0000_s1026" o:spt="202" type="#_x0000_t202" style="position:absolute;left:11813;top:636781;height:496;width:2836;" fillcolor="#FFFFFF" filled="t" stroked="t" coordsize="21600,21600" o:gfxdata="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RJ4F8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育肥场饲养仔猪6个月左右</w:t>
                        </w:r>
                      </w:p>
                    </w:txbxContent>
                  </v:textbox>
                </v:shape>
                <v:shape id="文本框 31" o:spid="_x0000_s1026" o:spt="202" type="#_x0000_t202" style="position:absolute;left:9488;top:636789;height:467;width:1306;" fillcolor="#FFFFFF" filled="t" stroked="t" coordsize="21600,21600" o:gfxdata="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iBun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ind w:firstLine="0" w:firstLineChars="0"/>
                          <w:rPr>
                            <w:sz w:val="21"/>
                            <w:szCs w:val="21"/>
                          </w:rPr>
                        </w:pPr>
                        <w:r>
                          <w:rPr>
                            <w:rFonts w:hint="eastAsia"/>
                            <w:sz w:val="21"/>
                            <w:szCs w:val="21"/>
                          </w:rPr>
                          <w:t>外购仔猪</w:t>
                        </w:r>
                      </w:p>
                    </w:txbxContent>
                  </v:textbox>
                </v:shape>
                <v:shape id="AutoShape 644" o:spid="_x0000_s1026" o:spt="32" type="#_x0000_t32" style="position:absolute;left:10794;top:637004;flip:y;height:5;width:1041;" filled="f" stroked="t" coordsize="21600,21600" o:gfxdata="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vLG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645" o:spid="_x0000_s1026" o:spt="32" type="#_x0000_t32" style="position:absolute;left:14679;top:637016;height:3;width:936;" filled="f" stroked="t" coordsize="21600,21600" o:gfxdata="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NBk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55" o:spid="_x0000_s1026" o:spt="32" type="#_x0000_t32" style="position:absolute;left:13747;top:637468;height:420;width:0;" filled="f" stroked="t" coordsize="21600,21600" o:gfxdata="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Hg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Text Box 657" o:spid="_x0000_s1026" o:spt="202" type="#_x0000_t202" style="position:absolute;left:11829;top:638402;height:495;width:898;" fillcolor="#FFFFFF" filled="t" stroked="f" coordsize="21600,21600" o:gfxdata="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YPf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ind w:firstLine="0" w:firstLineChars="0"/>
                          <w:rPr>
                            <w:bCs/>
                            <w:sz w:val="21"/>
                            <w:szCs w:val="21"/>
                          </w:rPr>
                        </w:pPr>
                        <w:r>
                          <w:rPr>
                            <w:rFonts w:hint="eastAsia"/>
                            <w:bCs/>
                            <w:sz w:val="21"/>
                            <w:szCs w:val="21"/>
                          </w:rPr>
                          <w:t>猪粪</w:t>
                        </w:r>
                      </w:p>
                    </w:txbxContent>
                  </v:textbox>
                </v:shape>
                <v:shape id="自选图形 37" o:spid="_x0000_s1026" o:spt="32" type="#_x0000_t32" style="position:absolute;left:11896;top:638155;height:0;width:525;rotation:5898240f;" filled="f" stroked="t" coordsize="21600,21600" o:gfxdata="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gg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664" o:spid="_x0000_s1026" o:spt="202" type="#_x0000_t202" style="position:absolute;left:16891;top:638432;height:466;width:738;" fillcolor="#FFFFFF" filled="t" stroked="f" coordsize="21600,21600" o:gfxdata="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ftB1LUAAADbAAAADwAA&#10;AAAAAAABACAAAAAiAAAAZHJzL2Rvd25yZXYueG1sUEsBAhQAFAAAAAgAh07iQDMvBZ47AAAAOQAA&#10;ABAAAAAAAAAAAQAgAAAABAEAAGRycy9zaGFwZXhtbC54bWxQSwUGAAAAAAYABgBbAQAArgMAAAAA&#10;">
                  <v:fill on="t" focussize="0,0"/>
                  <v:stroke on="f"/>
                  <v:imagedata o:title=""/>
                  <o:lock v:ext="edit" aspectratio="f"/>
                  <v:textbox>
                    <w:txbxContent>
                      <w:p>
                        <w:pPr>
                          <w:ind w:firstLine="0" w:firstLineChars="0"/>
                        </w:pPr>
                        <w:r>
                          <w:rPr>
                            <w:rFonts w:hint="eastAsia"/>
                            <w:sz w:val="21"/>
                            <w:szCs w:val="21"/>
                          </w:rPr>
                          <w:t>噪声</w:t>
                        </w:r>
                      </w:p>
                    </w:txbxContent>
                  </v:textbox>
                </v:shape>
                <v:shape id="AutoShape 651" o:spid="_x0000_s1026" o:spt="32" type="#_x0000_t32" style="position:absolute;left:10298;top:637890;height:0;width:6935;" filled="f" stroked="t" coordsize="21600,21600" o:gfxdata="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u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663" o:spid="_x0000_s1026" o:spt="32" type="#_x0000_t32" style="position:absolute;left:16970;top:638170;height:0;width:525;rotation:5898240f;" filled="f" stroked="t" coordsize="21600,21600" o:gfxdata="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7S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Text Box 656" o:spid="_x0000_s1026" o:spt="202" type="#_x0000_t202" style="position:absolute;left:13374;top:638447;height:495;width:840;" fillcolor="#FFFFFF" filled="t" stroked="f" coordsize="21600,21600" o:gfxdata="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7k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firstLine="0" w:firstLineChars="0"/>
                          <w:rPr>
                            <w:bCs/>
                            <w:sz w:val="21"/>
                            <w:szCs w:val="21"/>
                          </w:rPr>
                        </w:pPr>
                        <w:r>
                          <w:rPr>
                            <w:rFonts w:hint="eastAsia"/>
                            <w:bCs/>
                            <w:sz w:val="21"/>
                            <w:szCs w:val="21"/>
                          </w:rPr>
                          <w:t>废气</w:t>
                        </w:r>
                      </w:p>
                    </w:txbxContent>
                  </v:textbox>
                </v:shape>
                <v:shape id="AutoShape 646" o:spid="_x0000_s1026" o:spt="32" type="#_x0000_t32" style="position:absolute;left:13473;top:638146;height:0;width:572;rotation:5898240f;" filled="f" stroked="t" coordsize="21600,21600" o:gfxdata="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mP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5" o:spid="_x0000_s1026" o:spt="32" type="#_x0000_t32" style="position:absolute;left:10035;top:638153;height:0;width:526;rotation:5898240f;" filled="f" stroked="t" coordsize="21600,21600" o:gfxdata="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AX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53" o:spid="_x0000_s1026" o:spt="202" type="#_x0000_t202" style="position:absolute;left:14955;top:638446;height:406;width:1023;" fillcolor="#FFFFFF" filled="t" stroked="f" coordsize="21600,21600" o:gfxdata="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dj6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firstLine="0" w:firstLineChars="0"/>
                          <w:rPr>
                            <w:sz w:val="21"/>
                            <w:szCs w:val="21"/>
                          </w:rPr>
                        </w:pPr>
                        <w:r>
                          <w:rPr>
                            <w:rFonts w:hint="eastAsia"/>
                            <w:sz w:val="21"/>
                            <w:szCs w:val="21"/>
                          </w:rPr>
                          <w:t>病死猪</w:t>
                        </w:r>
                      </w:p>
                      <w:p>
                        <w:pPr>
                          <w:ind w:firstLine="480"/>
                        </w:pPr>
                      </w:p>
                    </w:txbxContent>
                  </v:textbox>
                </v:shape>
                <v:shape id="文本框 40" o:spid="_x0000_s1026" o:spt="202" type="#_x0000_t202" style="position:absolute;left:9923;top:638417;height:495;width:765;" fillcolor="#FFFFFF" filled="t" stroked="f" coordsize="21600,21600" o:gfxdata="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ehJ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ind w:firstLine="0" w:firstLineChars="0"/>
                          <w:rPr>
                            <w:sz w:val="21"/>
                            <w:szCs w:val="21"/>
                          </w:rPr>
                        </w:pPr>
                        <w:r>
                          <w:rPr>
                            <w:rFonts w:hint="eastAsia"/>
                            <w:bCs/>
                            <w:sz w:val="21"/>
                            <w:szCs w:val="21"/>
                          </w:rPr>
                          <w:t>废水</w:t>
                        </w:r>
                      </w:p>
                    </w:txbxContent>
                  </v:textbox>
                </v:shape>
                <v:shape id="AutoShape 652" o:spid="_x0000_s1026" o:spt="32" type="#_x0000_t32" style="position:absolute;left:15151;top:638169;height:0;width:525;rotation:5898240f;" filled="f" stroked="t" coordsize="21600,21600" o:gfxdata="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MolH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Text Box 665" o:spid="_x0000_s1026" o:spt="202" type="#_x0000_t202" style="position:absolute;left:16670;top:639281;height:410;width:1144;" fillcolor="#FFFFFF" filled="t" stroked="f" coordsize="21600,21600" o:gfxdata="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McFa5AAAA2wAA&#10;AA8AAAAAAAAAAQAgAAAAIgAAAGRycy9kb3ducmV2LnhtbFBLAQIUABQAAAAIAIdO4kAzLwWeOwAA&#10;ADkAAAAQAAAAAAAAAAEAIAAAAAgBAABkcnMvc2hhcGV4bWwueG1sUEsFBgAAAAAGAAYAWwEAALID&#10;AAAAAA==&#10;">
                  <v:fill on="t" focussize="0,0"/>
                  <v:stroke on="f" weight="0.5pt" joinstyle="round"/>
                  <v:imagedata o:title=""/>
                  <o:lock v:ext="edit" aspectratio="f"/>
                  <v:textbox>
                    <w:txbxContent>
                      <w:p>
                        <w:pPr>
                          <w:ind w:firstLine="0" w:firstLineChars="0"/>
                          <w:rPr>
                            <w:sz w:val="21"/>
                            <w:szCs w:val="21"/>
                          </w:rPr>
                        </w:pPr>
                        <w:r>
                          <w:rPr>
                            <w:rFonts w:hint="eastAsia"/>
                            <w:sz w:val="21"/>
                            <w:szCs w:val="21"/>
                          </w:rPr>
                          <w:t xml:space="preserve">降噪措施 </w:t>
                        </w:r>
                      </w:p>
                    </w:txbxContent>
                  </v:textbox>
                </v:shape>
                <v:shape id="Text Box 660" o:spid="_x0000_s1026" o:spt="202" type="#_x0000_t202" style="position:absolute;left:14784;top:639325;height:545;width:1366;" fillcolor="#FFFFFF" filled="t" stroked="f" coordsize="21600,21600" o:gfxdata="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N3A1c2zAAAA2wAAAA8AAAAA&#10;AAAAAQAgAAAAIgAAAGRycy9kb3ducmV2LnhtbFBLAQIUABQAAAAIAIdO4kAzLwWeOwAAADkAAAAQ&#10;AAAAAAAAAAEAIAAAAAIBAABkcnMvc2hhcGV4bWwueG1sUEsFBgAAAAAGAAYAWwEAAKwDAAAAAA==&#10;">
                  <v:fill on="t" focussize="0,0"/>
                  <v:stroke on="f" weight="0.5pt" joinstyle="round"/>
                  <v:imagedata o:title=""/>
                  <o:lock v:ext="edit" aspectratio="f"/>
                  <v:textbox>
                    <w:txbxContent>
                      <w:p>
                        <w:pPr>
                          <w:ind w:firstLine="0" w:firstLineChars="0"/>
                          <w:rPr>
                            <w:sz w:val="21"/>
                            <w:szCs w:val="21"/>
                          </w:rPr>
                        </w:pPr>
                        <w:r>
                          <w:rPr>
                            <w:rFonts w:hint="eastAsia"/>
                            <w:sz w:val="21"/>
                            <w:szCs w:val="21"/>
                          </w:rPr>
                          <w:t xml:space="preserve">冷冻库暂存 </w:t>
                        </w:r>
                      </w:p>
                    </w:txbxContent>
                  </v:textbox>
                </v:shape>
                <v:shape id="Text Box 659" o:spid="_x0000_s1026" o:spt="202" type="#_x0000_t202" style="position:absolute;left:12865;top:639296;height:545;width:1845;" fillcolor="#FFFFFF" filled="t" stroked="f" coordsize="21600,21600" o:gfxdata="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GjRltAAAANwAAAAPAAAA&#10;AAAAAAEAIAAAACIAAABkcnMvZG93bnJldi54bWxQSwECFAAUAAAACACHTuJAMy8FnjsAAAA5AAAA&#10;EAAAAAAAAAABACAAAAADAQAAZHJzL3NoYXBleG1sLnhtbFBLBQYAAAAABgAGAFsBAACtAwAAAAA=&#10;">
                  <v:fill on="t" focussize="0,0"/>
                  <v:stroke on="f" weight="0.5pt" joinstyle="round"/>
                  <v:imagedata o:title=""/>
                  <o:lock v:ext="edit" aspectratio="f"/>
                  <v:textbox>
                    <w:txbxContent>
                      <w:p>
                        <w:pPr>
                          <w:ind w:firstLine="0" w:firstLineChars="0"/>
                          <w:rPr>
                            <w:sz w:val="21"/>
                            <w:szCs w:val="21"/>
                          </w:rPr>
                        </w:pPr>
                        <w:r>
                          <w:rPr>
                            <w:rFonts w:hint="eastAsia"/>
                            <w:sz w:val="21"/>
                            <w:szCs w:val="21"/>
                          </w:rPr>
                          <w:t xml:space="preserve">风机、水帘除臭 </w:t>
                        </w:r>
                      </w:p>
                    </w:txbxContent>
                  </v:textbox>
                </v:shape>
                <v:shape id="文本框 42" o:spid="_x0000_s1026" o:spt="202" type="#_x0000_t202" style="position:absolute;left:10690;top:639610;height:395;width:961;" fillcolor="#FFFFFF" filled="t" stroked="f" coordsize="21600,21600" o:gfxdata="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Eta6+tAAAANwAAAAPAAAA&#10;AAAAAAEAIAAAACIAAABkcnMvZG93bnJldi54bWxQSwECFAAUAAAACACHTuJAMy8FnjsAAAA5AAAA&#10;EAAAAAAAAAABACAAAAADAQAAZHJzL3NoYXBleG1sLnhtbFBLBQYAAAAABgAGAFsBAACtAwAAAAA=&#10;">
                  <v:fill on="t" focussize="0,0"/>
                  <v:stroke on="f" weight="0.5pt" joinstyle="round"/>
                  <v:imagedata o:title=""/>
                  <o:lock v:ext="edit" aspectratio="f"/>
                  <v:textbox>
                    <w:txbxContent>
                      <w:p>
                        <w:pPr>
                          <w:ind w:firstLine="0" w:firstLineChars="0"/>
                          <w:rPr>
                            <w:sz w:val="21"/>
                            <w:szCs w:val="21"/>
                          </w:rPr>
                        </w:pPr>
                        <w:r>
                          <w:rPr>
                            <w:rFonts w:hint="eastAsia"/>
                            <w:sz w:val="21"/>
                            <w:szCs w:val="21"/>
                          </w:rPr>
                          <w:t xml:space="preserve">集污池 </w:t>
                        </w:r>
                      </w:p>
                    </w:txbxContent>
                  </v:textbox>
                </v:shape>
                <v:shape id="AutoShape 661" o:spid="_x0000_s1026" o:spt="32" type="#_x0000_t32" style="position:absolute;left:15414;top:638836;height:449;width:0;" filled="f" stroked="t" coordsize="21600,21600" o:gfxdata="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51" o:spid="_x0000_s1026" o:spt="32" type="#_x0000_t32" style="position:absolute;left:10238;top:639150;height:2;width:1923;" filled="f" stroked="t" coordsize="21600,21600" o:gfxdata="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y/u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44" o:spid="_x0000_s1026" o:spt="32" type="#_x0000_t32" style="position:absolute;left:11124;top:640914;height:449;width:0;" filled="f" stroked="t" coordsize="21600,21600" o:gfxdata="UEsDBAoAAAAAAIdO4kAAAAAAAAAAAAAAAAAEAAAAZHJzL1BLAwQUAAAACACHTuJACYGjg78AAADc&#10;AAAADwAAAGRycy9kb3ducmV2LnhtbEWPW2sCMRSE3wv+h3CEvtWsFhZ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Bo4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61" o:spid="_x0000_s1026" o:spt="32" type="#_x0000_t32" style="position:absolute;left:13764;top:638806;height:449;width:0;" filled="f" stroked="t" coordsize="21600,21600" o:gfxdata="UEsDBAoAAAAAAIdO4kAAAAAAAAAAAAAAAAAEAAAAZHJzL1BLAwQUAAAACACHTuJAhmg7978AAADc&#10;AAAADwAAAGRycy9kb3ducmV2LnhtbEWPW2sCMRSE3wv+h3CEvtWsUhZ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o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51" o:spid="_x0000_s1026" o:spt="32" type="#_x0000_t32" style="position:absolute;left:10211;top:638792;flip:x y;height:373;width:12;" filled="f" stroked="t" coordsize="21600,21600" o:gfxdata="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5LM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661" o:spid="_x0000_s1026" o:spt="32" type="#_x0000_t32" style="position:absolute;left:17229;top:638821;height:449;width:0;" filled="f" stroked="t" coordsize="21600,21600" o:gfxdata="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2A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51" o:spid="_x0000_s1026" o:spt="32" type="#_x0000_t32" style="position:absolute;left:12131;top:638777;flip:x y;height:373;width:12;" filled="f" stroked="t" coordsize="21600,21600" o:gfxdata="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nFy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w:pict>
          </mc:Fallback>
        </mc:AlternateContent>
      </w:r>
    </w:p>
    <w:p>
      <w:pPr>
        <w:ind w:firstLine="480"/>
      </w:pPr>
    </w:p>
    <w:p>
      <w:pPr>
        <w:ind w:firstLine="480"/>
      </w:pPr>
    </w:p>
    <w:p>
      <w:pPr>
        <w:ind w:firstLine="480"/>
      </w:pPr>
    </w:p>
    <w:p>
      <w:pPr>
        <w:ind w:firstLine="482"/>
        <w:rPr>
          <w:b/>
        </w:rPr>
      </w:pPr>
    </w:p>
    <w:p>
      <w:pPr>
        <w:ind w:firstLine="482"/>
        <w:rPr>
          <w:b/>
        </w:rPr>
      </w:pPr>
    </w:p>
    <w:p>
      <w:pPr>
        <w:ind w:firstLine="480"/>
      </w:pPr>
    </w:p>
    <w:p>
      <w:pPr>
        <w:ind w:firstLine="480"/>
      </w:pPr>
    </w:p>
    <w:p>
      <w:pPr>
        <w:pStyle w:val="12"/>
        <w:ind w:firstLine="480"/>
      </w:pPr>
    </w:p>
    <w:p>
      <w:pPr>
        <w:ind w:firstLine="480"/>
      </w:pPr>
    </w:p>
    <w:p>
      <w:pPr>
        <w:ind w:firstLine="480"/>
      </w:pPr>
    </w:p>
    <w:p>
      <w:pPr>
        <w:ind w:firstLine="480"/>
      </w:pPr>
    </w:p>
    <w:p>
      <w:pPr>
        <w:ind w:firstLine="480"/>
      </w:pPr>
    </w:p>
    <w:p>
      <w:pPr>
        <w:ind w:firstLine="480"/>
      </w:pPr>
    </w:p>
    <w:p>
      <w:pPr>
        <w:ind w:firstLine="480"/>
      </w:pPr>
    </w:p>
    <w:p>
      <w:pPr>
        <w:pStyle w:val="11"/>
        <w:ind w:firstLine="2108" w:firstLineChars="1000"/>
        <w:jc w:val="both"/>
      </w:pPr>
    </w:p>
    <w:p>
      <w:pPr>
        <w:pStyle w:val="11"/>
        <w:ind w:left="0" w:leftChars="0"/>
      </w:pPr>
      <w:r>
        <w:rPr>
          <w:rFonts w:hint="eastAsia"/>
        </w:rPr>
        <w:t>图</w:t>
      </w:r>
      <w:r>
        <w:t xml:space="preserve">3-2   </w:t>
      </w:r>
      <w:r>
        <w:rPr>
          <w:rFonts w:hint="eastAsia"/>
        </w:rPr>
        <w:t>项目工艺流程及产污节点图</w:t>
      </w:r>
    </w:p>
    <w:p>
      <w:pPr>
        <w:ind w:firstLine="480"/>
      </w:pPr>
      <w:r>
        <w:rPr>
          <w:rFonts w:hint="eastAsia"/>
        </w:rPr>
        <w:t>二、养殖工艺说明</w:t>
      </w:r>
    </w:p>
    <w:p>
      <w:pPr>
        <w:ind w:firstLine="480"/>
      </w:pPr>
      <w:r>
        <w:rPr>
          <w:rFonts w:hint="eastAsia"/>
        </w:rPr>
        <w:t>本项目采用集约化养猪工艺，集约化养猪的目的是要摆脱分散的、传统的季节性的生产方式，建立工厂化、程序化、常年均衡的养猪生产体系，从而达到生产的高水平和经营的高效益。</w:t>
      </w:r>
    </w:p>
    <w:p>
      <w:pPr>
        <w:ind w:firstLine="480"/>
      </w:pPr>
      <w:r>
        <w:rPr>
          <w:rFonts w:hint="eastAsia"/>
        </w:rPr>
        <w:t>（一）猪的饲养</w:t>
      </w:r>
    </w:p>
    <w:p>
      <w:pPr>
        <w:ind w:firstLine="480"/>
      </w:pPr>
      <w:r>
        <w:rPr>
          <w:rFonts w:hint="eastAsia"/>
        </w:rPr>
        <w:t>本工程外购仔猪进入育肥场，仔猪应供应充足的清洁饮水。及时清除舍内粪尿和污水，并隔天对猪舍和猪体消毒</w:t>
      </w:r>
      <w:r>
        <w:t>1</w:t>
      </w:r>
      <w:r>
        <w:rPr>
          <w:rFonts w:hint="eastAsia"/>
        </w:rPr>
        <w:t>次，每</w:t>
      </w:r>
      <w:r>
        <w:t>3d</w:t>
      </w:r>
      <w:r>
        <w:rPr>
          <w:rFonts w:hint="eastAsia"/>
        </w:rPr>
        <w:t>对仔猪舍周边环境消毒</w:t>
      </w:r>
      <w:r>
        <w:t>1</w:t>
      </w:r>
      <w:r>
        <w:rPr>
          <w:rFonts w:hint="eastAsia"/>
        </w:rPr>
        <w:t>次，做好养殖区的定期消毒工作。</w:t>
      </w:r>
    </w:p>
    <w:p>
      <w:pPr>
        <w:ind w:firstLine="480"/>
      </w:pPr>
      <w:r>
        <w:rPr>
          <w:rFonts w:hint="eastAsia"/>
        </w:rPr>
        <w:t>（二）消毒方案</w:t>
      </w:r>
    </w:p>
    <w:p>
      <w:pPr>
        <w:ind w:firstLine="480"/>
      </w:pPr>
      <w:r>
        <w:rPr>
          <w:rFonts w:hint="eastAsia"/>
        </w:rPr>
        <w:t>猪群的消毒分为定期消毒和空舍消毒。定期消毒是指带猪消毒、场区消毒和平时的一些规定性消毒。空舍消毒就是栋舍的猪全部转出或出栏后消毒。</w:t>
      </w:r>
    </w:p>
    <w:p>
      <w:pPr>
        <w:ind w:firstLine="480"/>
      </w:pPr>
      <w:r>
        <w:rPr>
          <w:rFonts w:hint="eastAsia"/>
        </w:rPr>
        <w:t>（</w:t>
      </w:r>
      <w:r>
        <w:t>1</w:t>
      </w:r>
      <w:r>
        <w:rPr>
          <w:rFonts w:hint="eastAsia"/>
        </w:rPr>
        <w:t>）空舍消毒遵循的程序：清扫、消毒、冲洗、熏蒸消毒</w:t>
      </w:r>
    </w:p>
    <w:p>
      <w:pPr>
        <w:ind w:firstLine="480"/>
        <w:rPr>
          <w:highlight w:val="yellow"/>
        </w:rPr>
      </w:pPr>
      <w:r>
        <w:rPr>
          <w:rFonts w:hint="eastAsia"/>
        </w:rPr>
        <w:t>①空舍后，彻底清除舍内的残料、垃圾及门窗尘埃等，并整理舍内用具。</w:t>
      </w:r>
    </w:p>
    <w:p>
      <w:pPr>
        <w:ind w:firstLine="480"/>
      </w:pPr>
      <w:r>
        <w:rPr>
          <w:rFonts w:hint="eastAsia"/>
        </w:rPr>
        <w:t>②舍内设备、用具清洗，对所有的物体表面进行低压喷洒，浓度为</w:t>
      </w:r>
      <w:r>
        <w:t>2%-3%</w:t>
      </w:r>
      <w:r>
        <w:rPr>
          <w:rFonts w:hint="eastAsia"/>
        </w:rPr>
        <w:t>火碱，使其充分湿润，喷洒的范围包括地面、猪栏、各种用具等，浸润</w:t>
      </w:r>
      <w:r>
        <w:t>1</w:t>
      </w:r>
      <w:r>
        <w:rPr>
          <w:rFonts w:hint="eastAsia"/>
        </w:rPr>
        <w:t>小时后再用高压冲洗机彻底冲洗地面、食槽、猪栏等各种用具，直至干净清洁为止。在冲洗的同时，要注意产房的烤灯插座及各栋电源的开关及插座。</w:t>
      </w:r>
    </w:p>
    <w:p>
      <w:pPr>
        <w:ind w:firstLine="480"/>
      </w:pPr>
      <w:r>
        <w:rPr>
          <w:rFonts w:hint="eastAsia"/>
        </w:rPr>
        <w:t>③用广谱消毒药彻底消毒空舍所有表面、设备、用具，不留死角。消毒后通风干燥空置</w:t>
      </w:r>
      <w:r>
        <w:t>5-7</w:t>
      </w:r>
      <w:r>
        <w:rPr>
          <w:rFonts w:hint="eastAsia"/>
        </w:rPr>
        <w:t>天。</w:t>
      </w:r>
    </w:p>
    <w:p>
      <w:pPr>
        <w:ind w:firstLine="480"/>
      </w:pPr>
      <w:r>
        <w:rPr>
          <w:rFonts w:hint="eastAsia"/>
        </w:rPr>
        <w:t>④进猪前</w:t>
      </w:r>
      <w:r>
        <w:t>2</w:t>
      </w:r>
      <w:r>
        <w:rPr>
          <w:rFonts w:hint="eastAsia"/>
        </w:rPr>
        <w:t>天恢复舍内布置，并检查维修设备用具，维修好后再用广谱药消毒一次。</w:t>
      </w:r>
    </w:p>
    <w:p>
      <w:pPr>
        <w:ind w:firstLine="480"/>
      </w:pPr>
      <w:r>
        <w:rPr>
          <w:rFonts w:hint="eastAsia"/>
        </w:rPr>
        <w:t>（</w:t>
      </w:r>
      <w:r>
        <w:t>2</w:t>
      </w:r>
      <w:r>
        <w:rPr>
          <w:rFonts w:hint="eastAsia"/>
        </w:rPr>
        <w:t>）定期消毒</w:t>
      </w:r>
    </w:p>
    <w:p>
      <w:pPr>
        <w:ind w:firstLine="480"/>
      </w:pPr>
      <w:r>
        <w:rPr>
          <w:rFonts w:hint="eastAsia"/>
        </w:rPr>
        <w:t>①</w:t>
      </w:r>
      <w:r>
        <w:t>进入生产区的消毒池必须保持溶液的有效浓度，消毒池的氢氧化钠浓度达到3％，每隔三天换一次。</w:t>
      </w:r>
    </w:p>
    <w:p>
      <w:pPr>
        <w:ind w:firstLine="480"/>
      </w:pPr>
      <w:r>
        <w:rPr>
          <w:rFonts w:hint="eastAsia"/>
        </w:rPr>
        <w:t>②</w:t>
      </w:r>
      <w:r>
        <w:t>外出员工或场外人员进入生产区须经过</w:t>
      </w:r>
      <w:r>
        <w:rPr>
          <w:rFonts w:hint="eastAsia"/>
        </w:rPr>
        <w:t>“</w:t>
      </w:r>
      <w:r>
        <w:t>踏、照、洗、换</w:t>
      </w:r>
      <w:r>
        <w:rPr>
          <w:rFonts w:hint="eastAsia"/>
        </w:rPr>
        <w:t>”</w:t>
      </w:r>
      <w:r>
        <w:t>四步消毒程序方能进入场区，即踏火碱池或垫、照紫外线5-10分钟、进洗澡间洗澡、更换工作服和鞋。</w:t>
      </w:r>
    </w:p>
    <w:p>
      <w:pPr>
        <w:ind w:firstLine="480"/>
      </w:pPr>
      <w:r>
        <w:t>③进入场区的物品照紫外线30分钟后方可进生产区，不怕湿的物品用浸润或消毒后进入场区，或熏蒸一次。</w:t>
      </w:r>
    </w:p>
    <w:p>
      <w:pPr>
        <w:ind w:firstLine="480"/>
      </w:pPr>
      <w:r>
        <w:t>④外购猪车辆在装猪前严格喷雾消毒2次，装猪后对使用过的装猪台、秤、过道及时进行清理、冲洗、消毒。</w:t>
      </w:r>
    </w:p>
    <w:p>
      <w:pPr>
        <w:ind w:firstLine="480"/>
      </w:pPr>
      <w:r>
        <w:t>⑤各单元门口有消毒池，人员进出时，双脚必须踏入消毒池，消毒池必须保持溶液的有效浓度。</w:t>
      </w:r>
    </w:p>
    <w:p>
      <w:pPr>
        <w:ind w:firstLine="480"/>
      </w:pPr>
      <w:r>
        <w:t>⑥各栋舍内按规定打扫卫生后带猪喷雾消毒一次，外环境根据情况消毒，每周2次或每周3次或每周1次。舍外生产区、装猪台都要消毒不留死角。消毒药轮流交叉使用。</w:t>
      </w:r>
    </w:p>
    <w:p>
      <w:pPr>
        <w:ind w:firstLine="480"/>
      </w:pPr>
      <w:r>
        <w:rPr>
          <w:rFonts w:hint="eastAsia"/>
        </w:rPr>
        <w:t>（三）</w:t>
      </w:r>
      <w:r>
        <w:t>防疫</w:t>
      </w:r>
      <w:r>
        <w:rPr>
          <w:rFonts w:hint="eastAsia"/>
        </w:rPr>
        <w:t>制度</w:t>
      </w:r>
    </w:p>
    <w:p>
      <w:pPr>
        <w:ind w:firstLine="480"/>
      </w:pPr>
      <w:r>
        <w:rPr>
          <w:rFonts w:hint="eastAsia"/>
        </w:rPr>
        <w:t>防疫制度：</w:t>
      </w:r>
    </w:p>
    <w:p>
      <w:pPr>
        <w:ind w:firstLine="480"/>
      </w:pPr>
      <w:r>
        <w:rPr>
          <w:rFonts w:hint="eastAsia"/>
        </w:rPr>
        <w:t>①更衣换鞋制度：凡是进入饲养场院的工作人员，一律更衣换鞋；</w:t>
      </w:r>
    </w:p>
    <w:p>
      <w:pPr>
        <w:ind w:firstLine="480"/>
      </w:pPr>
      <w:r>
        <w:rPr>
          <w:rFonts w:hint="eastAsia"/>
        </w:rPr>
        <w:t>②消毒制度：凡进入饲养场的人和车辆等都需要经过消毒；</w:t>
      </w:r>
    </w:p>
    <w:p>
      <w:pPr>
        <w:ind w:firstLine="480"/>
      </w:pPr>
      <w:r>
        <w:rPr>
          <w:rFonts w:hint="eastAsia"/>
        </w:rPr>
        <w:t>③防疫隔离制度：凡新引进的猪种在厂外隔离二个月以上，隔离观察期间进行测温和血清学及微生物检查，确认健康无病方能进场。</w:t>
      </w:r>
    </w:p>
    <w:p>
      <w:pPr>
        <w:ind w:firstLine="480"/>
      </w:pPr>
      <w:r>
        <w:rPr>
          <w:rFonts w:hint="eastAsia"/>
        </w:rPr>
        <w:t>④免疫程序制度：制定一套合理的免疫程序和实验室检测制度，做到“以防为主、防治结合”。</w:t>
      </w:r>
    </w:p>
    <w:p>
      <w:pPr>
        <w:ind w:firstLine="480"/>
      </w:pPr>
      <w:r>
        <w:rPr>
          <w:rFonts w:hint="eastAsia"/>
        </w:rPr>
        <w:t>⑤诊疗程序程序制度：配备专职兽医，加强防治结合。要求兽医每天进入各畜禽舍观察畜禽群，发现病情做好记录并向技术部门备案，一旦发现疫情，做到早、严、快，并向上级部门回报。</w:t>
      </w:r>
    </w:p>
    <w:p>
      <w:pPr>
        <w:ind w:firstLine="480"/>
      </w:pPr>
      <w:r>
        <w:rPr>
          <w:rFonts w:hint="eastAsia"/>
        </w:rPr>
        <w:t>产生的医疗废弃物均通过外运至医疗垃圾回收站处理，养殖场不单独处理该类废弃物。</w:t>
      </w:r>
    </w:p>
    <w:p>
      <w:pPr>
        <w:ind w:firstLine="480"/>
      </w:pPr>
      <w:r>
        <w:rPr>
          <w:rFonts w:hint="eastAsia"/>
        </w:rPr>
        <w:t>（四）清粪工艺</w:t>
      </w:r>
    </w:p>
    <w:p>
      <w:pPr>
        <w:ind w:firstLine="480"/>
      </w:pPr>
      <w:r>
        <w:rPr>
          <w:rFonts w:hint="eastAsia"/>
        </w:rPr>
        <w:t>项目猪舍均采用水泥漏缝地板铺设，猪饲养产生的粪尿通过水泥漏缝直接进入猪舍下面的刮粪池中，未自然漏入的少部分粪便，采用人工清理的方式，扫入猪舍地下刮粪池。</w:t>
      </w:r>
      <w:r>
        <w:t>尿及污水从下水道流出</w:t>
      </w:r>
      <w:r>
        <w:rPr>
          <w:rFonts w:hint="eastAsia"/>
        </w:rPr>
        <w:t>进入集污池</w:t>
      </w:r>
      <w:r>
        <w:t>。</w:t>
      </w:r>
      <w:r>
        <w:rPr>
          <w:rFonts w:hint="eastAsia"/>
        </w:rPr>
        <w:t>集污池内的猪粪尿用于发酵床发酵。</w:t>
      </w:r>
    </w:p>
    <w:p>
      <w:pPr>
        <w:ind w:firstLine="480"/>
      </w:pPr>
      <w:r>
        <w:rPr>
          <w:rFonts w:hint="eastAsia"/>
        </w:rPr>
        <w:t>（五）异位发酵床工艺操作流程</w:t>
      </w:r>
    </w:p>
    <w:p>
      <w:pPr>
        <w:ind w:firstLine="480"/>
        <w:rPr>
          <w:highlight w:val="yellow"/>
        </w:rPr>
      </w:pPr>
      <w:r>
        <w:rPr>
          <w:rFonts w:hint="eastAsia"/>
        </w:rPr>
        <w:t>本项目粪污均采用微生物异位发酵床处理，发酵床采用钢架结构+阳光顶棚，四周设有帷幕，发酵床长40m，发酵池池体内宽6m，共设1格，深均为2m。发酵池配置一套翻耙机用于垫料的翻耙，翻耙机主要由翻耙电机、行走电机、主轴、翻耙齿等组成。</w:t>
      </w:r>
    </w:p>
    <w:p>
      <w:pPr>
        <w:ind w:firstLine="480"/>
      </w:pPr>
      <w:r>
        <w:rPr>
          <w:rFonts w:hint="eastAsia"/>
        </w:rPr>
        <w:t>（1）垫料的选择与铺设</w:t>
      </w:r>
    </w:p>
    <w:p>
      <w:pPr>
        <w:ind w:firstLine="480"/>
      </w:pPr>
      <w:r>
        <w:rPr>
          <w:rFonts w:hint="eastAsia"/>
        </w:rPr>
        <w:t>按每配比100m</w:t>
      </w:r>
      <w:r>
        <w:rPr>
          <w:rFonts w:hint="eastAsia"/>
          <w:vertAlign w:val="superscript"/>
        </w:rPr>
        <w:t>3</w:t>
      </w:r>
      <w:r>
        <w:rPr>
          <w:rFonts w:hint="eastAsia"/>
        </w:rPr>
        <w:t>发酵床垫料，需要稻壳2t，锯末4t进行发酵床垫料的装填铺设，装填高度为2.5m左右。</w:t>
      </w:r>
    </w:p>
    <w:p>
      <w:pPr>
        <w:ind w:firstLine="480"/>
      </w:pPr>
      <w:r>
        <w:rPr>
          <w:rFonts w:hint="eastAsia"/>
        </w:rPr>
        <w:t>（2）菌种活化与上粪</w:t>
      </w:r>
    </w:p>
    <w:p>
      <w:pPr>
        <w:ind w:firstLine="480"/>
      </w:pPr>
      <w:r>
        <w:rPr>
          <w:rFonts w:hint="eastAsia"/>
        </w:rPr>
        <w:t>将集污池中的粪污用潜污泵喷洒在垫料上并用翻耙机进行翻耙，一天两次，让垫料湿度保持在45%左右。第一次预发菌种量，以每立方垫料添加170g菌种为标准，加入菌种与玉米粉重量比为1：10拌均匀，然后将拌好的菌种均匀洒到发酵床来回翻耙。</w:t>
      </w:r>
    </w:p>
    <w:p>
      <w:pPr>
        <w:ind w:firstLine="480"/>
      </w:pPr>
      <w:r>
        <w:rPr>
          <w:rFonts w:hint="eastAsia"/>
        </w:rPr>
        <w:t>（3）日常检测</w:t>
      </w:r>
    </w:p>
    <w:p>
      <w:pPr>
        <w:ind w:firstLine="480"/>
      </w:pPr>
      <w:r>
        <w:rPr>
          <w:rFonts w:hint="eastAsia"/>
        </w:rPr>
        <w:t>每天测定垫料温度和预估垫料水分，并在《发酵床运行记录表》记录，冬季温度要求不低于40℃，夏季温度不低于50℃。</w:t>
      </w:r>
    </w:p>
    <w:p>
      <w:pPr>
        <w:ind w:firstLine="480"/>
      </w:pPr>
      <w:r>
        <w:rPr>
          <w:rFonts w:hint="eastAsia"/>
        </w:rPr>
        <w:t>（4）粪污添加</w:t>
      </w:r>
    </w:p>
    <w:p>
      <w:pPr>
        <w:ind w:firstLine="480"/>
      </w:pPr>
      <w:r>
        <w:rPr>
          <w:rFonts w:hint="eastAsia"/>
        </w:rPr>
        <w:t>夏季每1-2天上粪一次，冬季每2-3天上粪一次，边喷洒边翻耙。一般情况下每天翻耙不低于2次，如垫料水分较湿的情况下可以增加翻耙频率。</w:t>
      </w:r>
    </w:p>
    <w:p>
      <w:pPr>
        <w:ind w:firstLine="480"/>
      </w:pPr>
      <w:r>
        <w:rPr>
          <w:rFonts w:hint="eastAsia"/>
        </w:rPr>
        <w:t>（5）菌种与垫料的补充</w:t>
      </w:r>
    </w:p>
    <w:p>
      <w:pPr>
        <w:ind w:firstLine="480"/>
      </w:pPr>
      <w:r>
        <w:rPr>
          <w:rFonts w:hint="eastAsia"/>
        </w:rPr>
        <w:t>一般2个月补加1次菌种，按每立方垫料添加45g菌种；运行中若当垫料低于翻耙齿中轴10cm时，需及时补充，避免死床。</w:t>
      </w:r>
    </w:p>
    <w:p>
      <w:pPr>
        <w:ind w:firstLine="480"/>
      </w:pPr>
      <w:r>
        <w:rPr>
          <w:rFonts w:hint="eastAsia"/>
        </w:rPr>
        <w:t>（6）通风换气</w:t>
      </w:r>
    </w:p>
    <w:p>
      <w:pPr>
        <w:ind w:firstLine="480"/>
      </w:pPr>
      <w:r>
        <w:t>每天早晨翻耙前帷幕全部打开，确保全天通风，晚上关闭到</w:t>
      </w:r>
      <w:r>
        <w:rPr>
          <w:rFonts w:hint="eastAsia"/>
        </w:rPr>
        <w:t>10cm高度，不用全密封。</w:t>
      </w:r>
    </w:p>
    <w:p>
      <w:pPr>
        <w:ind w:firstLine="480"/>
      </w:pPr>
      <w:r>
        <w:rPr>
          <w:rFonts w:hint="eastAsia"/>
        </w:rPr>
        <w:t>（7）注意事项</w:t>
      </w:r>
    </w:p>
    <w:p>
      <w:pPr>
        <w:ind w:firstLine="480"/>
      </w:pPr>
      <w:r>
        <w:rPr>
          <w:rFonts w:hint="eastAsia"/>
        </w:rPr>
        <w:t>①</w:t>
      </w:r>
      <w:r>
        <w:t>从源头上最大限度地减少粪污产生量。全场雨水、污水应彻底分流；采用全漏缝免冲洗清粪工艺；安装水位计饮水器或碗式饮水器代替鸭嘴式饮水器；清栏后，应用高压（200Pa左右）冲水枪冲洗；加强猪场用水管理，防止“跑、冒、滴、漏”现象发生。</w:t>
      </w:r>
    </w:p>
    <w:p>
      <w:pPr>
        <w:ind w:firstLine="480"/>
      </w:pPr>
      <w:r>
        <w:rPr>
          <w:rFonts w:hint="eastAsia"/>
        </w:rPr>
        <w:t>②</w:t>
      </w:r>
      <w:r>
        <w:t>严防发酵池渗漏。发酵池地面及墙体内侧面应作防渗漏处理，确保污水不渗出。</w:t>
      </w:r>
    </w:p>
    <w:p>
      <w:pPr>
        <w:ind w:firstLine="480"/>
      </w:pPr>
      <w:r>
        <w:rPr>
          <w:rFonts w:hint="eastAsia"/>
        </w:rPr>
        <w:t>③</w:t>
      </w:r>
      <w:r>
        <w:t>严格控制粪污喷洒量。发酵基质每日粪污喷淋量不得超过30kg/m</w:t>
      </w:r>
      <w:r>
        <w:rPr>
          <w:vertAlign w:val="superscript"/>
        </w:rPr>
        <w:t>3</w:t>
      </w:r>
      <w:r>
        <w:t>。</w:t>
      </w:r>
    </w:p>
    <w:p>
      <w:pPr>
        <w:ind w:firstLine="480"/>
      </w:pPr>
      <w:r>
        <w:rPr>
          <w:rFonts w:hint="eastAsia"/>
        </w:rPr>
        <w:t>（8）垫料的去向</w:t>
      </w:r>
    </w:p>
    <w:p>
      <w:pPr>
        <w:ind w:firstLine="480"/>
      </w:pPr>
      <w:r>
        <w:rPr>
          <w:rFonts w:hint="eastAsia"/>
        </w:rPr>
        <w:t>项目猪粪进入了发酵床后经发酵床进行分解30%，剩余部分与更换下来的废弃垫料一起可作为肥料，这是由于发酵分解充分，无害化程度高，富含营养元素等，可作为优质的有机肥料外售给周边的农户，进行综合利用。发酵床干垫料（含垫料和干猪粪）的产生量1690.21</w:t>
      </w:r>
      <w:r>
        <w:t>t/a</w:t>
      </w:r>
      <w:r>
        <w:rPr>
          <w:rFonts w:hint="eastAsia"/>
        </w:rPr>
        <w:t>，经分解后的排放量为1682.76</w:t>
      </w:r>
      <w:r>
        <w:t>t/a</w:t>
      </w:r>
      <w:r>
        <w:rPr>
          <w:rFonts w:hint="eastAsia"/>
        </w:rPr>
        <w:t>。</w:t>
      </w:r>
    </w:p>
    <w:p>
      <w:pPr>
        <w:ind w:firstLine="480"/>
        <w:rPr>
          <w:highlight w:val="yellow"/>
        </w:rPr>
      </w:pPr>
      <w:r>
        <w:rPr>
          <w:rFonts w:hint="eastAsia"/>
        </w:rPr>
        <w:t>项目猪舍猪尿、消毒及生活污水产生总量为5849.4m</w:t>
      </w:r>
      <w:r>
        <w:rPr>
          <w:rFonts w:hint="eastAsia"/>
          <w:vertAlign w:val="superscript"/>
        </w:rPr>
        <w:t>3</w:t>
      </w:r>
      <w:r>
        <w:rPr>
          <w:rFonts w:hint="eastAsia"/>
        </w:rPr>
        <w:t>/a，项目废水进入发酵床进行处理，发酵床废水大部分约90%将随着发酵而自然蒸发，小部分约10%留在垫料中，因此，更换垫料总量：2275.15</w:t>
      </w:r>
      <w:r>
        <w:t>t/a</w:t>
      </w:r>
      <w:r>
        <w:rPr>
          <w:rFonts w:hint="eastAsia"/>
        </w:rPr>
        <w:t>（含水）。</w:t>
      </w:r>
    </w:p>
    <w:p>
      <w:pPr>
        <w:ind w:firstLine="480"/>
      </w:pPr>
      <w:r>
        <w:rPr>
          <w:rFonts w:hint="eastAsia"/>
        </w:rPr>
        <w:t>（六</w:t>
      </w:r>
      <w:r>
        <w:t>）</w:t>
      </w:r>
      <w:r>
        <w:rPr>
          <w:rFonts w:hint="eastAsia"/>
        </w:rPr>
        <w:t>饲料</w:t>
      </w:r>
    </w:p>
    <w:p>
      <w:pPr>
        <w:ind w:firstLine="480"/>
        <w:rPr>
          <w:highlight w:val="yellow"/>
        </w:rPr>
      </w:pPr>
      <w:r>
        <w:t xml:space="preserve"> 本项目养猪合作社所用的饲料均</w:t>
      </w:r>
      <w:r>
        <w:rPr>
          <w:rFonts w:hint="eastAsia"/>
        </w:rPr>
        <w:t>外购</w:t>
      </w:r>
      <w:r>
        <w:t>，无需</w:t>
      </w:r>
      <w:r>
        <w:rPr>
          <w:rFonts w:hint="eastAsia"/>
        </w:rPr>
        <w:t>在厂内</w:t>
      </w:r>
      <w:r>
        <w:t>加工。</w:t>
      </w:r>
    </w:p>
    <w:p>
      <w:pPr>
        <w:pStyle w:val="4"/>
        <w:spacing w:before="48" w:after="48"/>
      </w:pPr>
      <w:bookmarkStart w:id="149" w:name="_Toc5190"/>
      <w:bookmarkStart w:id="150" w:name="_Toc375672001"/>
      <w:r>
        <w:rPr>
          <w:rFonts w:hint="eastAsia"/>
        </w:rPr>
        <w:t>2.3</w:t>
      </w:r>
      <w:r>
        <w:t>物料平衡与水平衡分析</w:t>
      </w:r>
      <w:bookmarkEnd w:id="149"/>
    </w:p>
    <w:p>
      <w:pPr>
        <w:ind w:firstLine="480"/>
      </w:pPr>
      <w:r>
        <w:rPr>
          <w:rFonts w:hint="eastAsia"/>
        </w:rPr>
        <w:t>猪只的日饮用水量约为其体重的10%-15%，在猪的各个生产阶段的饮用量也有差别，本环评通过类比调查分析同类养殖项目，并结合当地实际情况，对原辅料和资源能源消耗情况进行量化，项目用水量参数见表2.3-1，饲料消耗参数见表2.3-2。</w:t>
      </w:r>
    </w:p>
    <w:p>
      <w:pPr>
        <w:pStyle w:val="11"/>
      </w:pPr>
      <w:r>
        <w:t xml:space="preserve">表2.3- </w:t>
      </w:r>
      <w:r>
        <w:fldChar w:fldCharType="begin"/>
      </w:r>
      <w:r>
        <w:instrText xml:space="preserve"> SEQ 表2.3- \* ARABIC </w:instrText>
      </w:r>
      <w:r>
        <w:fldChar w:fldCharType="separate"/>
      </w:r>
      <w:r>
        <w:t>1</w:t>
      </w:r>
      <w:r>
        <w:fldChar w:fldCharType="end"/>
      </w:r>
      <w:r>
        <w:rPr>
          <w:rFonts w:hint="eastAsia"/>
        </w:rPr>
        <w:t xml:space="preserve">   项目用水量参数表</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9"/>
        <w:gridCol w:w="938"/>
        <w:gridCol w:w="1212"/>
        <w:gridCol w:w="1500"/>
        <w:gridCol w:w="1763"/>
        <w:gridCol w:w="26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97" w:type="dxa"/>
            <w:gridSpan w:val="2"/>
            <w:vAlign w:val="center"/>
          </w:tcPr>
          <w:p>
            <w:pPr>
              <w:pStyle w:val="8"/>
              <w:ind w:firstLine="0" w:firstLineChars="0"/>
            </w:pPr>
            <w:r>
              <w:rPr>
                <w:rFonts w:hint="eastAsia"/>
              </w:rPr>
              <w:t>用水种类</w:t>
            </w:r>
          </w:p>
        </w:tc>
        <w:tc>
          <w:tcPr>
            <w:tcW w:w="1212" w:type="dxa"/>
            <w:vAlign w:val="center"/>
          </w:tcPr>
          <w:p>
            <w:pPr>
              <w:pStyle w:val="8"/>
              <w:ind w:firstLine="0" w:firstLineChars="0"/>
            </w:pPr>
            <w:r>
              <w:rPr>
                <w:rFonts w:hint="eastAsia"/>
              </w:rPr>
              <w:t>数量</w:t>
            </w:r>
          </w:p>
        </w:tc>
        <w:tc>
          <w:tcPr>
            <w:tcW w:w="1500" w:type="dxa"/>
            <w:vAlign w:val="center"/>
          </w:tcPr>
          <w:p>
            <w:pPr>
              <w:pStyle w:val="8"/>
              <w:ind w:firstLine="0" w:firstLineChars="0"/>
            </w:pPr>
            <w:r>
              <w:rPr>
                <w:rFonts w:hint="eastAsia"/>
              </w:rPr>
              <w:t>用水定额</w:t>
            </w:r>
          </w:p>
        </w:tc>
        <w:tc>
          <w:tcPr>
            <w:tcW w:w="1763" w:type="dxa"/>
            <w:vAlign w:val="center"/>
          </w:tcPr>
          <w:p>
            <w:pPr>
              <w:pStyle w:val="8"/>
              <w:ind w:firstLine="0" w:firstLineChars="0"/>
            </w:pPr>
            <w:r>
              <w:rPr>
                <w:rFonts w:hint="eastAsia"/>
              </w:rPr>
              <w:t>日用水量（</w:t>
            </w:r>
            <w:r>
              <w:t>m³/d</w:t>
            </w:r>
            <w:r>
              <w:rPr>
                <w:rFonts w:hint="eastAsia"/>
              </w:rPr>
              <w:t>）</w:t>
            </w:r>
          </w:p>
        </w:tc>
        <w:tc>
          <w:tcPr>
            <w:tcW w:w="2659" w:type="dxa"/>
            <w:vAlign w:val="center"/>
          </w:tcPr>
          <w:p>
            <w:pPr>
              <w:pStyle w:val="8"/>
              <w:ind w:firstLine="0" w:firstLineChars="0"/>
            </w:pPr>
            <w:r>
              <w:rPr>
                <w:rFonts w:hint="eastAsia"/>
              </w:rPr>
              <w:t>年用水量（</w:t>
            </w:r>
            <w:r>
              <w:t>m³/a</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659" w:type="dxa"/>
            <w:vMerge w:val="restart"/>
            <w:vAlign w:val="center"/>
          </w:tcPr>
          <w:p>
            <w:pPr>
              <w:pStyle w:val="8"/>
              <w:ind w:firstLine="0" w:firstLineChars="0"/>
            </w:pPr>
            <w:r>
              <w:rPr>
                <w:rFonts w:hint="eastAsia"/>
              </w:rPr>
              <w:t>养殖用水</w:t>
            </w:r>
          </w:p>
          <w:p>
            <w:pPr>
              <w:pStyle w:val="8"/>
              <w:ind w:firstLine="0" w:firstLineChars="0"/>
            </w:pPr>
          </w:p>
        </w:tc>
        <w:tc>
          <w:tcPr>
            <w:tcW w:w="938" w:type="dxa"/>
            <w:vAlign w:val="center"/>
          </w:tcPr>
          <w:p>
            <w:pPr>
              <w:pStyle w:val="8"/>
              <w:ind w:firstLine="0" w:firstLineChars="0"/>
            </w:pPr>
            <w:r>
              <w:rPr>
                <w:rFonts w:hint="eastAsia"/>
              </w:rPr>
              <w:t>保育猪</w:t>
            </w:r>
          </w:p>
        </w:tc>
        <w:tc>
          <w:tcPr>
            <w:tcW w:w="1212" w:type="dxa"/>
            <w:vAlign w:val="center"/>
          </w:tcPr>
          <w:p>
            <w:pPr>
              <w:pStyle w:val="8"/>
              <w:ind w:firstLine="0" w:firstLineChars="0"/>
            </w:pPr>
            <w:r>
              <w:rPr>
                <w:rFonts w:hint="eastAsia"/>
              </w:rPr>
              <w:t>1000头</w:t>
            </w:r>
          </w:p>
        </w:tc>
        <w:tc>
          <w:tcPr>
            <w:tcW w:w="1500" w:type="dxa"/>
            <w:vAlign w:val="center"/>
          </w:tcPr>
          <w:p>
            <w:pPr>
              <w:pStyle w:val="8"/>
              <w:ind w:firstLine="0" w:firstLineChars="0"/>
            </w:pPr>
            <w:r>
              <w:rPr>
                <w:rFonts w:hint="eastAsia"/>
              </w:rPr>
              <w:t>5（</w:t>
            </w:r>
            <w:r>
              <w:t>L/ d·</w:t>
            </w:r>
            <w:r>
              <w:rPr>
                <w:rFonts w:hint="eastAsia"/>
              </w:rPr>
              <w:t>头）</w:t>
            </w:r>
          </w:p>
        </w:tc>
        <w:tc>
          <w:tcPr>
            <w:tcW w:w="1763" w:type="dxa"/>
            <w:vAlign w:val="center"/>
          </w:tcPr>
          <w:p>
            <w:pPr>
              <w:pStyle w:val="8"/>
              <w:ind w:firstLine="0" w:firstLineChars="0"/>
            </w:pPr>
            <w:r>
              <w:rPr>
                <w:rFonts w:hint="eastAsia"/>
              </w:rPr>
              <w:t>5</w:t>
            </w:r>
          </w:p>
        </w:tc>
        <w:tc>
          <w:tcPr>
            <w:tcW w:w="2659" w:type="dxa"/>
            <w:vAlign w:val="center"/>
          </w:tcPr>
          <w:p>
            <w:pPr>
              <w:pStyle w:val="8"/>
              <w:ind w:firstLine="0" w:firstLineChars="0"/>
            </w:pPr>
            <w:r>
              <w:rPr>
                <w:rFonts w:hint="eastAsia"/>
              </w:rPr>
              <w:t>1825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659" w:type="dxa"/>
            <w:vMerge w:val="continue"/>
            <w:vAlign w:val="center"/>
          </w:tcPr>
          <w:p>
            <w:pPr>
              <w:pStyle w:val="8"/>
              <w:ind w:firstLine="0" w:firstLineChars="0"/>
            </w:pPr>
          </w:p>
        </w:tc>
        <w:tc>
          <w:tcPr>
            <w:tcW w:w="938" w:type="dxa"/>
            <w:vAlign w:val="center"/>
          </w:tcPr>
          <w:p>
            <w:pPr>
              <w:pStyle w:val="8"/>
              <w:ind w:firstLine="0" w:firstLineChars="0"/>
            </w:pPr>
            <w:r>
              <w:rPr>
                <w:rFonts w:hint="eastAsia"/>
              </w:rPr>
              <w:t>生长猪</w:t>
            </w:r>
          </w:p>
        </w:tc>
        <w:tc>
          <w:tcPr>
            <w:tcW w:w="1212" w:type="dxa"/>
            <w:vAlign w:val="center"/>
          </w:tcPr>
          <w:p>
            <w:pPr>
              <w:pStyle w:val="8"/>
              <w:ind w:firstLine="0" w:firstLineChars="0"/>
            </w:pPr>
            <w:r>
              <w:rPr>
                <w:rFonts w:hint="eastAsia"/>
              </w:rPr>
              <w:t>2340头</w:t>
            </w:r>
          </w:p>
        </w:tc>
        <w:tc>
          <w:tcPr>
            <w:tcW w:w="1500" w:type="dxa"/>
            <w:vAlign w:val="center"/>
          </w:tcPr>
          <w:p>
            <w:pPr>
              <w:pStyle w:val="8"/>
              <w:ind w:firstLine="0" w:firstLineChars="0"/>
            </w:pPr>
            <w:r>
              <w:rPr>
                <w:rFonts w:hint="eastAsia"/>
              </w:rPr>
              <w:t>6（</w:t>
            </w:r>
            <w:r>
              <w:t>L/ d·</w:t>
            </w:r>
            <w:r>
              <w:rPr>
                <w:rFonts w:hint="eastAsia"/>
              </w:rPr>
              <w:t>头）</w:t>
            </w:r>
          </w:p>
        </w:tc>
        <w:tc>
          <w:tcPr>
            <w:tcW w:w="1763" w:type="dxa"/>
            <w:vAlign w:val="center"/>
          </w:tcPr>
          <w:p>
            <w:pPr>
              <w:pStyle w:val="8"/>
              <w:ind w:firstLine="0" w:firstLineChars="0"/>
            </w:pPr>
            <w:r>
              <w:rPr>
                <w:rFonts w:hint="eastAsia"/>
              </w:rPr>
              <w:t>14</w:t>
            </w:r>
          </w:p>
        </w:tc>
        <w:tc>
          <w:tcPr>
            <w:tcW w:w="2659" w:type="dxa"/>
            <w:vAlign w:val="center"/>
          </w:tcPr>
          <w:p>
            <w:pPr>
              <w:pStyle w:val="8"/>
              <w:ind w:firstLine="0" w:firstLineChars="0"/>
            </w:pPr>
            <w:r>
              <w:rPr>
                <w:rFonts w:hint="eastAsia"/>
              </w:rPr>
              <w:t>5110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659" w:type="dxa"/>
            <w:vMerge w:val="continue"/>
            <w:vAlign w:val="center"/>
          </w:tcPr>
          <w:p>
            <w:pPr>
              <w:pStyle w:val="8"/>
              <w:ind w:firstLine="0" w:firstLineChars="0"/>
            </w:pPr>
          </w:p>
        </w:tc>
        <w:tc>
          <w:tcPr>
            <w:tcW w:w="938" w:type="dxa"/>
            <w:vAlign w:val="center"/>
          </w:tcPr>
          <w:p>
            <w:pPr>
              <w:pStyle w:val="8"/>
              <w:ind w:firstLine="0" w:firstLineChars="0"/>
            </w:pPr>
            <w:r>
              <w:rPr>
                <w:rFonts w:hint="eastAsia"/>
              </w:rPr>
              <w:t>育肥猪</w:t>
            </w:r>
          </w:p>
        </w:tc>
        <w:tc>
          <w:tcPr>
            <w:tcW w:w="1212" w:type="dxa"/>
            <w:vAlign w:val="center"/>
          </w:tcPr>
          <w:p>
            <w:pPr>
              <w:pStyle w:val="8"/>
              <w:ind w:firstLine="0" w:firstLineChars="0"/>
            </w:pPr>
            <w:r>
              <w:rPr>
                <w:rFonts w:hint="eastAsia"/>
              </w:rPr>
              <w:t>1660头</w:t>
            </w:r>
          </w:p>
        </w:tc>
        <w:tc>
          <w:tcPr>
            <w:tcW w:w="1500" w:type="dxa"/>
            <w:vAlign w:val="center"/>
          </w:tcPr>
          <w:p>
            <w:pPr>
              <w:pStyle w:val="8"/>
              <w:ind w:firstLine="0" w:firstLineChars="0"/>
            </w:pPr>
            <w:r>
              <w:rPr>
                <w:rFonts w:hint="eastAsia"/>
              </w:rPr>
              <w:t>12（</w:t>
            </w:r>
            <w:r>
              <w:t>L/ d·</w:t>
            </w:r>
            <w:r>
              <w:rPr>
                <w:rFonts w:hint="eastAsia"/>
              </w:rPr>
              <w:t>头）</w:t>
            </w:r>
          </w:p>
        </w:tc>
        <w:tc>
          <w:tcPr>
            <w:tcW w:w="1763" w:type="dxa"/>
            <w:vAlign w:val="center"/>
          </w:tcPr>
          <w:p>
            <w:pPr>
              <w:pStyle w:val="8"/>
              <w:ind w:firstLine="0" w:firstLineChars="0"/>
            </w:pPr>
            <w:r>
              <w:rPr>
                <w:rFonts w:hint="eastAsia"/>
              </w:rPr>
              <w:t>19.9</w:t>
            </w:r>
          </w:p>
        </w:tc>
        <w:tc>
          <w:tcPr>
            <w:tcW w:w="2659" w:type="dxa"/>
            <w:vAlign w:val="center"/>
          </w:tcPr>
          <w:p>
            <w:pPr>
              <w:pStyle w:val="8"/>
              <w:ind w:firstLine="0" w:firstLineChars="0"/>
            </w:pPr>
            <w:r>
              <w:rPr>
                <w:rFonts w:hint="eastAsia"/>
              </w:rPr>
              <w:t>7263.5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597" w:type="dxa"/>
            <w:gridSpan w:val="2"/>
            <w:vAlign w:val="center"/>
          </w:tcPr>
          <w:p>
            <w:pPr>
              <w:pStyle w:val="8"/>
              <w:ind w:firstLine="0" w:firstLineChars="0"/>
            </w:pPr>
            <w:r>
              <w:rPr>
                <w:rFonts w:hint="eastAsia"/>
              </w:rPr>
              <w:t>员工生活用水</w:t>
            </w:r>
          </w:p>
        </w:tc>
        <w:tc>
          <w:tcPr>
            <w:tcW w:w="1212" w:type="dxa"/>
            <w:vAlign w:val="center"/>
          </w:tcPr>
          <w:p>
            <w:pPr>
              <w:pStyle w:val="8"/>
              <w:ind w:firstLine="0" w:firstLineChars="0"/>
            </w:pPr>
            <w:r>
              <w:rPr>
                <w:rFonts w:hint="eastAsia"/>
              </w:rPr>
              <w:t>6人</w:t>
            </w:r>
          </w:p>
        </w:tc>
        <w:tc>
          <w:tcPr>
            <w:tcW w:w="1500" w:type="dxa"/>
            <w:vAlign w:val="center"/>
          </w:tcPr>
          <w:p>
            <w:pPr>
              <w:pStyle w:val="8"/>
              <w:ind w:firstLine="0" w:firstLineChars="0"/>
            </w:pPr>
            <w:r>
              <w:t>100</w:t>
            </w:r>
            <w:r>
              <w:rPr>
                <w:rFonts w:hint="eastAsia"/>
              </w:rPr>
              <w:t>（</w:t>
            </w:r>
            <w:r>
              <w:t>L/ d·</w:t>
            </w:r>
            <w:r>
              <w:rPr>
                <w:rFonts w:hint="eastAsia"/>
              </w:rPr>
              <w:t>人）</w:t>
            </w:r>
          </w:p>
        </w:tc>
        <w:tc>
          <w:tcPr>
            <w:tcW w:w="1763" w:type="dxa"/>
            <w:vAlign w:val="center"/>
          </w:tcPr>
          <w:p>
            <w:pPr>
              <w:pStyle w:val="8"/>
              <w:ind w:firstLine="0" w:firstLineChars="0"/>
            </w:pPr>
            <w:r>
              <w:rPr>
                <w:rFonts w:hint="eastAsia"/>
              </w:rPr>
              <w:t>1</w:t>
            </w:r>
          </w:p>
        </w:tc>
        <w:tc>
          <w:tcPr>
            <w:tcW w:w="2659" w:type="dxa"/>
            <w:vAlign w:val="center"/>
          </w:tcPr>
          <w:p>
            <w:pPr>
              <w:pStyle w:val="8"/>
              <w:ind w:firstLine="0" w:firstLineChars="0"/>
            </w:pPr>
            <w:r>
              <w:rPr>
                <w:rFonts w:hint="eastAsia"/>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597" w:type="dxa"/>
            <w:gridSpan w:val="2"/>
            <w:vAlign w:val="center"/>
          </w:tcPr>
          <w:p>
            <w:pPr>
              <w:pStyle w:val="8"/>
              <w:ind w:firstLine="0" w:firstLineChars="0"/>
            </w:pPr>
            <w:r>
              <w:rPr>
                <w:rFonts w:hint="eastAsia"/>
              </w:rPr>
              <w:t>消毒冲洗水</w:t>
            </w:r>
          </w:p>
        </w:tc>
        <w:tc>
          <w:tcPr>
            <w:tcW w:w="1212" w:type="dxa"/>
            <w:vAlign w:val="center"/>
          </w:tcPr>
          <w:p>
            <w:pPr>
              <w:pStyle w:val="8"/>
              <w:ind w:firstLine="0" w:firstLineChars="0"/>
              <w:rPr>
                <w:highlight w:val="yellow"/>
              </w:rPr>
            </w:pPr>
            <w:r>
              <w:rPr>
                <w:rFonts w:hint="eastAsia"/>
              </w:rPr>
              <w:t>4722</w:t>
            </w:r>
            <w:r>
              <w:t>m</w:t>
            </w:r>
            <w:r>
              <w:rPr>
                <w:vertAlign w:val="superscript"/>
              </w:rPr>
              <w:t>2</w:t>
            </w:r>
          </w:p>
        </w:tc>
        <w:tc>
          <w:tcPr>
            <w:tcW w:w="1500" w:type="dxa"/>
            <w:vAlign w:val="center"/>
          </w:tcPr>
          <w:p>
            <w:pPr>
              <w:pStyle w:val="8"/>
              <w:ind w:firstLine="0" w:firstLineChars="0"/>
              <w:rPr>
                <w:highlight w:val="yellow"/>
              </w:rPr>
            </w:pPr>
            <w:r>
              <w:t>2m</w:t>
            </w:r>
            <w:r>
              <w:rPr>
                <w:vertAlign w:val="superscript"/>
              </w:rPr>
              <w:t>3</w:t>
            </w:r>
            <w:r>
              <w:t>/100m</w:t>
            </w:r>
            <w:r>
              <w:rPr>
                <w:vertAlign w:val="superscript"/>
              </w:rPr>
              <w:t>2</w:t>
            </w:r>
            <w:r>
              <w:t>·</w:t>
            </w:r>
            <w:r>
              <w:rPr>
                <w:rFonts w:hint="eastAsia"/>
              </w:rPr>
              <w:t>次</w:t>
            </w:r>
          </w:p>
        </w:tc>
        <w:tc>
          <w:tcPr>
            <w:tcW w:w="1763" w:type="dxa"/>
            <w:vAlign w:val="center"/>
          </w:tcPr>
          <w:p>
            <w:pPr>
              <w:pStyle w:val="8"/>
              <w:ind w:firstLine="0" w:firstLineChars="0"/>
              <w:rPr>
                <w:highlight w:val="yellow"/>
              </w:rPr>
            </w:pPr>
            <w:r>
              <w:rPr>
                <w:rFonts w:hint="eastAsia"/>
              </w:rPr>
              <w:t>94.4</w:t>
            </w:r>
            <w:r>
              <w:t>m</w:t>
            </w:r>
            <w:r>
              <w:rPr>
                <w:vertAlign w:val="superscript"/>
              </w:rPr>
              <w:t>3</w:t>
            </w:r>
            <w:r>
              <w:t>/次</w:t>
            </w:r>
          </w:p>
        </w:tc>
        <w:tc>
          <w:tcPr>
            <w:tcW w:w="2659" w:type="dxa"/>
            <w:vAlign w:val="center"/>
          </w:tcPr>
          <w:p>
            <w:pPr>
              <w:pStyle w:val="8"/>
              <w:ind w:firstLine="0" w:firstLineChars="0"/>
              <w:rPr>
                <w:highlight w:val="yellow"/>
              </w:rPr>
            </w:pPr>
            <w:r>
              <w:rPr>
                <w:rFonts w:hint="eastAsia"/>
              </w:rPr>
              <w:t>188.8</w:t>
            </w:r>
            <w:r>
              <w:t>（</w:t>
            </w:r>
            <w:r>
              <w:rPr>
                <w:rFonts w:hint="eastAsia"/>
              </w:rPr>
              <w:t>育肥舍</w:t>
            </w:r>
            <w:r>
              <w:t>平均冲洗</w:t>
            </w:r>
            <w:r>
              <w:rPr>
                <w:rFonts w:hint="eastAsia"/>
              </w:rPr>
              <w:t>2</w:t>
            </w:r>
            <w:r>
              <w:t>次计）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597" w:type="dxa"/>
            <w:gridSpan w:val="2"/>
            <w:vAlign w:val="center"/>
          </w:tcPr>
          <w:p>
            <w:pPr>
              <w:pStyle w:val="8"/>
              <w:ind w:firstLine="0" w:firstLineChars="0"/>
            </w:pPr>
            <w:r>
              <w:rPr>
                <w:rFonts w:hint="eastAsia"/>
              </w:rPr>
              <w:t>水帘降温用水</w:t>
            </w:r>
          </w:p>
        </w:tc>
        <w:tc>
          <w:tcPr>
            <w:tcW w:w="1212" w:type="dxa"/>
            <w:vAlign w:val="center"/>
          </w:tcPr>
          <w:p>
            <w:pPr>
              <w:pStyle w:val="8"/>
              <w:ind w:firstLine="0" w:firstLineChars="0"/>
              <w:rPr>
                <w:highlight w:val="yellow"/>
              </w:rPr>
            </w:pPr>
            <w:r>
              <w:t>90</w:t>
            </w:r>
            <w:r>
              <w:rPr>
                <w:rFonts w:hint="eastAsia"/>
              </w:rPr>
              <w:t>天</w:t>
            </w:r>
          </w:p>
        </w:tc>
        <w:tc>
          <w:tcPr>
            <w:tcW w:w="1500" w:type="dxa"/>
            <w:vAlign w:val="center"/>
          </w:tcPr>
          <w:p>
            <w:pPr>
              <w:pStyle w:val="8"/>
              <w:ind w:firstLine="0" w:firstLineChars="0"/>
              <w:rPr>
                <w:highlight w:val="yellow"/>
              </w:rPr>
            </w:pPr>
            <w:r>
              <w:rPr>
                <w:rFonts w:hint="eastAsia"/>
              </w:rPr>
              <w:t>5</w:t>
            </w:r>
            <w:r>
              <w:t>m</w:t>
            </w:r>
            <w:r>
              <w:rPr>
                <w:vertAlign w:val="superscript"/>
              </w:rPr>
              <w:t>3</w:t>
            </w:r>
            <w:r>
              <w:t>/</w:t>
            </w:r>
            <w:r>
              <w:rPr>
                <w:rFonts w:hint="eastAsia"/>
              </w:rPr>
              <w:t>天</w:t>
            </w:r>
          </w:p>
        </w:tc>
        <w:tc>
          <w:tcPr>
            <w:tcW w:w="1763" w:type="dxa"/>
            <w:vAlign w:val="center"/>
          </w:tcPr>
          <w:p>
            <w:pPr>
              <w:pStyle w:val="8"/>
              <w:ind w:firstLine="0" w:firstLineChars="0"/>
              <w:rPr>
                <w:highlight w:val="yellow"/>
              </w:rPr>
            </w:pPr>
            <w:r>
              <w:rPr>
                <w:rFonts w:hint="eastAsia"/>
              </w:rPr>
              <w:t>5</w:t>
            </w:r>
          </w:p>
        </w:tc>
        <w:tc>
          <w:tcPr>
            <w:tcW w:w="2659" w:type="dxa"/>
            <w:vAlign w:val="center"/>
          </w:tcPr>
          <w:p>
            <w:pPr>
              <w:pStyle w:val="8"/>
              <w:ind w:firstLine="0" w:firstLineChars="0"/>
              <w:rPr>
                <w:highlight w:val="yellow"/>
              </w:rPr>
            </w:pPr>
            <w:r>
              <w:rPr>
                <w:rFonts w:hint="eastAsia"/>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97" w:type="dxa"/>
            <w:gridSpan w:val="2"/>
            <w:vAlign w:val="center"/>
          </w:tcPr>
          <w:p>
            <w:pPr>
              <w:pStyle w:val="8"/>
              <w:ind w:firstLine="0" w:firstLineChars="0"/>
              <w:rPr>
                <w:highlight w:val="yellow"/>
              </w:rPr>
            </w:pPr>
            <w:r>
              <w:rPr>
                <w:rFonts w:hint="eastAsia"/>
              </w:rPr>
              <w:t>合计（</w:t>
            </w:r>
            <w:r>
              <w:t>m³/a</w:t>
            </w:r>
            <w:r>
              <w:rPr>
                <w:rFonts w:hint="eastAsia"/>
              </w:rPr>
              <w:t>）</w:t>
            </w:r>
          </w:p>
        </w:tc>
        <w:tc>
          <w:tcPr>
            <w:tcW w:w="7134" w:type="dxa"/>
            <w:gridSpan w:val="4"/>
            <w:vAlign w:val="center"/>
          </w:tcPr>
          <w:p>
            <w:pPr>
              <w:pStyle w:val="8"/>
              <w:ind w:firstLine="0" w:firstLineChars="0"/>
              <w:rPr>
                <w:highlight w:val="yellow"/>
              </w:rPr>
            </w:pPr>
            <w:r>
              <w:rPr>
                <w:rFonts w:hint="eastAsia"/>
              </w:rPr>
              <w:t>15056.3</w:t>
            </w:r>
          </w:p>
        </w:tc>
      </w:tr>
    </w:tbl>
    <w:p>
      <w:pPr>
        <w:pStyle w:val="11"/>
      </w:pPr>
      <w:r>
        <w:t xml:space="preserve">表2.3- </w:t>
      </w:r>
      <w:r>
        <w:fldChar w:fldCharType="begin"/>
      </w:r>
      <w:r>
        <w:instrText xml:space="preserve"> SEQ 表2.3- \* ARABIC </w:instrText>
      </w:r>
      <w:r>
        <w:fldChar w:fldCharType="separate"/>
      </w:r>
      <w:r>
        <w:t>2</w:t>
      </w:r>
      <w:r>
        <w:fldChar w:fldCharType="end"/>
      </w:r>
      <w:r>
        <w:rPr>
          <w:rFonts w:hint="eastAsia"/>
        </w:rPr>
        <w:t xml:space="preserve">  项目主要饲料定额消耗指标表  </w:t>
      </w:r>
    </w:p>
    <w:tbl>
      <w:tblPr>
        <w:tblStyle w:val="21"/>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1"/>
        <w:gridCol w:w="1249"/>
        <w:gridCol w:w="2167"/>
        <w:gridCol w:w="2263"/>
        <w:gridCol w:w="22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 w:hRule="atLeast"/>
          <w:jc w:val="center"/>
        </w:trPr>
        <w:tc>
          <w:tcPr>
            <w:tcW w:w="1111" w:type="dxa"/>
            <w:vMerge w:val="restart"/>
            <w:vAlign w:val="center"/>
          </w:tcPr>
          <w:p>
            <w:pPr>
              <w:pStyle w:val="8"/>
              <w:ind w:firstLine="0" w:firstLineChars="0"/>
            </w:pPr>
            <w:r>
              <w:rPr>
                <w:rFonts w:hint="eastAsia"/>
              </w:rPr>
              <w:t>名称</w:t>
            </w:r>
          </w:p>
        </w:tc>
        <w:tc>
          <w:tcPr>
            <w:tcW w:w="1249" w:type="dxa"/>
            <w:vMerge w:val="restart"/>
            <w:vAlign w:val="center"/>
          </w:tcPr>
          <w:p>
            <w:pPr>
              <w:pStyle w:val="8"/>
              <w:ind w:firstLine="0" w:firstLineChars="0"/>
            </w:pPr>
            <w:r>
              <w:rPr>
                <w:rFonts w:hint="eastAsia"/>
              </w:rPr>
              <w:t>数量</w:t>
            </w:r>
          </w:p>
          <w:p>
            <w:pPr>
              <w:pStyle w:val="8"/>
              <w:ind w:firstLine="0" w:firstLineChars="0"/>
            </w:pPr>
            <w:r>
              <w:rPr>
                <w:rFonts w:hint="eastAsia"/>
              </w:rPr>
              <w:t>（头）</w:t>
            </w:r>
          </w:p>
        </w:tc>
        <w:tc>
          <w:tcPr>
            <w:tcW w:w="6697" w:type="dxa"/>
            <w:gridSpan w:val="3"/>
            <w:vAlign w:val="center"/>
          </w:tcPr>
          <w:p>
            <w:pPr>
              <w:pStyle w:val="8"/>
              <w:ind w:firstLine="0" w:firstLineChars="0"/>
            </w:pPr>
            <w:r>
              <w:rPr>
                <w:rFonts w:hint="eastAsia"/>
              </w:rPr>
              <w:t>饲料消耗量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111" w:type="dxa"/>
            <w:vMerge w:val="continue"/>
            <w:vAlign w:val="center"/>
          </w:tcPr>
          <w:p>
            <w:pPr>
              <w:pStyle w:val="8"/>
              <w:ind w:firstLine="0" w:firstLineChars="0"/>
            </w:pPr>
          </w:p>
        </w:tc>
        <w:tc>
          <w:tcPr>
            <w:tcW w:w="1249" w:type="dxa"/>
            <w:vMerge w:val="continue"/>
            <w:vAlign w:val="center"/>
          </w:tcPr>
          <w:p>
            <w:pPr>
              <w:pStyle w:val="8"/>
              <w:ind w:firstLine="0" w:firstLineChars="0"/>
            </w:pPr>
          </w:p>
        </w:tc>
        <w:tc>
          <w:tcPr>
            <w:tcW w:w="2167" w:type="dxa"/>
            <w:vAlign w:val="center"/>
          </w:tcPr>
          <w:p>
            <w:pPr>
              <w:pStyle w:val="8"/>
              <w:ind w:firstLine="0" w:firstLineChars="0"/>
            </w:pPr>
            <w:r>
              <w:rPr>
                <w:rFonts w:hint="eastAsia"/>
              </w:rPr>
              <w:t>每头猪饲料定额</w:t>
            </w:r>
          </w:p>
          <w:p>
            <w:pPr>
              <w:pStyle w:val="8"/>
              <w:ind w:firstLine="0" w:firstLineChars="0"/>
            </w:pPr>
            <w:r>
              <w:rPr>
                <w:rFonts w:hint="eastAsia"/>
              </w:rPr>
              <w:t>（</w:t>
            </w:r>
            <w:r>
              <w:t>kg/d</w:t>
            </w:r>
            <w:r>
              <w:rPr>
                <w:rFonts w:hint="eastAsia"/>
              </w:rPr>
              <w:t>）</w:t>
            </w:r>
          </w:p>
        </w:tc>
        <w:tc>
          <w:tcPr>
            <w:tcW w:w="2263" w:type="dxa"/>
            <w:vAlign w:val="center"/>
          </w:tcPr>
          <w:p>
            <w:pPr>
              <w:pStyle w:val="8"/>
              <w:ind w:firstLine="0" w:firstLineChars="0"/>
            </w:pPr>
            <w:r>
              <w:rPr>
                <w:rFonts w:hint="eastAsia"/>
              </w:rPr>
              <w:t>饲料日消耗量</w:t>
            </w:r>
          </w:p>
          <w:p>
            <w:pPr>
              <w:pStyle w:val="8"/>
              <w:ind w:firstLine="0" w:firstLineChars="0"/>
            </w:pPr>
            <w:r>
              <w:rPr>
                <w:rFonts w:hint="eastAsia"/>
              </w:rPr>
              <w:t>（</w:t>
            </w:r>
            <w:r>
              <w:t>kg/d</w:t>
            </w:r>
            <w:r>
              <w:rPr>
                <w:rFonts w:hint="eastAsia"/>
              </w:rPr>
              <w:t>）</w:t>
            </w:r>
          </w:p>
        </w:tc>
        <w:tc>
          <w:tcPr>
            <w:tcW w:w="2267" w:type="dxa"/>
            <w:vAlign w:val="center"/>
          </w:tcPr>
          <w:p>
            <w:pPr>
              <w:pStyle w:val="8"/>
              <w:ind w:firstLine="0" w:firstLineChars="0"/>
            </w:pPr>
            <w:r>
              <w:rPr>
                <w:rFonts w:hint="eastAsia"/>
              </w:rPr>
              <w:t>饲料年消耗量</w:t>
            </w:r>
          </w:p>
          <w:p>
            <w:pPr>
              <w:pStyle w:val="8"/>
              <w:ind w:firstLine="0" w:firstLineChars="0"/>
            </w:pPr>
            <w:r>
              <w:rPr>
                <w:rFonts w:hint="eastAsia"/>
              </w:rPr>
              <w:t>（</w:t>
            </w:r>
            <w:r>
              <w:t>t/a</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111" w:type="dxa"/>
            <w:vAlign w:val="center"/>
          </w:tcPr>
          <w:p>
            <w:pPr>
              <w:pStyle w:val="8"/>
              <w:ind w:firstLine="0" w:firstLineChars="0"/>
            </w:pPr>
            <w:r>
              <w:rPr>
                <w:rFonts w:hint="eastAsia"/>
              </w:rPr>
              <w:t>保育猪</w:t>
            </w:r>
          </w:p>
        </w:tc>
        <w:tc>
          <w:tcPr>
            <w:tcW w:w="1249" w:type="dxa"/>
            <w:vAlign w:val="center"/>
          </w:tcPr>
          <w:p>
            <w:pPr>
              <w:pStyle w:val="8"/>
              <w:ind w:firstLine="0" w:firstLineChars="0"/>
            </w:pPr>
            <w:r>
              <w:rPr>
                <w:rFonts w:hint="eastAsia"/>
              </w:rPr>
              <w:t>1000</w:t>
            </w:r>
          </w:p>
        </w:tc>
        <w:tc>
          <w:tcPr>
            <w:tcW w:w="2167" w:type="dxa"/>
            <w:vAlign w:val="center"/>
          </w:tcPr>
          <w:p>
            <w:pPr>
              <w:pStyle w:val="8"/>
              <w:ind w:firstLine="0" w:firstLineChars="0"/>
            </w:pPr>
            <w:r>
              <w:rPr>
                <w:rFonts w:hint="eastAsia"/>
              </w:rPr>
              <w:t>1</w:t>
            </w:r>
          </w:p>
        </w:tc>
        <w:tc>
          <w:tcPr>
            <w:tcW w:w="2263" w:type="dxa"/>
            <w:vAlign w:val="center"/>
          </w:tcPr>
          <w:p>
            <w:pPr>
              <w:pStyle w:val="8"/>
              <w:ind w:firstLine="0" w:firstLineChars="0"/>
            </w:pPr>
            <w:r>
              <w:rPr>
                <w:rFonts w:hint="eastAsia"/>
              </w:rPr>
              <w:t>1000</w:t>
            </w:r>
          </w:p>
        </w:tc>
        <w:tc>
          <w:tcPr>
            <w:tcW w:w="2267" w:type="dxa"/>
            <w:vAlign w:val="center"/>
          </w:tcPr>
          <w:p>
            <w:pPr>
              <w:pStyle w:val="8"/>
              <w:ind w:firstLine="0" w:firstLineChars="0"/>
            </w:pPr>
            <w:r>
              <w:rPr>
                <w:rFonts w:hint="eastAsia"/>
              </w:rPr>
              <w:t>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111" w:type="dxa"/>
            <w:vAlign w:val="center"/>
          </w:tcPr>
          <w:p>
            <w:pPr>
              <w:pStyle w:val="8"/>
              <w:ind w:firstLine="0" w:firstLineChars="0"/>
            </w:pPr>
            <w:r>
              <w:rPr>
                <w:rFonts w:hint="eastAsia"/>
              </w:rPr>
              <w:t>生长猪</w:t>
            </w:r>
          </w:p>
        </w:tc>
        <w:tc>
          <w:tcPr>
            <w:tcW w:w="1249" w:type="dxa"/>
            <w:vAlign w:val="center"/>
          </w:tcPr>
          <w:p>
            <w:pPr>
              <w:pStyle w:val="8"/>
              <w:ind w:firstLine="0" w:firstLineChars="0"/>
            </w:pPr>
            <w:r>
              <w:rPr>
                <w:rFonts w:hint="eastAsia"/>
              </w:rPr>
              <w:t>2340</w:t>
            </w:r>
          </w:p>
        </w:tc>
        <w:tc>
          <w:tcPr>
            <w:tcW w:w="2167" w:type="dxa"/>
            <w:vAlign w:val="center"/>
          </w:tcPr>
          <w:p>
            <w:pPr>
              <w:pStyle w:val="8"/>
              <w:ind w:firstLine="0" w:firstLineChars="0"/>
            </w:pPr>
            <w:r>
              <w:rPr>
                <w:rFonts w:hint="eastAsia"/>
              </w:rPr>
              <w:t>2</w:t>
            </w:r>
          </w:p>
        </w:tc>
        <w:tc>
          <w:tcPr>
            <w:tcW w:w="2263" w:type="dxa"/>
            <w:vAlign w:val="center"/>
          </w:tcPr>
          <w:p>
            <w:pPr>
              <w:pStyle w:val="8"/>
              <w:ind w:firstLine="0" w:firstLineChars="0"/>
            </w:pPr>
            <w:r>
              <w:rPr>
                <w:rFonts w:hint="eastAsia"/>
              </w:rPr>
              <w:t>4680</w:t>
            </w:r>
          </w:p>
        </w:tc>
        <w:tc>
          <w:tcPr>
            <w:tcW w:w="2267" w:type="dxa"/>
            <w:vAlign w:val="center"/>
          </w:tcPr>
          <w:p>
            <w:pPr>
              <w:pStyle w:val="8"/>
              <w:ind w:firstLine="0" w:firstLineChars="0"/>
            </w:pPr>
            <w:r>
              <w:rPr>
                <w:rFonts w:hint="eastAsia"/>
              </w:rPr>
              <w:t>1708.2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111" w:type="dxa"/>
            <w:vAlign w:val="center"/>
          </w:tcPr>
          <w:p>
            <w:pPr>
              <w:pStyle w:val="8"/>
              <w:ind w:firstLine="0" w:firstLineChars="0"/>
            </w:pPr>
            <w:r>
              <w:rPr>
                <w:rFonts w:hint="eastAsia"/>
              </w:rPr>
              <w:t>育肥猪</w:t>
            </w:r>
          </w:p>
        </w:tc>
        <w:tc>
          <w:tcPr>
            <w:tcW w:w="1249" w:type="dxa"/>
            <w:vAlign w:val="center"/>
          </w:tcPr>
          <w:p>
            <w:pPr>
              <w:pStyle w:val="8"/>
              <w:ind w:firstLine="0" w:firstLineChars="0"/>
            </w:pPr>
            <w:r>
              <w:rPr>
                <w:rFonts w:hint="eastAsia"/>
              </w:rPr>
              <w:t>1660</w:t>
            </w:r>
          </w:p>
        </w:tc>
        <w:tc>
          <w:tcPr>
            <w:tcW w:w="2167" w:type="dxa"/>
            <w:vAlign w:val="center"/>
          </w:tcPr>
          <w:p>
            <w:pPr>
              <w:pStyle w:val="8"/>
              <w:ind w:firstLine="0" w:firstLineChars="0"/>
            </w:pPr>
            <w:r>
              <w:rPr>
                <w:rFonts w:hint="eastAsia"/>
              </w:rPr>
              <w:t>3</w:t>
            </w:r>
          </w:p>
        </w:tc>
        <w:tc>
          <w:tcPr>
            <w:tcW w:w="2263" w:type="dxa"/>
            <w:vAlign w:val="center"/>
          </w:tcPr>
          <w:p>
            <w:pPr>
              <w:pStyle w:val="8"/>
              <w:ind w:firstLine="0" w:firstLineChars="0"/>
            </w:pPr>
            <w:r>
              <w:rPr>
                <w:rFonts w:hint="eastAsia"/>
              </w:rPr>
              <w:t>4980</w:t>
            </w:r>
          </w:p>
        </w:tc>
        <w:tc>
          <w:tcPr>
            <w:tcW w:w="2267" w:type="dxa"/>
            <w:vAlign w:val="center"/>
          </w:tcPr>
          <w:p>
            <w:pPr>
              <w:pStyle w:val="8"/>
              <w:ind w:firstLine="0" w:firstLineChars="0"/>
            </w:pPr>
            <w:r>
              <w:rPr>
                <w:rFonts w:hint="eastAsia"/>
              </w:rPr>
              <w:t>1817.7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1" w:type="dxa"/>
            <w:vAlign w:val="center"/>
          </w:tcPr>
          <w:p>
            <w:pPr>
              <w:pStyle w:val="8"/>
              <w:ind w:firstLine="0" w:firstLineChars="0"/>
            </w:pPr>
            <w:r>
              <w:rPr>
                <w:rFonts w:hint="eastAsia"/>
              </w:rPr>
              <w:t>合计</w:t>
            </w:r>
          </w:p>
        </w:tc>
        <w:tc>
          <w:tcPr>
            <w:tcW w:w="1249" w:type="dxa"/>
            <w:vAlign w:val="center"/>
          </w:tcPr>
          <w:p>
            <w:pPr>
              <w:pStyle w:val="8"/>
              <w:ind w:firstLine="0" w:firstLineChars="0"/>
            </w:pPr>
            <w:r>
              <w:rPr>
                <w:rFonts w:hint="eastAsia"/>
              </w:rPr>
              <w:t>/</w:t>
            </w:r>
          </w:p>
        </w:tc>
        <w:tc>
          <w:tcPr>
            <w:tcW w:w="2167" w:type="dxa"/>
            <w:vAlign w:val="center"/>
          </w:tcPr>
          <w:p>
            <w:pPr>
              <w:pStyle w:val="8"/>
              <w:ind w:firstLine="0" w:firstLineChars="0"/>
            </w:pPr>
            <w:r>
              <w:rPr>
                <w:rFonts w:hint="eastAsia"/>
              </w:rPr>
              <w:t>6</w:t>
            </w:r>
          </w:p>
        </w:tc>
        <w:tc>
          <w:tcPr>
            <w:tcW w:w="2263" w:type="dxa"/>
            <w:vAlign w:val="center"/>
          </w:tcPr>
          <w:p>
            <w:pPr>
              <w:pStyle w:val="8"/>
              <w:ind w:firstLine="0" w:firstLineChars="0"/>
            </w:pPr>
            <w:r>
              <w:rPr>
                <w:rFonts w:hint="eastAsia"/>
              </w:rPr>
              <w:t>10660</w:t>
            </w:r>
          </w:p>
        </w:tc>
        <w:tc>
          <w:tcPr>
            <w:tcW w:w="2267" w:type="dxa"/>
            <w:vAlign w:val="center"/>
          </w:tcPr>
          <w:p>
            <w:pPr>
              <w:pStyle w:val="8"/>
              <w:ind w:firstLine="0" w:firstLineChars="0"/>
            </w:pPr>
            <w:r>
              <w:rPr>
                <w:rFonts w:hint="eastAsia"/>
              </w:rPr>
              <w:t>3890.9</w:t>
            </w:r>
          </w:p>
        </w:tc>
      </w:tr>
    </w:tbl>
    <w:p>
      <w:pPr>
        <w:pStyle w:val="5"/>
        <w:spacing w:before="48" w:after="48"/>
      </w:pPr>
      <w:r>
        <w:rPr>
          <w:rFonts w:hint="eastAsia"/>
        </w:rPr>
        <w:t>2.3.1物料平衡</w:t>
      </w:r>
    </w:p>
    <w:p>
      <w:pPr>
        <w:ind w:firstLine="480"/>
      </w:pPr>
      <w:r>
        <w:rPr>
          <w:rFonts w:hint="eastAsia"/>
        </w:rPr>
        <w:t>以养殖场每天的物料消耗量及全厂物料平衡为例，给出总物料平衡，见图2.3-1。</w:t>
      </w:r>
    </w:p>
    <w:p>
      <w:pPr>
        <w:ind w:firstLine="480"/>
      </w:pPr>
      <w:r>
        <w:rPr>
          <w:rFonts w:hint="eastAsia"/>
        </w:rPr>
        <w:t>项目年饲料用量为3890.9</w:t>
      </w:r>
      <w:r>
        <w:t>t/</w:t>
      </w:r>
      <w:r>
        <w:rPr>
          <w:rFonts w:hint="eastAsia"/>
        </w:rPr>
        <w:t>a。项目干猪粪产生量为2361.55t/a，全部进入发酵床猪粪被微生物菌群发酵分解，总损失量一般为猪粪产生量的2</w:t>
      </w:r>
      <w:r>
        <w:t>0%~</w:t>
      </w:r>
      <w:r>
        <w:rPr>
          <w:rFonts w:hint="eastAsia"/>
        </w:rPr>
        <w:t>4</w:t>
      </w:r>
      <w:r>
        <w:t>0%</w:t>
      </w:r>
      <w:r>
        <w:rPr>
          <w:rFonts w:hint="eastAsia"/>
        </w:rPr>
        <w:t>，本环评按30%计，则项目猪粪经发酵床分解后废物残余产生量为1653.09t/a。</w:t>
      </w:r>
    </w:p>
    <w:p>
      <w:pPr>
        <w:ind w:firstLine="480"/>
        <w:rPr>
          <w:highlight w:val="yellow"/>
        </w:rPr>
      </w:pPr>
      <w:r>
        <w:rPr>
          <w:rFonts w:hint="eastAsia"/>
        </w:rPr>
        <w:t>一般情况下，发酵床上的垫料可以反复使用。由于发酵分解，发酵床垫料会有所减少，一般垫料厚度降低30-40cm时，应及时补充。垫料使用2-3年后，需全部进行更换。由前述垫料使用量可知，垫料平均1年的用量为37.12t。</w:t>
      </w:r>
    </w:p>
    <w:p>
      <w:pPr>
        <w:ind w:firstLine="480"/>
      </w:pPr>
      <w:r>
        <w:rPr>
          <w:rFonts w:hint="eastAsia"/>
        </w:rPr>
        <w:t>综上，发酵床干垫料的产生量1690.21</w:t>
      </w:r>
      <w:r>
        <w:t>t/a</w:t>
      </w:r>
      <w:r>
        <w:rPr>
          <w:rFonts w:hint="eastAsia"/>
        </w:rPr>
        <w:t>。猪舍猪尿、消毒及生活污水产生总量为5849.4m</w:t>
      </w:r>
      <w:r>
        <w:rPr>
          <w:rFonts w:hint="eastAsia"/>
          <w:vertAlign w:val="superscript"/>
        </w:rPr>
        <w:t>3</w:t>
      </w:r>
      <w:r>
        <w:rPr>
          <w:rFonts w:hint="eastAsia"/>
        </w:rPr>
        <w:t>/a，废水进入发酵床后，发酵床废水大部分约90%将随着发酵而自然蒸发，小部分约10%留在垫料中，因此，更换垫料总量为2275.15</w:t>
      </w:r>
      <w:r>
        <w:t>t/a</w:t>
      </w:r>
      <w:r>
        <w:rPr>
          <w:rFonts w:hint="eastAsia"/>
        </w:rPr>
        <w:t>（含水）。更换下来的废弃垫料由于发酵分解充分，无害化程度高，富含营养元素等，可作为优质的有机肥料外售，进行综合利用。</w:t>
      </w:r>
    </w:p>
    <w:p>
      <w:pPr>
        <w:ind w:firstLine="480"/>
      </w:pPr>
      <w:r>
        <mc:AlternateContent>
          <mc:Choice Requires="wpg">
            <w:drawing>
              <wp:anchor distT="0" distB="0" distL="114300" distR="114300" simplePos="0" relativeHeight="251716608" behindDoc="0" locked="0" layoutInCell="1" allowOverlap="1">
                <wp:simplePos x="0" y="0"/>
                <wp:positionH relativeFrom="column">
                  <wp:posOffset>-344170</wp:posOffset>
                </wp:positionH>
                <wp:positionV relativeFrom="paragraph">
                  <wp:posOffset>73660</wp:posOffset>
                </wp:positionV>
                <wp:extent cx="6323330" cy="4297045"/>
                <wp:effectExtent l="0" t="0" r="1270" b="27305"/>
                <wp:wrapNone/>
                <wp:docPr id="19" name="组合 19"/>
                <wp:cNvGraphicFramePr/>
                <a:graphic xmlns:a="http://schemas.openxmlformats.org/drawingml/2006/main">
                  <a:graphicData uri="http://schemas.microsoft.com/office/word/2010/wordprocessingGroup">
                    <wpg:wgp>
                      <wpg:cNvGrpSpPr/>
                      <wpg:grpSpPr>
                        <a:xfrm>
                          <a:off x="0" y="0"/>
                          <a:ext cx="6323330" cy="4297045"/>
                          <a:chOff x="1800" y="686850"/>
                          <a:chExt cx="9958" cy="6767"/>
                        </a:xfrm>
                      </wpg:grpSpPr>
                      <wps:wsp>
                        <wps:cNvPr id="142" name="Text Box 657"/>
                        <wps:cNvSpPr txBox="1">
                          <a:spLocks noChangeArrowheads="1"/>
                        </wps:cNvSpPr>
                        <wps:spPr bwMode="auto">
                          <a:xfrm>
                            <a:off x="3256" y="689582"/>
                            <a:ext cx="898"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1817.7</w:t>
                              </w:r>
                            </w:p>
                          </w:txbxContent>
                        </wps:txbx>
                        <wps:bodyPr rot="0" vert="horz" wrap="square" lIns="91440" tIns="45720" rIns="91440" bIns="45720" anchor="t" anchorCtr="0" upright="1">
                          <a:noAutofit/>
                        </wps:bodyPr>
                      </wps:wsp>
                      <wps:wsp>
                        <wps:cNvPr id="166" name="AutoShape 644"/>
                        <wps:cNvCnPr>
                          <a:cxnSpLocks noChangeShapeType="1"/>
                        </wps:cNvCnPr>
                        <wps:spPr bwMode="auto">
                          <a:xfrm>
                            <a:off x="5581" y="689523"/>
                            <a:ext cx="441" cy="6"/>
                          </a:xfrm>
                          <a:prstGeom prst="straightConnector1">
                            <a:avLst/>
                          </a:prstGeom>
                          <a:noFill/>
                          <a:ln w="9525">
                            <a:solidFill>
                              <a:srgbClr val="000000"/>
                            </a:solidFill>
                            <a:round/>
                            <a:tailEnd type="triangle" w="med" len="med"/>
                          </a:ln>
                        </wps:spPr>
                        <wps:bodyPr/>
                      </wps:wsp>
                      <wps:wsp>
                        <wps:cNvPr id="167" name="AutoShape 651"/>
                        <wps:cNvCnPr>
                          <a:cxnSpLocks noChangeShapeType="1"/>
                        </wps:cNvCnPr>
                        <wps:spPr bwMode="auto">
                          <a:xfrm>
                            <a:off x="5572" y="689499"/>
                            <a:ext cx="0" cy="604"/>
                          </a:xfrm>
                          <a:prstGeom prst="straightConnector1">
                            <a:avLst/>
                          </a:prstGeom>
                          <a:noFill/>
                          <a:ln w="9525">
                            <a:solidFill>
                              <a:srgbClr val="000000"/>
                            </a:solidFill>
                            <a:round/>
                          </a:ln>
                        </wps:spPr>
                        <wps:bodyPr/>
                      </wps:wsp>
                      <wps:wsp>
                        <wps:cNvPr id="168" name="文本框 39"/>
                        <wps:cNvSpPr txBox="1">
                          <a:spLocks noChangeArrowheads="1"/>
                        </wps:cNvSpPr>
                        <wps:spPr bwMode="auto">
                          <a:xfrm>
                            <a:off x="6000" y="689250"/>
                            <a:ext cx="1890"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生长吸收799.35</w:t>
                              </w:r>
                            </w:p>
                          </w:txbxContent>
                        </wps:txbx>
                        <wps:bodyPr rot="0" vert="horz" wrap="square" lIns="91440" tIns="45720" rIns="91440" bIns="45720" anchor="t" anchorCtr="0" upright="1">
                          <a:noAutofit/>
                        </wps:bodyPr>
                      </wps:wsp>
                      <wps:wsp>
                        <wps:cNvPr id="169" name="AutoShape 651"/>
                        <wps:cNvCnPr>
                          <a:cxnSpLocks noChangeShapeType="1"/>
                        </wps:cNvCnPr>
                        <wps:spPr bwMode="auto">
                          <a:xfrm flipH="1">
                            <a:off x="5298" y="689803"/>
                            <a:ext cx="274" cy="3"/>
                          </a:xfrm>
                          <a:prstGeom prst="straightConnector1">
                            <a:avLst/>
                          </a:prstGeom>
                          <a:noFill/>
                          <a:ln w="9525">
                            <a:solidFill>
                              <a:srgbClr val="000000"/>
                            </a:solidFill>
                            <a:round/>
                          </a:ln>
                        </wps:spPr>
                        <wps:bodyPr/>
                      </wps:wsp>
                      <wps:wsp>
                        <wps:cNvPr id="170" name="AutoShape 644"/>
                        <wps:cNvCnPr>
                          <a:cxnSpLocks noChangeShapeType="1"/>
                        </wps:cNvCnPr>
                        <wps:spPr bwMode="auto">
                          <a:xfrm>
                            <a:off x="5566" y="690093"/>
                            <a:ext cx="441" cy="6"/>
                          </a:xfrm>
                          <a:prstGeom prst="straightConnector1">
                            <a:avLst/>
                          </a:prstGeom>
                          <a:noFill/>
                          <a:ln w="9525">
                            <a:solidFill>
                              <a:srgbClr val="000000"/>
                            </a:solidFill>
                            <a:round/>
                            <a:tailEnd type="triangle" w="med" len="med"/>
                          </a:ln>
                        </wps:spPr>
                        <wps:bodyPr/>
                      </wps:wsp>
                      <wps:wsp>
                        <wps:cNvPr id="171" name="文本框 39"/>
                        <wps:cNvSpPr txBox="1">
                          <a:spLocks noChangeArrowheads="1"/>
                        </wps:cNvSpPr>
                        <wps:spPr bwMode="auto">
                          <a:xfrm>
                            <a:off x="5985" y="689865"/>
                            <a:ext cx="1920"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猪粪排泄1018.35</w:t>
                              </w:r>
                            </w:p>
                          </w:txbxContent>
                        </wps:txbx>
                        <wps:bodyPr rot="0" vert="horz" wrap="square" lIns="91440" tIns="45720" rIns="91440" bIns="45720" anchor="t" anchorCtr="0" upright="1">
                          <a:noAutofit/>
                        </wps:bodyPr>
                      </wps:wsp>
                      <wps:wsp>
                        <wps:cNvPr id="48" name="Text Box 657"/>
                        <wps:cNvSpPr txBox="1">
                          <a:spLocks noChangeArrowheads="1"/>
                        </wps:cNvSpPr>
                        <wps:spPr bwMode="auto">
                          <a:xfrm>
                            <a:off x="10142" y="690303"/>
                            <a:ext cx="1617" cy="585"/>
                          </a:xfrm>
                          <a:prstGeom prst="rect">
                            <a:avLst/>
                          </a:prstGeom>
                          <a:solidFill>
                            <a:srgbClr val="FFFFFF"/>
                          </a:solidFill>
                          <a:ln>
                            <a:noFill/>
                          </a:ln>
                        </wps:spPr>
                        <wps:txbx>
                          <w:txbxContent>
                            <w:p>
                              <w:pPr>
                                <w:spacing w:line="240" w:lineRule="exact"/>
                                <w:ind w:firstLine="0" w:firstLineChars="0"/>
                                <w:rPr>
                                  <w:bCs/>
                                  <w:sz w:val="21"/>
                                  <w:szCs w:val="21"/>
                                </w:rPr>
                              </w:pPr>
                              <w:r>
                                <w:rPr>
                                  <w:rFonts w:hint="eastAsia"/>
                                  <w:bCs/>
                                  <w:sz w:val="21"/>
                                  <w:szCs w:val="21"/>
                                </w:rPr>
                                <w:t>挥发损失水分</w:t>
                              </w:r>
                            </w:p>
                            <w:p>
                              <w:pPr>
                                <w:spacing w:line="240" w:lineRule="exact"/>
                                <w:ind w:firstLine="0" w:firstLineChars="0"/>
                                <w:rPr>
                                  <w:bCs/>
                                  <w:sz w:val="21"/>
                                  <w:szCs w:val="21"/>
                                </w:rPr>
                              </w:pPr>
                              <w:r>
                                <w:rPr>
                                  <w:rFonts w:hint="eastAsia"/>
                                  <w:bCs/>
                                  <w:sz w:val="21"/>
                                  <w:szCs w:val="21"/>
                                </w:rPr>
                                <w:t>5264.46</w:t>
                              </w:r>
                            </w:p>
                          </w:txbxContent>
                        </wps:txbx>
                        <wps:bodyPr rot="0" vert="horz" wrap="square" lIns="91440" tIns="45720" rIns="91440" bIns="45720" anchor="t" anchorCtr="0" upright="1">
                          <a:noAutofit/>
                        </wps:bodyPr>
                      </wps:wsp>
                      <wps:wsp>
                        <wps:cNvPr id="152" name="AutoShape 651"/>
                        <wps:cNvCnPr>
                          <a:cxnSpLocks noChangeShapeType="1"/>
                        </wps:cNvCnPr>
                        <wps:spPr bwMode="auto">
                          <a:xfrm flipH="1" flipV="1">
                            <a:off x="5073" y="691141"/>
                            <a:ext cx="4" cy="2253"/>
                          </a:xfrm>
                          <a:prstGeom prst="straightConnector1">
                            <a:avLst/>
                          </a:prstGeom>
                          <a:noFill/>
                          <a:ln w="9525">
                            <a:solidFill>
                              <a:srgbClr val="000000"/>
                            </a:solidFill>
                            <a:round/>
                          </a:ln>
                        </wps:spPr>
                        <wps:bodyPr/>
                      </wps:wsp>
                      <wps:wsp>
                        <wps:cNvPr id="50" name="文本框 39"/>
                        <wps:cNvSpPr txBox="1">
                          <a:spLocks noChangeArrowheads="1"/>
                        </wps:cNvSpPr>
                        <wps:spPr bwMode="auto">
                          <a:xfrm>
                            <a:off x="8775" y="690841"/>
                            <a:ext cx="994" cy="600"/>
                          </a:xfrm>
                          <a:prstGeom prst="rect">
                            <a:avLst/>
                          </a:prstGeom>
                          <a:solidFill>
                            <a:srgbClr val="FFFFFF"/>
                          </a:solidFill>
                          <a:ln w="6350">
                            <a:solidFill>
                              <a:srgbClr val="000000"/>
                            </a:solidFill>
                            <a:round/>
                          </a:ln>
                        </wps:spPr>
                        <wps:txbx>
                          <w:txbxContent>
                            <w:p>
                              <w:pPr>
                                <w:spacing w:line="240" w:lineRule="exact"/>
                                <w:ind w:firstLine="0" w:firstLineChars="0"/>
                                <w:rPr>
                                  <w:sz w:val="21"/>
                                  <w:szCs w:val="21"/>
                                </w:rPr>
                              </w:pPr>
                              <w:r>
                                <w:rPr>
                                  <w:rFonts w:hint="eastAsia"/>
                                  <w:sz w:val="21"/>
                                  <w:szCs w:val="21"/>
                                </w:rPr>
                                <w:t>发酵床</w:t>
                              </w:r>
                            </w:p>
                            <w:p>
                              <w:pPr>
                                <w:spacing w:line="240" w:lineRule="exact"/>
                                <w:ind w:firstLine="0" w:firstLineChars="0"/>
                                <w:rPr>
                                  <w:sz w:val="21"/>
                                  <w:szCs w:val="21"/>
                                </w:rPr>
                              </w:pPr>
                              <w:r>
                                <w:rPr>
                                  <w:rFonts w:hint="eastAsia"/>
                                  <w:sz w:val="21"/>
                                  <w:szCs w:val="21"/>
                                </w:rPr>
                                <w:t>8248.07</w:t>
                              </w:r>
                            </w:p>
                            <w:p>
                              <w:pPr>
                                <w:pStyle w:val="20"/>
                                <w:ind w:left="480"/>
                              </w:pPr>
                            </w:p>
                            <w:p>
                              <w:pPr>
                                <w:pStyle w:val="20"/>
                                <w:ind w:left="480"/>
                              </w:pPr>
                            </w:p>
                          </w:txbxContent>
                        </wps:txbx>
                        <wps:bodyPr rot="0" vert="horz" wrap="square" lIns="91440" tIns="45720" rIns="91440" bIns="45720" anchor="t" anchorCtr="0" upright="1">
                          <a:noAutofit/>
                        </wps:bodyPr>
                      </wps:wsp>
                      <wps:wsp>
                        <wps:cNvPr id="173" name="AutoShape 651"/>
                        <wps:cNvCnPr>
                          <a:cxnSpLocks noChangeShapeType="1"/>
                        </wps:cNvCnPr>
                        <wps:spPr bwMode="auto">
                          <a:xfrm flipH="1" flipV="1">
                            <a:off x="7698" y="688906"/>
                            <a:ext cx="559" cy="12"/>
                          </a:xfrm>
                          <a:prstGeom prst="straightConnector1">
                            <a:avLst/>
                          </a:prstGeom>
                          <a:noFill/>
                          <a:ln w="9525">
                            <a:solidFill>
                              <a:srgbClr val="000000"/>
                            </a:solidFill>
                            <a:round/>
                          </a:ln>
                        </wps:spPr>
                        <wps:bodyPr/>
                      </wps:wsp>
                      <wpg:grpSp>
                        <wpg:cNvPr id="178" name="组合 178"/>
                        <wpg:cNvGrpSpPr/>
                        <wpg:grpSpPr>
                          <a:xfrm>
                            <a:off x="9527" y="690688"/>
                            <a:ext cx="720" cy="157"/>
                            <a:chOff x="4838" y="1681"/>
                            <a:chExt cx="720" cy="157"/>
                          </a:xfrm>
                        </wpg:grpSpPr>
                        <wps:wsp>
                          <wps:cNvPr id="179"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80"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grpSp>
                      <wps:wsp>
                        <wps:cNvPr id="144" name="AutoShape 644"/>
                        <wps:cNvCnPr>
                          <a:cxnSpLocks noChangeShapeType="1"/>
                        </wps:cNvCnPr>
                        <wps:spPr bwMode="auto">
                          <a:xfrm>
                            <a:off x="2941" y="689764"/>
                            <a:ext cx="486" cy="6"/>
                          </a:xfrm>
                          <a:prstGeom prst="straightConnector1">
                            <a:avLst/>
                          </a:prstGeom>
                          <a:noFill/>
                          <a:ln w="9525">
                            <a:solidFill>
                              <a:srgbClr val="000000"/>
                            </a:solidFill>
                            <a:round/>
                            <a:tailEnd type="triangle" w="med" len="med"/>
                          </a:ln>
                        </wps:spPr>
                        <wps:bodyPr/>
                      </wps:wsp>
                      <wps:wsp>
                        <wps:cNvPr id="196" name="AutoShape 651"/>
                        <wps:cNvCnPr>
                          <a:cxnSpLocks noChangeShapeType="1"/>
                        </wps:cNvCnPr>
                        <wps:spPr bwMode="auto">
                          <a:xfrm flipH="1">
                            <a:off x="7413" y="691804"/>
                            <a:ext cx="349" cy="12"/>
                          </a:xfrm>
                          <a:prstGeom prst="straightConnector1">
                            <a:avLst/>
                          </a:prstGeom>
                          <a:noFill/>
                          <a:ln w="9525">
                            <a:solidFill>
                              <a:srgbClr val="000000"/>
                            </a:solidFill>
                            <a:round/>
                          </a:ln>
                        </wps:spPr>
                        <wps:bodyPr/>
                      </wps:wsp>
                      <wps:wsp>
                        <wps:cNvPr id="174" name="AutoShape 651"/>
                        <wps:cNvCnPr>
                          <a:cxnSpLocks noChangeShapeType="1"/>
                        </wps:cNvCnPr>
                        <wps:spPr bwMode="auto">
                          <a:xfrm flipH="1" flipV="1">
                            <a:off x="7908" y="690106"/>
                            <a:ext cx="349" cy="12"/>
                          </a:xfrm>
                          <a:prstGeom prst="straightConnector1">
                            <a:avLst/>
                          </a:prstGeom>
                          <a:noFill/>
                          <a:ln w="9525">
                            <a:solidFill>
                              <a:srgbClr val="000000"/>
                            </a:solidFill>
                            <a:round/>
                          </a:ln>
                        </wps:spPr>
                        <wps:bodyPr/>
                      </wps:wsp>
                      <wps:wsp>
                        <wps:cNvPr id="186" name="文本框 39"/>
                        <wps:cNvSpPr txBox="1">
                          <a:spLocks noChangeArrowheads="1"/>
                        </wps:cNvSpPr>
                        <wps:spPr bwMode="auto">
                          <a:xfrm>
                            <a:off x="3660" y="691636"/>
                            <a:ext cx="1007" cy="496"/>
                          </a:xfrm>
                          <a:prstGeom prst="rect">
                            <a:avLst/>
                          </a:prstGeom>
                          <a:solidFill>
                            <a:srgbClr val="FFFFFF"/>
                          </a:solidFill>
                          <a:ln w="6350">
                            <a:solidFill>
                              <a:srgbClr val="000000"/>
                            </a:solidFill>
                            <a:round/>
                          </a:ln>
                        </wps:spPr>
                        <wps:txbx>
                          <w:txbxContent>
                            <w:p>
                              <w:pPr>
                                <w:ind w:firstLine="0" w:firstLineChars="0"/>
                                <w:jc w:val="center"/>
                                <w:rPr>
                                  <w:bCs/>
                                  <w:color w:val="000000"/>
                                  <w:sz w:val="21"/>
                                  <w:szCs w:val="21"/>
                                </w:rPr>
                              </w:pPr>
                              <w:r>
                                <w:rPr>
                                  <w:rFonts w:hint="eastAsia"/>
                                  <w:bCs/>
                                  <w:color w:val="000000"/>
                                  <w:sz w:val="21"/>
                                  <w:szCs w:val="21"/>
                                </w:rPr>
                                <w:t>锯末24</w:t>
                              </w:r>
                            </w:p>
                            <w:p>
                              <w:pPr>
                                <w:ind w:firstLine="480"/>
                                <w:jc w:val="center"/>
                              </w:pPr>
                            </w:p>
                          </w:txbxContent>
                        </wps:txbx>
                        <wps:bodyPr rot="0" vert="horz" wrap="square" lIns="0" tIns="45720" rIns="0" bIns="45720" anchor="t" anchorCtr="0" upright="1">
                          <a:noAutofit/>
                        </wps:bodyPr>
                      </wps:wsp>
                      <wps:wsp>
                        <wps:cNvPr id="184" name="文本框 39"/>
                        <wps:cNvSpPr txBox="1">
                          <a:spLocks noChangeArrowheads="1"/>
                        </wps:cNvSpPr>
                        <wps:spPr bwMode="auto">
                          <a:xfrm>
                            <a:off x="3675" y="690901"/>
                            <a:ext cx="1007" cy="496"/>
                          </a:xfrm>
                          <a:prstGeom prst="rect">
                            <a:avLst/>
                          </a:prstGeom>
                          <a:solidFill>
                            <a:srgbClr val="FFFFFF"/>
                          </a:solidFill>
                          <a:ln w="6350">
                            <a:solidFill>
                              <a:srgbClr val="000000"/>
                            </a:solidFill>
                            <a:round/>
                          </a:ln>
                        </wps:spPr>
                        <wps:txbx>
                          <w:txbxContent>
                            <w:p>
                              <w:pPr>
                                <w:ind w:firstLine="0" w:firstLineChars="0"/>
                                <w:rPr>
                                  <w:bCs/>
                                  <w:color w:val="000000"/>
                                  <w:sz w:val="21"/>
                                  <w:szCs w:val="21"/>
                                </w:rPr>
                              </w:pPr>
                              <w:r>
                                <w:rPr>
                                  <w:rFonts w:hint="eastAsia"/>
                                  <w:bCs/>
                                  <w:color w:val="000000"/>
                                  <w:sz w:val="21"/>
                                  <w:szCs w:val="21"/>
                                </w:rPr>
                                <w:t>稻壳12</w:t>
                              </w:r>
                            </w:p>
                            <w:p>
                              <w:pPr>
                                <w:ind w:firstLine="480"/>
                              </w:pPr>
                            </w:p>
                          </w:txbxContent>
                        </wps:txbx>
                        <wps:bodyPr rot="0" vert="horz" wrap="square" lIns="91440" tIns="45720" rIns="91440" bIns="45720" anchor="t" anchorCtr="0" upright="1">
                          <a:noAutofit/>
                        </wps:bodyPr>
                      </wps:wsp>
                      <wps:wsp>
                        <wps:cNvPr id="189" name="AutoShape 651"/>
                        <wps:cNvCnPr>
                          <a:cxnSpLocks noChangeShapeType="1"/>
                        </wps:cNvCnPr>
                        <wps:spPr bwMode="auto">
                          <a:xfrm flipH="1" flipV="1">
                            <a:off x="4653" y="693376"/>
                            <a:ext cx="439" cy="3"/>
                          </a:xfrm>
                          <a:prstGeom prst="straightConnector1">
                            <a:avLst/>
                          </a:prstGeom>
                          <a:noFill/>
                          <a:ln w="9525">
                            <a:solidFill>
                              <a:srgbClr val="000000"/>
                            </a:solidFill>
                            <a:round/>
                          </a:ln>
                        </wps:spPr>
                        <wps:bodyPr/>
                      </wps:wsp>
                      <wps:wsp>
                        <wps:cNvPr id="191" name="AutoShape 651"/>
                        <wps:cNvCnPr>
                          <a:cxnSpLocks noChangeShapeType="1"/>
                        </wps:cNvCnPr>
                        <wps:spPr bwMode="auto">
                          <a:xfrm flipH="1">
                            <a:off x="4668" y="691849"/>
                            <a:ext cx="424" cy="12"/>
                          </a:xfrm>
                          <a:prstGeom prst="straightConnector1">
                            <a:avLst/>
                          </a:prstGeom>
                          <a:noFill/>
                          <a:ln w="9525">
                            <a:solidFill>
                              <a:srgbClr val="000000"/>
                            </a:solidFill>
                            <a:round/>
                          </a:ln>
                        </wps:spPr>
                        <wps:bodyPr/>
                      </wps:wsp>
                      <wps:wsp>
                        <wps:cNvPr id="147" name="文本框 45"/>
                        <wps:cNvSpPr txBox="1">
                          <a:spLocks noChangeArrowheads="1"/>
                        </wps:cNvSpPr>
                        <wps:spPr bwMode="auto">
                          <a:xfrm>
                            <a:off x="10277" y="690832"/>
                            <a:ext cx="1349" cy="590"/>
                          </a:xfrm>
                          <a:prstGeom prst="rect">
                            <a:avLst/>
                          </a:prstGeom>
                          <a:solidFill>
                            <a:srgbClr val="FFFFFF"/>
                          </a:solidFill>
                          <a:ln w="6350">
                            <a:solidFill>
                              <a:srgbClr val="000000"/>
                            </a:solidFill>
                            <a:round/>
                          </a:ln>
                        </wps:spPr>
                        <wps:txbx>
                          <w:txbxContent>
                            <w:p>
                              <w:pPr>
                                <w:spacing w:line="240" w:lineRule="exact"/>
                                <w:ind w:firstLine="0" w:firstLineChars="0"/>
                                <w:rPr>
                                  <w:sz w:val="21"/>
                                  <w:szCs w:val="21"/>
                                </w:rPr>
                              </w:pPr>
                              <w:r>
                                <w:rPr>
                                  <w:rFonts w:hint="eastAsia"/>
                                  <w:sz w:val="21"/>
                                  <w:szCs w:val="21"/>
                                </w:rPr>
                                <w:t>微生物消耗</w:t>
                              </w:r>
                            </w:p>
                            <w:p>
                              <w:pPr>
                                <w:pStyle w:val="20"/>
                                <w:spacing w:after="0" w:line="240" w:lineRule="exact"/>
                                <w:ind w:left="0" w:leftChars="0" w:firstLine="0" w:firstLineChars="0"/>
                              </w:pPr>
                              <w:r>
                                <w:rPr>
                                  <w:rFonts w:hint="eastAsia"/>
                                </w:rPr>
                                <w:t>708.46</w:t>
                              </w:r>
                            </w:p>
                          </w:txbxContent>
                        </wps:txbx>
                        <wps:bodyPr rot="0" vert="horz" wrap="square" lIns="91440" tIns="45720" rIns="91440" bIns="45720" anchor="t" anchorCtr="0" upright="1">
                          <a:noAutofit/>
                        </wps:bodyPr>
                      </wps:wsp>
                      <wps:wsp>
                        <wps:cNvPr id="176" name="AutoShape 648"/>
                        <wps:cNvCnPr>
                          <a:cxnSpLocks noChangeShapeType="1"/>
                        </wps:cNvCnPr>
                        <wps:spPr bwMode="auto">
                          <a:xfrm flipV="1">
                            <a:off x="7724" y="691114"/>
                            <a:ext cx="1058" cy="6"/>
                          </a:xfrm>
                          <a:prstGeom prst="straightConnector1">
                            <a:avLst/>
                          </a:prstGeom>
                          <a:noFill/>
                          <a:ln w="9525">
                            <a:solidFill>
                              <a:srgbClr val="000000"/>
                            </a:solidFill>
                            <a:round/>
                            <a:tailEnd type="triangle" w="med" len="med"/>
                          </a:ln>
                        </wps:spPr>
                        <wps:bodyPr/>
                      </wps:wsp>
                      <wps:wsp>
                        <wps:cNvPr id="153" name="AutoShape 651"/>
                        <wps:cNvCnPr>
                          <a:cxnSpLocks noChangeShapeType="1"/>
                        </wps:cNvCnPr>
                        <wps:spPr bwMode="auto">
                          <a:xfrm flipH="1">
                            <a:off x="7788" y="687703"/>
                            <a:ext cx="469" cy="3"/>
                          </a:xfrm>
                          <a:prstGeom prst="straightConnector1">
                            <a:avLst/>
                          </a:prstGeom>
                          <a:noFill/>
                          <a:ln w="9525">
                            <a:solidFill>
                              <a:srgbClr val="000000"/>
                            </a:solidFill>
                            <a:round/>
                          </a:ln>
                        </wps:spPr>
                        <wps:bodyPr/>
                      </wps:wsp>
                      <wpg:grpSp>
                        <wpg:cNvPr id="156" name="组合 156"/>
                        <wpg:cNvGrpSpPr/>
                        <wpg:grpSpPr>
                          <a:xfrm>
                            <a:off x="5373" y="686850"/>
                            <a:ext cx="2412" cy="1111"/>
                            <a:chOff x="12386" y="686850"/>
                            <a:chExt cx="2412" cy="1111"/>
                          </a:xfrm>
                        </wpg:grpSpPr>
                        <wps:wsp>
                          <wps:cNvPr id="32" name="AutoShape 644"/>
                          <wps:cNvCnPr>
                            <a:cxnSpLocks noChangeShapeType="1"/>
                          </wps:cNvCnPr>
                          <wps:spPr bwMode="auto">
                            <a:xfrm>
                              <a:off x="12669" y="687123"/>
                              <a:ext cx="441" cy="6"/>
                            </a:xfrm>
                            <a:prstGeom prst="straightConnector1">
                              <a:avLst/>
                            </a:prstGeom>
                            <a:noFill/>
                            <a:ln w="9525">
                              <a:solidFill>
                                <a:srgbClr val="000000"/>
                              </a:solidFill>
                              <a:round/>
                              <a:tailEnd type="triangle" w="med" len="med"/>
                            </a:ln>
                          </wps:spPr>
                          <wps:bodyPr/>
                        </wps:wsp>
                        <wps:wsp>
                          <wps:cNvPr id="20" name="AutoShape 651"/>
                          <wps:cNvCnPr>
                            <a:cxnSpLocks noChangeShapeType="1"/>
                          </wps:cNvCnPr>
                          <wps:spPr bwMode="auto">
                            <a:xfrm>
                              <a:off x="12660" y="687099"/>
                              <a:ext cx="0" cy="604"/>
                            </a:xfrm>
                            <a:prstGeom prst="straightConnector1">
                              <a:avLst/>
                            </a:prstGeom>
                            <a:noFill/>
                            <a:ln w="9525">
                              <a:solidFill>
                                <a:srgbClr val="000000"/>
                              </a:solidFill>
                              <a:round/>
                            </a:ln>
                          </wps:spPr>
                          <wps:bodyPr/>
                        </wps:wsp>
                        <wps:wsp>
                          <wps:cNvPr id="31" name="文本框 39"/>
                          <wps:cNvSpPr txBox="1">
                            <a:spLocks noChangeArrowheads="1"/>
                          </wps:cNvSpPr>
                          <wps:spPr bwMode="auto">
                            <a:xfrm>
                              <a:off x="13088" y="686850"/>
                              <a:ext cx="1710"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生长吸收116.8</w:t>
                                </w:r>
                              </w:p>
                            </w:txbxContent>
                          </wps:txbx>
                          <wps:bodyPr rot="0" vert="horz" wrap="square" lIns="91440" tIns="45720" rIns="91440" bIns="45720" anchor="t" anchorCtr="0" upright="1">
                            <a:noAutofit/>
                          </wps:bodyPr>
                        </wps:wsp>
                        <wps:wsp>
                          <wps:cNvPr id="151" name="AutoShape 651"/>
                          <wps:cNvCnPr>
                            <a:cxnSpLocks noChangeShapeType="1"/>
                          </wps:cNvCnPr>
                          <wps:spPr bwMode="auto">
                            <a:xfrm flipH="1">
                              <a:off x="12386" y="687403"/>
                              <a:ext cx="274" cy="3"/>
                            </a:xfrm>
                            <a:prstGeom prst="straightConnector1">
                              <a:avLst/>
                            </a:prstGeom>
                            <a:noFill/>
                            <a:ln w="9525">
                              <a:solidFill>
                                <a:srgbClr val="000000"/>
                              </a:solidFill>
                              <a:round/>
                            </a:ln>
                          </wps:spPr>
                          <wps:bodyPr/>
                        </wps:wsp>
                        <wps:wsp>
                          <wps:cNvPr id="154" name="AutoShape 644"/>
                          <wps:cNvCnPr>
                            <a:cxnSpLocks noChangeShapeType="1"/>
                          </wps:cNvCnPr>
                          <wps:spPr bwMode="auto">
                            <a:xfrm>
                              <a:off x="12654" y="687693"/>
                              <a:ext cx="441" cy="6"/>
                            </a:xfrm>
                            <a:prstGeom prst="straightConnector1">
                              <a:avLst/>
                            </a:prstGeom>
                            <a:noFill/>
                            <a:ln w="9525">
                              <a:solidFill>
                                <a:srgbClr val="000000"/>
                              </a:solidFill>
                              <a:round/>
                              <a:tailEnd type="triangle" w="med" len="med"/>
                            </a:ln>
                          </wps:spPr>
                          <wps:bodyPr/>
                        </wps:wsp>
                        <wps:wsp>
                          <wps:cNvPr id="155" name="文本框 39"/>
                          <wps:cNvSpPr txBox="1">
                            <a:spLocks noChangeArrowheads="1"/>
                          </wps:cNvSpPr>
                          <wps:spPr bwMode="auto">
                            <a:xfrm>
                              <a:off x="13073" y="687465"/>
                              <a:ext cx="1710"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猪粪排泄248.2</w:t>
                                </w:r>
                              </w:p>
                            </w:txbxContent>
                          </wps:txbx>
                          <wps:bodyPr rot="0" vert="horz" wrap="square" lIns="91440" tIns="45720" rIns="91440" bIns="45720" anchor="t" anchorCtr="0" upright="1">
                            <a:noAutofit/>
                          </wps:bodyPr>
                        </wps:wsp>
                      </wpg:grpSp>
                      <wpg:grpSp>
                        <wpg:cNvPr id="157" name="组合 157"/>
                        <wpg:cNvGrpSpPr/>
                        <wpg:grpSpPr>
                          <a:xfrm>
                            <a:off x="5373" y="688050"/>
                            <a:ext cx="2412" cy="1111"/>
                            <a:chOff x="12386" y="686850"/>
                            <a:chExt cx="2412" cy="1111"/>
                          </a:xfrm>
                        </wpg:grpSpPr>
                        <wps:wsp>
                          <wps:cNvPr id="158" name="AutoShape 644"/>
                          <wps:cNvCnPr>
                            <a:cxnSpLocks noChangeShapeType="1"/>
                          </wps:cNvCnPr>
                          <wps:spPr bwMode="auto">
                            <a:xfrm>
                              <a:off x="12669" y="687123"/>
                              <a:ext cx="441" cy="6"/>
                            </a:xfrm>
                            <a:prstGeom prst="straightConnector1">
                              <a:avLst/>
                            </a:prstGeom>
                            <a:noFill/>
                            <a:ln w="9525">
                              <a:solidFill>
                                <a:srgbClr val="000000"/>
                              </a:solidFill>
                              <a:round/>
                              <a:tailEnd type="triangle" w="med" len="med"/>
                            </a:ln>
                          </wps:spPr>
                          <wps:bodyPr/>
                        </wps:wsp>
                        <wps:wsp>
                          <wps:cNvPr id="159" name="AutoShape 651"/>
                          <wps:cNvCnPr>
                            <a:cxnSpLocks noChangeShapeType="1"/>
                          </wps:cNvCnPr>
                          <wps:spPr bwMode="auto">
                            <a:xfrm>
                              <a:off x="12660" y="687099"/>
                              <a:ext cx="0" cy="604"/>
                            </a:xfrm>
                            <a:prstGeom prst="straightConnector1">
                              <a:avLst/>
                            </a:prstGeom>
                            <a:noFill/>
                            <a:ln w="9525">
                              <a:solidFill>
                                <a:srgbClr val="000000"/>
                              </a:solidFill>
                              <a:round/>
                            </a:ln>
                          </wps:spPr>
                          <wps:bodyPr/>
                        </wps:wsp>
                        <wps:wsp>
                          <wps:cNvPr id="160" name="文本框 39"/>
                          <wps:cNvSpPr txBox="1">
                            <a:spLocks noChangeArrowheads="1"/>
                          </wps:cNvSpPr>
                          <wps:spPr bwMode="auto">
                            <a:xfrm>
                              <a:off x="13088" y="686850"/>
                              <a:ext cx="1710"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生长吸收613.2</w:t>
                                </w:r>
                              </w:p>
                            </w:txbxContent>
                          </wps:txbx>
                          <wps:bodyPr rot="0" vert="horz" wrap="square" lIns="91440" tIns="45720" rIns="91440" bIns="45720" anchor="t" anchorCtr="0" upright="1">
                            <a:noAutofit/>
                          </wps:bodyPr>
                        </wps:wsp>
                        <wps:wsp>
                          <wps:cNvPr id="161" name="AutoShape 651"/>
                          <wps:cNvCnPr>
                            <a:cxnSpLocks noChangeShapeType="1"/>
                          </wps:cNvCnPr>
                          <wps:spPr bwMode="auto">
                            <a:xfrm flipH="1">
                              <a:off x="12386" y="687403"/>
                              <a:ext cx="274" cy="3"/>
                            </a:xfrm>
                            <a:prstGeom prst="straightConnector1">
                              <a:avLst/>
                            </a:prstGeom>
                            <a:noFill/>
                            <a:ln w="9525">
                              <a:solidFill>
                                <a:srgbClr val="000000"/>
                              </a:solidFill>
                              <a:round/>
                            </a:ln>
                          </wps:spPr>
                          <wps:bodyPr/>
                        </wps:wsp>
                        <wps:wsp>
                          <wps:cNvPr id="162" name="AutoShape 644"/>
                          <wps:cNvCnPr>
                            <a:cxnSpLocks noChangeShapeType="1"/>
                          </wps:cNvCnPr>
                          <wps:spPr bwMode="auto">
                            <a:xfrm>
                              <a:off x="12654" y="687693"/>
                              <a:ext cx="441" cy="6"/>
                            </a:xfrm>
                            <a:prstGeom prst="straightConnector1">
                              <a:avLst/>
                            </a:prstGeom>
                            <a:noFill/>
                            <a:ln w="9525">
                              <a:solidFill>
                                <a:srgbClr val="000000"/>
                              </a:solidFill>
                              <a:round/>
                              <a:tailEnd type="triangle" w="med" len="med"/>
                            </a:ln>
                          </wps:spPr>
                          <wps:bodyPr/>
                        </wps:wsp>
                        <wps:wsp>
                          <wps:cNvPr id="163" name="文本框 39"/>
                          <wps:cNvSpPr txBox="1">
                            <a:spLocks noChangeArrowheads="1"/>
                          </wps:cNvSpPr>
                          <wps:spPr bwMode="auto">
                            <a:xfrm>
                              <a:off x="13073" y="687465"/>
                              <a:ext cx="1710"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猪粪排泄1095</w:t>
                                </w:r>
                              </w:p>
                            </w:txbxContent>
                          </wps:txbx>
                          <wps:bodyPr rot="0" vert="horz" wrap="square" lIns="91440" tIns="45720" rIns="91440" bIns="45720" anchor="t" anchorCtr="0" upright="1">
                            <a:noAutofit/>
                          </wps:bodyPr>
                        </wps:wsp>
                      </wpg:grpSp>
                      <wps:wsp>
                        <wps:cNvPr id="60" name="文本框 39"/>
                        <wps:cNvSpPr txBox="1">
                          <a:spLocks noChangeArrowheads="1"/>
                        </wps:cNvSpPr>
                        <wps:spPr bwMode="auto">
                          <a:xfrm>
                            <a:off x="8760" y="688726"/>
                            <a:ext cx="1473" cy="434"/>
                          </a:xfrm>
                          <a:prstGeom prst="rect">
                            <a:avLst/>
                          </a:prstGeom>
                          <a:solidFill>
                            <a:srgbClr val="FFFFFF"/>
                          </a:solidFill>
                          <a:ln w="6350">
                            <a:solidFill>
                              <a:srgbClr val="000000"/>
                            </a:solidFill>
                            <a:round/>
                          </a:ln>
                        </wps:spPr>
                        <wps:txbx>
                          <w:txbxContent>
                            <w:p>
                              <w:pPr>
                                <w:spacing w:line="240" w:lineRule="exact"/>
                                <w:ind w:firstLine="0" w:firstLineChars="0"/>
                                <w:rPr>
                                  <w:sz w:val="21"/>
                                  <w:szCs w:val="21"/>
                                </w:rPr>
                              </w:pPr>
                              <w:r>
                                <w:rPr>
                                  <w:rFonts w:hint="eastAsia"/>
                                  <w:sz w:val="21"/>
                                  <w:szCs w:val="21"/>
                                </w:rPr>
                                <w:t>干粪2361.55</w:t>
                              </w:r>
                            </w:p>
                          </w:txbxContent>
                        </wps:txbx>
                        <wps:bodyPr rot="0" vert="horz" wrap="square" lIns="91440" tIns="45720" rIns="91440" bIns="45720" anchor="t" anchorCtr="0" upright="1">
                          <a:noAutofit/>
                        </wps:bodyPr>
                      </wps:wsp>
                      <wps:wsp>
                        <wps:cNvPr id="146" name="AutoShape 644"/>
                        <wps:cNvCnPr>
                          <a:cxnSpLocks noChangeShapeType="1"/>
                        </wps:cNvCnPr>
                        <wps:spPr bwMode="auto">
                          <a:xfrm>
                            <a:off x="4696" y="691144"/>
                            <a:ext cx="831" cy="0"/>
                          </a:xfrm>
                          <a:prstGeom prst="straightConnector1">
                            <a:avLst/>
                          </a:prstGeom>
                          <a:noFill/>
                          <a:ln w="9525">
                            <a:solidFill>
                              <a:srgbClr val="000000"/>
                            </a:solidFill>
                            <a:round/>
                            <a:tailEnd type="triangle" w="med" len="med"/>
                          </a:ln>
                        </wps:spPr>
                        <wps:bodyPr/>
                      </wps:wsp>
                      <wps:wsp>
                        <wps:cNvPr id="193" name="文本框 39"/>
                        <wps:cNvSpPr txBox="1">
                          <a:spLocks noChangeArrowheads="1"/>
                        </wps:cNvSpPr>
                        <wps:spPr bwMode="auto">
                          <a:xfrm>
                            <a:off x="5490" y="690856"/>
                            <a:ext cx="1921" cy="496"/>
                          </a:xfrm>
                          <a:prstGeom prst="rect">
                            <a:avLst/>
                          </a:prstGeom>
                          <a:solidFill>
                            <a:srgbClr val="FFFFFF"/>
                          </a:solidFill>
                          <a:ln w="6350">
                            <a:solidFill>
                              <a:srgbClr val="000000"/>
                            </a:solidFill>
                            <a:round/>
                          </a:ln>
                        </wps:spPr>
                        <wps:txbx>
                          <w:txbxContent>
                            <w:p>
                              <w:pPr>
                                <w:ind w:firstLine="0" w:firstLineChars="0"/>
                              </w:pPr>
                              <w:r>
                                <w:rPr>
                                  <w:rFonts w:hint="eastAsia"/>
                                  <w:bCs/>
                                  <w:color w:val="000000"/>
                                  <w:sz w:val="21"/>
                                  <w:szCs w:val="21"/>
                                </w:rPr>
                                <w:t>发酵床垫料37.12</w:t>
                              </w:r>
                            </w:p>
                          </w:txbxContent>
                        </wps:txbx>
                        <wps:bodyPr rot="0" vert="horz" wrap="square" lIns="91440" tIns="45720" rIns="91440" bIns="45720" anchor="t" anchorCtr="0" upright="1">
                          <a:noAutofit/>
                        </wps:bodyPr>
                      </wps:wsp>
                      <wps:wsp>
                        <wps:cNvPr id="194" name="AutoShape 651"/>
                        <wps:cNvCnPr>
                          <a:cxnSpLocks noChangeShapeType="1"/>
                        </wps:cNvCnPr>
                        <wps:spPr bwMode="auto">
                          <a:xfrm flipH="1">
                            <a:off x="7413" y="691114"/>
                            <a:ext cx="349" cy="12"/>
                          </a:xfrm>
                          <a:prstGeom prst="straightConnector1">
                            <a:avLst/>
                          </a:prstGeom>
                          <a:noFill/>
                          <a:ln w="9525">
                            <a:solidFill>
                              <a:srgbClr val="000000"/>
                            </a:solidFill>
                            <a:round/>
                          </a:ln>
                        </wps:spPr>
                        <wps:bodyPr/>
                      </wps:wsp>
                      <wps:wsp>
                        <wps:cNvPr id="192" name="AutoShape 651"/>
                        <wps:cNvCnPr>
                          <a:cxnSpLocks noChangeShapeType="1"/>
                        </wps:cNvCnPr>
                        <wps:spPr bwMode="auto">
                          <a:xfrm flipH="1">
                            <a:off x="4653" y="692599"/>
                            <a:ext cx="424" cy="12"/>
                          </a:xfrm>
                          <a:prstGeom prst="straightConnector1">
                            <a:avLst/>
                          </a:prstGeom>
                          <a:noFill/>
                          <a:ln w="9525">
                            <a:solidFill>
                              <a:srgbClr val="000000"/>
                            </a:solidFill>
                            <a:round/>
                          </a:ln>
                        </wps:spPr>
                        <wps:bodyPr/>
                      </wps:wsp>
                      <wps:wsp>
                        <wps:cNvPr id="197" name="AutoShape 651"/>
                        <wps:cNvCnPr>
                          <a:cxnSpLocks noChangeShapeType="1"/>
                        </wps:cNvCnPr>
                        <wps:spPr bwMode="auto">
                          <a:xfrm flipH="1" flipV="1">
                            <a:off x="7758" y="691111"/>
                            <a:ext cx="4" cy="693"/>
                          </a:xfrm>
                          <a:prstGeom prst="straightConnector1">
                            <a:avLst/>
                          </a:prstGeom>
                          <a:noFill/>
                          <a:ln w="9525">
                            <a:solidFill>
                              <a:srgbClr val="000000"/>
                            </a:solidFill>
                            <a:round/>
                          </a:ln>
                        </wps:spPr>
                        <wps:bodyPr/>
                      </wps:wsp>
                      <wps:wsp>
                        <wps:cNvPr id="49" name="AutoShape 644"/>
                        <wps:cNvCnPr>
                          <a:cxnSpLocks noChangeShapeType="1"/>
                        </wps:cNvCnPr>
                        <wps:spPr bwMode="auto">
                          <a:xfrm>
                            <a:off x="9781" y="691114"/>
                            <a:ext cx="486" cy="6"/>
                          </a:xfrm>
                          <a:prstGeom prst="straightConnector1">
                            <a:avLst/>
                          </a:prstGeom>
                          <a:noFill/>
                          <a:ln w="9525">
                            <a:solidFill>
                              <a:srgbClr val="000000"/>
                            </a:solidFill>
                            <a:round/>
                            <a:tailEnd type="triangle" w="med" len="med"/>
                          </a:ln>
                        </wps:spPr>
                        <wps:bodyPr/>
                      </wps:wsp>
                      <wps:wsp>
                        <wps:cNvPr id="188" name="文本框 39"/>
                        <wps:cNvSpPr txBox="1">
                          <a:spLocks noChangeArrowheads="1"/>
                        </wps:cNvSpPr>
                        <wps:spPr bwMode="auto">
                          <a:xfrm>
                            <a:off x="2867" y="693121"/>
                            <a:ext cx="1785" cy="496"/>
                          </a:xfrm>
                          <a:prstGeom prst="rect">
                            <a:avLst/>
                          </a:prstGeom>
                          <a:solidFill>
                            <a:srgbClr val="FFFFFF"/>
                          </a:solidFill>
                          <a:ln w="6350">
                            <a:solidFill>
                              <a:srgbClr val="000000"/>
                            </a:solidFill>
                            <a:round/>
                          </a:ln>
                        </wps:spPr>
                        <wps:txbx>
                          <w:txbxContent>
                            <w:p>
                              <w:pPr>
                                <w:ind w:firstLine="0" w:firstLineChars="0"/>
                                <w:rPr>
                                  <w:bCs/>
                                  <w:color w:val="000000"/>
                                  <w:sz w:val="21"/>
                                  <w:szCs w:val="21"/>
                                </w:rPr>
                              </w:pPr>
                              <w:r>
                                <w:rPr>
                                  <w:rFonts w:hint="eastAsia"/>
                                  <w:bCs/>
                                  <w:color w:val="000000"/>
                                  <w:sz w:val="21"/>
                                  <w:szCs w:val="21"/>
                                </w:rPr>
                                <w:t>微生物菌种0.10</w:t>
                              </w:r>
                            </w:p>
                            <w:p>
                              <w:pPr>
                                <w:ind w:firstLine="480"/>
                              </w:pPr>
                            </w:p>
                          </w:txbxContent>
                        </wps:txbx>
                        <wps:bodyPr rot="0" vert="horz" wrap="square" lIns="91440" tIns="45720" rIns="91440" bIns="45720" anchor="t" anchorCtr="0" upright="1">
                          <a:noAutofit/>
                        </wps:bodyPr>
                      </wps:wsp>
                      <wps:wsp>
                        <wps:cNvPr id="45" name="Text Box 657"/>
                        <wps:cNvSpPr txBox="1">
                          <a:spLocks noChangeArrowheads="1"/>
                        </wps:cNvSpPr>
                        <wps:spPr bwMode="auto">
                          <a:xfrm>
                            <a:off x="3392" y="687241"/>
                            <a:ext cx="1047"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365</w:t>
                              </w:r>
                            </w:p>
                          </w:txbxContent>
                        </wps:txbx>
                        <wps:bodyPr rot="0" vert="horz" wrap="square" lIns="91440" tIns="45720" rIns="91440" bIns="45720" anchor="t" anchorCtr="0" upright="1">
                          <a:noAutofit/>
                        </wps:bodyPr>
                      </wps:wsp>
                      <wps:wsp>
                        <wps:cNvPr id="131" name="Text Box 662"/>
                        <wps:cNvSpPr txBox="1">
                          <a:spLocks noChangeArrowheads="1"/>
                        </wps:cNvSpPr>
                        <wps:spPr bwMode="auto">
                          <a:xfrm>
                            <a:off x="8401" y="691843"/>
                            <a:ext cx="2325" cy="740"/>
                          </a:xfrm>
                          <a:prstGeom prst="rect">
                            <a:avLst/>
                          </a:prstGeom>
                          <a:solidFill>
                            <a:srgbClr val="FFFFFF"/>
                          </a:solidFill>
                          <a:ln w="6350">
                            <a:noFill/>
                            <a:round/>
                          </a:ln>
                        </wps:spPr>
                        <wps:txbx>
                          <w:txbxContent>
                            <w:p>
                              <w:pPr>
                                <w:spacing w:line="280" w:lineRule="exact"/>
                                <w:ind w:firstLine="0" w:firstLineChars="0"/>
                                <w:rPr>
                                  <w:sz w:val="21"/>
                                  <w:szCs w:val="21"/>
                                </w:rPr>
                              </w:pPr>
                              <w:r>
                                <w:rPr>
                                  <w:rFonts w:hint="eastAsia"/>
                                  <w:sz w:val="21"/>
                                  <w:szCs w:val="21"/>
                                </w:rPr>
                                <w:t>2275.15作为有机肥料外售，实现综合利用</w:t>
                              </w:r>
                            </w:p>
                          </w:txbxContent>
                        </wps:txbx>
                        <wps:bodyPr rot="0" vert="horz" wrap="square" lIns="91440" tIns="45720" rIns="91440" bIns="45720" anchor="t" anchorCtr="0" upright="1">
                          <a:noAutofit/>
                        </wps:bodyPr>
                      </wps:wsp>
                      <wps:wsp>
                        <wps:cNvPr id="55" name="AutoShape 648"/>
                        <wps:cNvCnPr>
                          <a:cxnSpLocks noChangeShapeType="1"/>
                        </wps:cNvCnPr>
                        <wps:spPr bwMode="auto">
                          <a:xfrm flipV="1">
                            <a:off x="8234" y="688918"/>
                            <a:ext cx="533" cy="12"/>
                          </a:xfrm>
                          <a:prstGeom prst="straightConnector1">
                            <a:avLst/>
                          </a:prstGeom>
                          <a:noFill/>
                          <a:ln w="9525">
                            <a:solidFill>
                              <a:srgbClr val="000000"/>
                            </a:solidFill>
                            <a:round/>
                            <a:tailEnd type="triangle" w="med" len="med"/>
                          </a:ln>
                        </wps:spPr>
                        <wps:bodyPr/>
                      </wps:wsp>
                      <wps:wsp>
                        <wps:cNvPr id="42" name="文本框 39"/>
                        <wps:cNvSpPr txBox="1">
                          <a:spLocks noChangeArrowheads="1"/>
                        </wps:cNvSpPr>
                        <wps:spPr bwMode="auto">
                          <a:xfrm>
                            <a:off x="4380" y="687165"/>
                            <a:ext cx="977"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保育猪</w:t>
                              </w:r>
                            </w:p>
                          </w:txbxContent>
                        </wps:txbx>
                        <wps:bodyPr rot="0" vert="horz" wrap="square" lIns="91440" tIns="45720" rIns="91440" bIns="45720" anchor="t" anchorCtr="0" upright="1">
                          <a:noAutofit/>
                        </wps:bodyPr>
                      </wps:wsp>
                      <wps:wsp>
                        <wps:cNvPr id="130" name="文本框 31"/>
                        <wps:cNvSpPr txBox="1">
                          <a:spLocks noChangeArrowheads="1"/>
                        </wps:cNvSpPr>
                        <wps:spPr bwMode="auto">
                          <a:xfrm>
                            <a:off x="1800" y="688611"/>
                            <a:ext cx="1290" cy="618"/>
                          </a:xfrm>
                          <a:prstGeom prst="rect">
                            <a:avLst/>
                          </a:prstGeom>
                          <a:solidFill>
                            <a:srgbClr val="FFFFFF"/>
                          </a:solidFill>
                          <a:ln w="6350">
                            <a:noFill/>
                            <a:round/>
                          </a:ln>
                        </wps:spPr>
                        <wps:txbx>
                          <w:txbxContent>
                            <w:p>
                              <w:pPr>
                                <w:spacing w:line="240" w:lineRule="exact"/>
                                <w:ind w:firstLine="0" w:firstLineChars="0"/>
                                <w:rPr>
                                  <w:sz w:val="21"/>
                                  <w:szCs w:val="21"/>
                                </w:rPr>
                              </w:pPr>
                              <w:r>
                                <w:rPr>
                                  <w:rFonts w:hint="eastAsia"/>
                                  <w:sz w:val="21"/>
                                  <w:szCs w:val="21"/>
                                </w:rPr>
                                <w:t>饲料喂养</w:t>
                              </w:r>
                            </w:p>
                            <w:p>
                              <w:pPr>
                                <w:pStyle w:val="20"/>
                                <w:spacing w:after="0" w:line="240" w:lineRule="exact"/>
                                <w:ind w:left="0" w:leftChars="0" w:firstLine="0" w:firstLineChars="0"/>
                              </w:pPr>
                              <w:r>
                                <w:rPr>
                                  <w:rFonts w:hint="eastAsia"/>
                                  <w:szCs w:val="21"/>
                                </w:rPr>
                                <w:t>3890.9</w:t>
                              </w:r>
                            </w:p>
                          </w:txbxContent>
                        </wps:txbx>
                        <wps:bodyPr rot="0" vert="horz" wrap="square" lIns="91440" tIns="45720" rIns="91440" bIns="45720" anchor="t" anchorCtr="0" upright="1">
                          <a:noAutofit/>
                        </wps:bodyPr>
                      </wps:wsp>
                      <wps:wsp>
                        <wps:cNvPr id="46" name="AutoShape 644"/>
                        <wps:cNvCnPr>
                          <a:cxnSpLocks noChangeShapeType="1"/>
                        </wps:cNvCnPr>
                        <wps:spPr bwMode="auto">
                          <a:xfrm>
                            <a:off x="2971" y="687423"/>
                            <a:ext cx="486" cy="6"/>
                          </a:xfrm>
                          <a:prstGeom prst="straightConnector1">
                            <a:avLst/>
                          </a:prstGeom>
                          <a:noFill/>
                          <a:ln w="9525">
                            <a:solidFill>
                              <a:srgbClr val="000000"/>
                            </a:solidFill>
                            <a:round/>
                            <a:tailEnd type="triangle" w="med" len="med"/>
                          </a:ln>
                        </wps:spPr>
                        <wps:bodyPr/>
                      </wps:wsp>
                      <wps:wsp>
                        <wps:cNvPr id="129" name="AutoShape 645"/>
                        <wps:cNvCnPr>
                          <a:cxnSpLocks noChangeShapeType="1"/>
                        </wps:cNvCnPr>
                        <wps:spPr bwMode="auto">
                          <a:xfrm flipV="1">
                            <a:off x="2611" y="688975"/>
                            <a:ext cx="321" cy="1"/>
                          </a:xfrm>
                          <a:prstGeom prst="straightConnector1">
                            <a:avLst/>
                          </a:prstGeom>
                          <a:noFill/>
                          <a:ln w="9525">
                            <a:solidFill>
                              <a:srgbClr val="000000"/>
                            </a:solidFill>
                            <a:round/>
                            <a:tailEnd type="triangle" w="med" len="med"/>
                          </a:ln>
                        </wps:spPr>
                        <wps:bodyPr/>
                      </wps:wsp>
                      <wps:wsp>
                        <wps:cNvPr id="47" name="AutoShape 651"/>
                        <wps:cNvCnPr>
                          <a:cxnSpLocks noChangeShapeType="1"/>
                        </wps:cNvCnPr>
                        <wps:spPr bwMode="auto">
                          <a:xfrm>
                            <a:off x="2940" y="687401"/>
                            <a:ext cx="7" cy="2348"/>
                          </a:xfrm>
                          <a:prstGeom prst="straightConnector1">
                            <a:avLst/>
                          </a:prstGeom>
                          <a:noFill/>
                          <a:ln w="9525">
                            <a:solidFill>
                              <a:srgbClr val="000000"/>
                            </a:solidFill>
                            <a:round/>
                          </a:ln>
                        </wps:spPr>
                        <wps:bodyPr/>
                      </wps:wsp>
                      <wps:wsp>
                        <wps:cNvPr id="128" name="AutoShape 663"/>
                        <wps:cNvCnPr>
                          <a:cxnSpLocks noChangeShapeType="1"/>
                        </wps:cNvCnPr>
                        <wps:spPr bwMode="auto">
                          <a:xfrm>
                            <a:off x="9335" y="689163"/>
                            <a:ext cx="2" cy="1696"/>
                          </a:xfrm>
                          <a:prstGeom prst="straightConnector1">
                            <a:avLst/>
                          </a:prstGeom>
                          <a:noFill/>
                          <a:ln w="9525">
                            <a:solidFill>
                              <a:srgbClr val="000000"/>
                            </a:solidFill>
                            <a:round/>
                            <a:tailEnd type="triangle" w="med" len="med"/>
                          </a:ln>
                        </wps:spPr>
                        <wps:bodyPr/>
                      </wps:wsp>
                      <wps:wsp>
                        <wps:cNvPr id="43" name="AutoShape 644"/>
                        <wps:cNvCnPr>
                          <a:cxnSpLocks noChangeShapeType="1"/>
                        </wps:cNvCnPr>
                        <wps:spPr bwMode="auto">
                          <a:xfrm>
                            <a:off x="3961" y="687423"/>
                            <a:ext cx="426" cy="6"/>
                          </a:xfrm>
                          <a:prstGeom prst="straightConnector1">
                            <a:avLst/>
                          </a:prstGeom>
                          <a:noFill/>
                          <a:ln w="9525">
                            <a:solidFill>
                              <a:srgbClr val="000000"/>
                            </a:solidFill>
                            <a:round/>
                            <a:tailEnd type="triangle" w="med" len="med"/>
                          </a:ln>
                        </wps:spPr>
                        <wps:bodyPr/>
                      </wps:wsp>
                      <wps:wsp>
                        <wps:cNvPr id="126" name="Text Box 657"/>
                        <wps:cNvSpPr txBox="1">
                          <a:spLocks noChangeArrowheads="1"/>
                        </wps:cNvSpPr>
                        <wps:spPr bwMode="auto">
                          <a:xfrm>
                            <a:off x="3241" y="688397"/>
                            <a:ext cx="898" cy="49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1708.2</w:t>
                              </w:r>
                            </w:p>
                          </w:txbxContent>
                        </wps:txbx>
                        <wps:bodyPr rot="0" vert="horz" wrap="square" lIns="91440" tIns="45720" rIns="91440" bIns="45720" anchor="t" anchorCtr="0" upright="1">
                          <a:noAutofit/>
                        </wps:bodyPr>
                      </wps:wsp>
                      <wps:wsp>
                        <wps:cNvPr id="177" name="AutoShape 663"/>
                        <wps:cNvCnPr>
                          <a:cxnSpLocks noChangeShapeType="1"/>
                        </wps:cNvCnPr>
                        <wps:spPr bwMode="auto">
                          <a:xfrm>
                            <a:off x="9455" y="691458"/>
                            <a:ext cx="2" cy="475"/>
                          </a:xfrm>
                          <a:prstGeom prst="straightConnector1">
                            <a:avLst/>
                          </a:prstGeom>
                          <a:noFill/>
                          <a:ln w="9525">
                            <a:solidFill>
                              <a:srgbClr val="000000"/>
                            </a:solidFill>
                            <a:round/>
                            <a:tailEnd type="triangle" w="med" len="med"/>
                          </a:ln>
                        </wps:spPr>
                        <wps:bodyPr/>
                      </wps:wsp>
                      <wps:wsp>
                        <wps:cNvPr id="125" name="AutoShape 644"/>
                        <wps:cNvCnPr>
                          <a:cxnSpLocks noChangeShapeType="1"/>
                        </wps:cNvCnPr>
                        <wps:spPr bwMode="auto">
                          <a:xfrm flipV="1">
                            <a:off x="3960" y="688570"/>
                            <a:ext cx="427" cy="5"/>
                          </a:xfrm>
                          <a:prstGeom prst="straightConnector1">
                            <a:avLst/>
                          </a:prstGeom>
                          <a:noFill/>
                          <a:ln w="9525">
                            <a:solidFill>
                              <a:srgbClr val="000000"/>
                            </a:solidFill>
                            <a:round/>
                            <a:tailEnd type="triangle" w="med" len="med"/>
                          </a:ln>
                        </wps:spPr>
                        <wps:bodyPr/>
                      </wps:wsp>
                      <wps:wsp>
                        <wps:cNvPr id="124" name="文本框 39"/>
                        <wps:cNvSpPr txBox="1">
                          <a:spLocks noChangeArrowheads="1"/>
                        </wps:cNvSpPr>
                        <wps:spPr bwMode="auto">
                          <a:xfrm>
                            <a:off x="4365" y="688366"/>
                            <a:ext cx="1007"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生长猪</w:t>
                              </w:r>
                            </w:p>
                          </w:txbxContent>
                        </wps:txbx>
                        <wps:bodyPr rot="0" vert="horz" wrap="square" lIns="91440" tIns="45720" rIns="91440" bIns="45720" anchor="t" anchorCtr="0" upright="1">
                          <a:noAutofit/>
                        </wps:bodyPr>
                      </wps:wsp>
                      <wps:wsp>
                        <wps:cNvPr id="143" name="AutoShape 644"/>
                        <wps:cNvCnPr>
                          <a:cxnSpLocks noChangeShapeType="1"/>
                        </wps:cNvCnPr>
                        <wps:spPr bwMode="auto">
                          <a:xfrm>
                            <a:off x="3976" y="689779"/>
                            <a:ext cx="396" cy="9"/>
                          </a:xfrm>
                          <a:prstGeom prst="straightConnector1">
                            <a:avLst/>
                          </a:prstGeom>
                          <a:noFill/>
                          <a:ln w="9525">
                            <a:solidFill>
                              <a:srgbClr val="000000"/>
                            </a:solidFill>
                            <a:round/>
                            <a:tailEnd type="triangle" w="med" len="med"/>
                          </a:ln>
                        </wps:spPr>
                        <wps:bodyPr/>
                      </wps:wsp>
                      <wps:wsp>
                        <wps:cNvPr id="164" name="文本框 39"/>
                        <wps:cNvSpPr txBox="1">
                          <a:spLocks noChangeArrowheads="1"/>
                        </wps:cNvSpPr>
                        <wps:spPr bwMode="auto">
                          <a:xfrm>
                            <a:off x="4365" y="689536"/>
                            <a:ext cx="1007"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育肥猪</w:t>
                              </w:r>
                            </w:p>
                          </w:txbxContent>
                        </wps:txbx>
                        <wps:bodyPr rot="0" vert="horz" wrap="square" lIns="91440" tIns="45720" rIns="91440" bIns="45720" anchor="t" anchorCtr="0" upright="1">
                          <a:noAutofit/>
                        </wps:bodyPr>
                      </wps:wsp>
                      <wps:wsp>
                        <wps:cNvPr id="195" name="文本框 39"/>
                        <wps:cNvSpPr txBox="1">
                          <a:spLocks noChangeArrowheads="1"/>
                        </wps:cNvSpPr>
                        <wps:spPr bwMode="auto">
                          <a:xfrm>
                            <a:off x="5475" y="691546"/>
                            <a:ext cx="1935" cy="496"/>
                          </a:xfrm>
                          <a:prstGeom prst="rect">
                            <a:avLst/>
                          </a:prstGeom>
                          <a:solidFill>
                            <a:srgbClr val="FFFFFF"/>
                          </a:solidFill>
                          <a:ln w="6350">
                            <a:solidFill>
                              <a:srgbClr val="000000"/>
                            </a:solidFill>
                            <a:round/>
                          </a:ln>
                        </wps:spPr>
                        <wps:txbx>
                          <w:txbxContent>
                            <w:p>
                              <w:pPr>
                                <w:ind w:firstLine="0" w:firstLineChars="0"/>
                                <w:jc w:val="center"/>
                              </w:pPr>
                              <w:r>
                                <w:rPr>
                                  <w:rFonts w:hint="eastAsia"/>
                                  <w:bCs/>
                                  <w:color w:val="000000"/>
                                  <w:sz w:val="21"/>
                                  <w:szCs w:val="21"/>
                                </w:rPr>
                                <w:t>废水5849.4</w:t>
                              </w:r>
                            </w:p>
                          </w:txbxContent>
                        </wps:txbx>
                        <wps:bodyPr rot="0" vert="horz" wrap="square" lIns="91440" tIns="45720" rIns="91440" bIns="45720" anchor="t" anchorCtr="0" upright="1">
                          <a:noAutofit/>
                        </wps:bodyPr>
                      </wps:wsp>
                      <wps:wsp>
                        <wps:cNvPr id="21" name="AutoShape 651"/>
                        <wps:cNvCnPr>
                          <a:cxnSpLocks noChangeShapeType="1"/>
                        </wps:cNvCnPr>
                        <wps:spPr bwMode="auto">
                          <a:xfrm flipH="1" flipV="1">
                            <a:off x="8238" y="687706"/>
                            <a:ext cx="4" cy="2412"/>
                          </a:xfrm>
                          <a:prstGeom prst="straightConnector1">
                            <a:avLst/>
                          </a:prstGeom>
                          <a:noFill/>
                          <a:ln w="9525">
                            <a:solidFill>
                              <a:srgbClr val="000000"/>
                            </a:solidFill>
                            <a:round/>
                          </a:ln>
                        </wps:spPr>
                        <wps:bodyPr/>
                      </wps:wsp>
                      <wps:wsp>
                        <wps:cNvPr id="127" name="AutoShape 644"/>
                        <wps:cNvCnPr>
                          <a:cxnSpLocks noChangeShapeType="1"/>
                        </wps:cNvCnPr>
                        <wps:spPr bwMode="auto">
                          <a:xfrm>
                            <a:off x="2941" y="688579"/>
                            <a:ext cx="486" cy="6"/>
                          </a:xfrm>
                          <a:prstGeom prst="straightConnector1">
                            <a:avLst/>
                          </a:prstGeom>
                          <a:noFill/>
                          <a:ln w="9525">
                            <a:solidFill>
                              <a:srgbClr val="000000"/>
                            </a:solidFill>
                            <a:round/>
                            <a:tailEnd type="triangle" w="med" len="med"/>
                          </a:ln>
                        </wps:spPr>
                        <wps:bodyPr/>
                      </wps:wsp>
                      <wps:wsp>
                        <wps:cNvPr id="187" name="文本框 39"/>
                        <wps:cNvSpPr txBox="1">
                          <a:spLocks noChangeArrowheads="1"/>
                        </wps:cNvSpPr>
                        <wps:spPr bwMode="auto">
                          <a:xfrm>
                            <a:off x="3526" y="692371"/>
                            <a:ext cx="1126" cy="496"/>
                          </a:xfrm>
                          <a:prstGeom prst="rect">
                            <a:avLst/>
                          </a:prstGeom>
                          <a:solidFill>
                            <a:srgbClr val="FFFFFF"/>
                          </a:solidFill>
                          <a:ln w="6350">
                            <a:solidFill>
                              <a:srgbClr val="000000"/>
                            </a:solidFill>
                            <a:round/>
                          </a:ln>
                        </wps:spPr>
                        <wps:txbx>
                          <w:txbxContent>
                            <w:p>
                              <w:pPr>
                                <w:ind w:firstLine="0" w:firstLineChars="0"/>
                                <w:rPr>
                                  <w:bCs/>
                                  <w:color w:val="000000"/>
                                  <w:sz w:val="21"/>
                                  <w:szCs w:val="21"/>
                                </w:rPr>
                              </w:pPr>
                              <w:r>
                                <w:rPr>
                                  <w:rFonts w:hint="eastAsia"/>
                                  <w:bCs/>
                                  <w:color w:val="000000"/>
                                  <w:sz w:val="21"/>
                                  <w:szCs w:val="21"/>
                                </w:rPr>
                                <w:t>玉米1.02</w:t>
                              </w:r>
                            </w:p>
                            <w:p>
                              <w:pPr>
                                <w:ind w:firstLine="480"/>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7.1pt;margin-top:5.8pt;height:338.35pt;width:497.9pt;z-index:251716608;mso-width-relative:page;mso-height-relative:page;" coordorigin="1800,686850" coordsize="9958,6767" o:gfxdata="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">
                <o:lock v:ext="edit" aspectratio="f"/>
                <v:shape id="Text Box 657" o:spid="_x0000_s1026" o:spt="202" type="#_x0000_t202" style="position:absolute;left:3256;top:689582;height:495;width:898;" fillcolor="#FFFFFF" filled="t" stroked="f" coordsize="21600,21600" o:gfxdata="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Nsqw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ind w:firstLine="0" w:firstLineChars="0"/>
                          <w:rPr>
                            <w:bCs/>
                            <w:sz w:val="21"/>
                            <w:szCs w:val="21"/>
                          </w:rPr>
                        </w:pPr>
                        <w:r>
                          <w:rPr>
                            <w:rFonts w:hint="eastAsia"/>
                            <w:bCs/>
                            <w:sz w:val="21"/>
                            <w:szCs w:val="21"/>
                          </w:rPr>
                          <w:t>1817.7</w:t>
                        </w:r>
                      </w:p>
                    </w:txbxContent>
                  </v:textbox>
                </v:shape>
                <v:shape id="AutoShape 644" o:spid="_x0000_s1026" o:spt="32" type="#_x0000_t32" style="position:absolute;left:5581;top:689523;height:6;width:441;" filled="f" stroked="t" coordsize="21600,21600" o:gfxdata="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GEU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51" o:spid="_x0000_s1026" o:spt="32" type="#_x0000_t32" style="position:absolute;left:5572;top:689499;height:604;width:0;" filled="f" stroked="t" coordsize="21600,21600" o:gfxdata="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1TC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39" o:spid="_x0000_s1026" o:spt="202" type="#_x0000_t202" style="position:absolute;left:6000;top:689250;height:496;width:1890;" fillcolor="#FFFFFF" filled="t" stroked="t" coordsize="21600,21600" o:gfxdata="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N/5C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生长吸收799.35</w:t>
                        </w:r>
                      </w:p>
                    </w:txbxContent>
                  </v:textbox>
                </v:shape>
                <v:shape id="AutoShape 651" o:spid="_x0000_s1026" o:spt="32" type="#_x0000_t32" style="position:absolute;left:5298;top:689803;flip:x;height:3;width:274;" filled="f" stroked="t" coordsize="21600,21600" o:gfxdata="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jiZ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644" o:spid="_x0000_s1026" o:spt="32" type="#_x0000_t32" style="position:absolute;left:5566;top:690093;height:6;width:441;" filled="f" stroked="t" coordsize="21600,21600" o:gfxdata="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rp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文本框 39" o:spid="_x0000_s1026" o:spt="202" type="#_x0000_t202" style="position:absolute;left:5985;top:689865;height:496;width:1920;" fillcolor="#FFFFFF" filled="t" stroked="t" coordsize="21600,21600" o:gfxdata="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7A0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猪粪排泄1018.35</w:t>
                        </w:r>
                      </w:p>
                    </w:txbxContent>
                  </v:textbox>
                </v:shape>
                <v:shape id="Text Box 657" o:spid="_x0000_s1026" o:spt="202" type="#_x0000_t202" style="position:absolute;left:10142;top:690303;height:585;width:1617;" fillcolor="#FFFFFF" filled="t" stroked="f" coordsize="21600,21600" o:gfxdata="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Xi2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spacing w:line="240" w:lineRule="exact"/>
                          <w:ind w:firstLine="0" w:firstLineChars="0"/>
                          <w:rPr>
                            <w:bCs/>
                            <w:sz w:val="21"/>
                            <w:szCs w:val="21"/>
                          </w:rPr>
                        </w:pPr>
                        <w:r>
                          <w:rPr>
                            <w:rFonts w:hint="eastAsia"/>
                            <w:bCs/>
                            <w:sz w:val="21"/>
                            <w:szCs w:val="21"/>
                          </w:rPr>
                          <w:t>挥发损失水分</w:t>
                        </w:r>
                      </w:p>
                      <w:p>
                        <w:pPr>
                          <w:spacing w:line="240" w:lineRule="exact"/>
                          <w:ind w:firstLine="0" w:firstLineChars="0"/>
                          <w:rPr>
                            <w:bCs/>
                            <w:sz w:val="21"/>
                            <w:szCs w:val="21"/>
                          </w:rPr>
                        </w:pPr>
                        <w:r>
                          <w:rPr>
                            <w:rFonts w:hint="eastAsia"/>
                            <w:bCs/>
                            <w:sz w:val="21"/>
                            <w:szCs w:val="21"/>
                          </w:rPr>
                          <w:t>5264.46</w:t>
                        </w:r>
                      </w:p>
                    </w:txbxContent>
                  </v:textbox>
                </v:shape>
                <v:shape id="AutoShape 651" o:spid="_x0000_s1026" o:spt="32" type="#_x0000_t32" style="position:absolute;left:5073;top:691141;flip:x y;height:2253;width:4;" filled="f" stroked="t" coordsize="21600,21600" o:gfxdata="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xvU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39" o:spid="_x0000_s1026" o:spt="202" type="#_x0000_t202" style="position:absolute;left:8775;top:690841;height:600;width:994;" fillcolor="#FFFFFF" filled="t" stroked="t" coordsize="21600,21600" o:gfxdata="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njvm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240" w:lineRule="exact"/>
                          <w:ind w:firstLine="0" w:firstLineChars="0"/>
                          <w:rPr>
                            <w:sz w:val="21"/>
                            <w:szCs w:val="21"/>
                          </w:rPr>
                        </w:pPr>
                        <w:r>
                          <w:rPr>
                            <w:rFonts w:hint="eastAsia"/>
                            <w:sz w:val="21"/>
                            <w:szCs w:val="21"/>
                          </w:rPr>
                          <w:t>发酵床</w:t>
                        </w:r>
                      </w:p>
                      <w:p>
                        <w:pPr>
                          <w:spacing w:line="240" w:lineRule="exact"/>
                          <w:ind w:firstLine="0" w:firstLineChars="0"/>
                          <w:rPr>
                            <w:sz w:val="21"/>
                            <w:szCs w:val="21"/>
                          </w:rPr>
                        </w:pPr>
                        <w:r>
                          <w:rPr>
                            <w:rFonts w:hint="eastAsia"/>
                            <w:sz w:val="21"/>
                            <w:szCs w:val="21"/>
                          </w:rPr>
                          <w:t>8248.07</w:t>
                        </w:r>
                      </w:p>
                      <w:p>
                        <w:pPr>
                          <w:pStyle w:val="20"/>
                          <w:ind w:left="480"/>
                        </w:pPr>
                      </w:p>
                      <w:p>
                        <w:pPr>
                          <w:pStyle w:val="20"/>
                          <w:ind w:left="480"/>
                        </w:pPr>
                      </w:p>
                    </w:txbxContent>
                  </v:textbox>
                </v:shape>
                <v:shape id="AutoShape 651" o:spid="_x0000_s1026" o:spt="32" type="#_x0000_t32" style="position:absolute;left:7698;top:688906;flip:x y;height:12;width:559;" filled="f" stroked="t" coordsize="21600,21600" o:gfxdata="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1lq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_x0000_s1026" o:spid="_x0000_s1026" o:spt="203" style="position:absolute;left:9527;top:690688;height:157;width:720;" coordorigin="4838,1681" coordsize="720,157"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line id="直接连接符 61" o:spid="_x0000_s1026" o:spt="20" style="position:absolute;left:4838;top:1681;flip:y;height:157;width:360;" filled="f" stroked="t" coordsize="21600,21600" o:gfxdata="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3l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2" o:spid="_x0000_s1026" o:spt="20" style="position:absolute;left:5198;top:1681;height:2;width:360;" filled="f" stroked="t" coordsize="21600,21600" o:gfxdata="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umn2/&#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AutoShape 644" o:spid="_x0000_s1026" o:spt="32" type="#_x0000_t32" style="position:absolute;left:2941;top:689764;height:6;width:486;" filled="f" stroked="t" coordsize="21600,21600" o:gfxdata="UEsDBAoAAAAAAIdO4kAAAAAAAAAAAAAAAAAEAAAAZHJzL1BLAwQUAAAACACHTuJAIy12zLwAAADc&#10;AAAADwAAAGRycy9kb3ducmV2LnhtbEVPS2sCMRC+F/wPYQRvNavI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tds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51" o:spid="_x0000_s1026" o:spt="32" type="#_x0000_t32" style="position:absolute;left:7413;top:691804;flip:x;height:12;width:349;" filled="f" stroked="t" coordsize="21600,21600" o:gfxdata="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xMIH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651" o:spid="_x0000_s1026" o:spt="32" type="#_x0000_t32" style="position:absolute;left:7908;top:690106;flip:x y;height:12;width:349;" filled="f" stroked="t" coordsize="21600,21600" o:gfxdata="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wO3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39" o:spid="_x0000_s1026" o:spt="202" type="#_x0000_t202" style="position:absolute;left:3660;top:691636;height:496;width:1007;" fillcolor="#FFFFFF" filled="t" stroked="t" coordsize="21600,21600" o:gfxdata="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r9oA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inset="0mm,1.27mm,0mm,1.27mm">
                    <w:txbxContent>
                      <w:p>
                        <w:pPr>
                          <w:ind w:firstLine="0" w:firstLineChars="0"/>
                          <w:jc w:val="center"/>
                          <w:rPr>
                            <w:bCs/>
                            <w:color w:val="000000"/>
                            <w:sz w:val="21"/>
                            <w:szCs w:val="21"/>
                          </w:rPr>
                        </w:pPr>
                        <w:r>
                          <w:rPr>
                            <w:rFonts w:hint="eastAsia"/>
                            <w:bCs/>
                            <w:color w:val="000000"/>
                            <w:sz w:val="21"/>
                            <w:szCs w:val="21"/>
                          </w:rPr>
                          <w:t>锯末24</w:t>
                        </w:r>
                      </w:p>
                      <w:p>
                        <w:pPr>
                          <w:ind w:firstLine="480"/>
                          <w:jc w:val="center"/>
                        </w:pPr>
                      </w:p>
                    </w:txbxContent>
                  </v:textbox>
                </v:shape>
                <v:shape id="文本框 39" o:spid="_x0000_s1026" o:spt="202" type="#_x0000_t202" style="position:absolute;left:3675;top:690901;height:496;width:1007;" fillcolor="#FFFFFF" filled="t" stroked="t" coordsize="21600,21600" o:gfxdata="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JME2+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firstLine="0" w:firstLineChars="0"/>
                          <w:rPr>
                            <w:bCs/>
                            <w:color w:val="000000"/>
                            <w:sz w:val="21"/>
                            <w:szCs w:val="21"/>
                          </w:rPr>
                        </w:pPr>
                        <w:r>
                          <w:rPr>
                            <w:rFonts w:hint="eastAsia"/>
                            <w:bCs/>
                            <w:color w:val="000000"/>
                            <w:sz w:val="21"/>
                            <w:szCs w:val="21"/>
                          </w:rPr>
                          <w:t>稻壳12</w:t>
                        </w:r>
                      </w:p>
                      <w:p>
                        <w:pPr>
                          <w:ind w:firstLine="480"/>
                        </w:pPr>
                      </w:p>
                    </w:txbxContent>
                  </v:textbox>
                </v:shape>
                <v:shape id="AutoShape 651" o:spid="_x0000_s1026" o:spt="32" type="#_x0000_t32" style="position:absolute;left:4653;top:693376;flip:x y;height:3;width:439;" filled="f" stroked="t" coordsize="21600,21600" o:gfxdata="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I0W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51" o:spid="_x0000_s1026" o:spt="32" type="#_x0000_t32" style="position:absolute;left:4668;top:691849;flip:x;height:12;width:424;" filled="f" stroked="t" coordsize="21600,21600" o:gfxdata="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1a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文本框 45" o:spid="_x0000_s1026" o:spt="202" type="#_x0000_t202" style="position:absolute;left:10277;top:690832;height:590;width:1349;" fillcolor="#FFFFFF" filled="t" stroked="t" coordsize="21600,21600" o:gfxdata="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nN4K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240" w:lineRule="exact"/>
                          <w:ind w:firstLine="0" w:firstLineChars="0"/>
                          <w:rPr>
                            <w:sz w:val="21"/>
                            <w:szCs w:val="21"/>
                          </w:rPr>
                        </w:pPr>
                        <w:r>
                          <w:rPr>
                            <w:rFonts w:hint="eastAsia"/>
                            <w:sz w:val="21"/>
                            <w:szCs w:val="21"/>
                          </w:rPr>
                          <w:t>微生物消耗</w:t>
                        </w:r>
                      </w:p>
                      <w:p>
                        <w:pPr>
                          <w:pStyle w:val="20"/>
                          <w:spacing w:after="0" w:line="240" w:lineRule="exact"/>
                          <w:ind w:left="0" w:leftChars="0" w:firstLine="0" w:firstLineChars="0"/>
                        </w:pPr>
                        <w:r>
                          <w:rPr>
                            <w:rFonts w:hint="eastAsia"/>
                          </w:rPr>
                          <w:t>708.46</w:t>
                        </w:r>
                      </w:p>
                    </w:txbxContent>
                  </v:textbox>
                </v:shape>
                <v:shape id="AutoShape 648" o:spid="_x0000_s1026" o:spt="32" type="#_x0000_t32" style="position:absolute;left:7724;top:691114;flip:y;height:6;width:1058;" filled="f" stroked="t" coordsize="21600,21600" o:gfxdata="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dS2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51" o:spid="_x0000_s1026" o:spt="32" type="#_x0000_t32" style="position:absolute;left:7788;top:687703;flip:x;height:3;width:469;" filled="f" stroked="t" coordsize="21600,21600" o:gfxdata="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K2w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_x0000_s1026" o:spid="_x0000_s1026" o:spt="203" style="position:absolute;left:5373;top:686850;height:1111;width:2412;" coordorigin="12386,686850" coordsize="2412,1111"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AutoShape 644" o:spid="_x0000_s1026" o:spt="32" type="#_x0000_t32" style="position:absolute;left:12669;top:687123;height:6;width:441;"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51" o:spid="_x0000_s1026" o:spt="32" type="#_x0000_t32" style="position:absolute;left:12660;top:687099;height:604;width:0;" filled="f" stroked="t" coordsize="21600,21600" o:gfxdata="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Bzd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文本框 39" o:spid="_x0000_s1026" o:spt="202" type="#_x0000_t202" style="position:absolute;left:13088;top:686850;height:496;width:1710;" fillcolor="#FFFFFF" filled="t" stroked="t" coordsize="21600,21600" o:gfxdata="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Ne92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生长吸收116.8</w:t>
                          </w:r>
                        </w:p>
                      </w:txbxContent>
                    </v:textbox>
                  </v:shape>
                  <v:shape id="AutoShape 651" o:spid="_x0000_s1026" o:spt="32" type="#_x0000_t32" style="position:absolute;left:12386;top:687403;flip:x;height:3;width:274;" filled="f" stroked="t" coordsize="21600,21600" o:gfxdata="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U4Om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AutoShape 644" o:spid="_x0000_s1026" o:spt="32" type="#_x0000_t32" style="position:absolute;left:12654;top:687693;height:6;width:441;" filled="f" stroked="t" coordsize="21600,21600" o:gfxdata="UEsDBAoAAAAAAIdO4kAAAAAAAAAAAAAAAAAEAAAAZHJzL1BLAwQUAAAACACHTuJApvTgEb0AAADc&#10;AAAADwAAAGRycy9kb3ducmV2LnhtbEVPS2sCMRC+F/ofwhS8aVax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9OA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13073;top:687465;height:496;width:1710;" fillcolor="#FFFFFF" filled="t" stroked="t" coordsize="21600,21600" o:gfxdata="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NgmrO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猪粪排泄248.2</w:t>
                          </w:r>
                        </w:p>
                      </w:txbxContent>
                    </v:textbox>
                  </v:shape>
                </v:group>
                <v:group id="_x0000_s1026" o:spid="_x0000_s1026" o:spt="203" style="position:absolute;left:5373;top:688050;height:1111;width:2412;" coordorigin="12386,686850" coordsize="2412,1111"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shape id="AutoShape 644" o:spid="_x0000_s1026" o:spt="32" type="#_x0000_t32" style="position:absolute;left:12669;top:687123;height:6;width:441;" filled="f" stroked="t" coordsize="21600,21600" o:gfxdata="UEsDBAoAAAAAAIdO4kAAAAAAAAAAAAAAAAAEAAAAZHJzL1BLAwQUAAAACACHTuJAJ7nqFMAAAADc&#10;AAAADwAAAGRycy9kb3ducmV2LnhtbEWPT0vDQBDF74LfYRnBm91EM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ueo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651" o:spid="_x0000_s1026" o:spt="32" type="#_x0000_t32" style="position:absolute;left:12660;top:687099;height:604;width:0;" filled="f" stroked="t" coordsize="21600,21600" o:gfxdata="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rd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文本框 39" o:spid="_x0000_s1026" o:spt="202" type="#_x0000_t202" style="position:absolute;left:13088;top:686850;height:496;width:1710;" fillcolor="#FFFFFF" filled="t" stroked="t" coordsize="21600,21600" o:gfxdata="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785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生长吸收613.2</w:t>
                          </w:r>
                        </w:p>
                      </w:txbxContent>
                    </v:textbox>
                  </v:shape>
                  <v:shape id="AutoShape 651" o:spid="_x0000_s1026" o:spt="32" type="#_x0000_t32" style="position:absolute;left:12386;top:687403;flip:x;height:3;width:274;" filled="f" stroked="t" coordsize="21600,21600" o:gfxdata="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qV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644" o:spid="_x0000_s1026" o:spt="32" type="#_x0000_t32" style="position:absolute;left:12654;top:687693;height:6;width:441;" filled="f" stroked="t" coordsize="21600,21600" o:gfxdata="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0XQ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39" o:spid="_x0000_s1026" o:spt="202" type="#_x0000_t202" style="position:absolute;left:13073;top:687465;height:496;width:1710;" fillcolor="#FFFFFF" filled="t" stroked="t" coordsize="21600,21600" o:gfxdata="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alt4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猪粪排泄1095</w:t>
                          </w:r>
                        </w:p>
                      </w:txbxContent>
                    </v:textbox>
                  </v:shape>
                </v:group>
                <v:shape id="文本框 39" o:spid="_x0000_s1026" o:spt="202" type="#_x0000_t202" style="position:absolute;left:8760;top:688726;height:434;width:1473;" fillcolor="#FFFFFF" filled="t" stroked="t" coordsize="21600,21600" o:gfxdata="UEsDBAoAAAAAAIdO4kAAAAAAAAAAAAAAAAAEAAAAZHJzL1BLAwQUAAAACACHTuJApPLxW7QAAADb&#10;AAAADwAAAGRycy9kb3ducmV2LnhtbEVPvQrCMBDeBd8hnOCmaRWKVGNBQRA3tYvb0ZxtsbmUJFp9&#10;ezMIjh/f/6Z4m068yPnWsoJ0noAgrqxuuVZQXg+zFQgfkDV2lknBhzwU2/Fog7m2A5/pdQm1iCHs&#10;c1TQhNDnUvqqIYN+bnviyN2tMxgidLXUDocYbjq5SJJMGmw5NjTY076h6nF5GgXHbBduVOqTXi6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k8vFb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240" w:lineRule="exact"/>
                          <w:ind w:firstLine="0" w:firstLineChars="0"/>
                          <w:rPr>
                            <w:sz w:val="21"/>
                            <w:szCs w:val="21"/>
                          </w:rPr>
                        </w:pPr>
                        <w:r>
                          <w:rPr>
                            <w:rFonts w:hint="eastAsia"/>
                            <w:sz w:val="21"/>
                            <w:szCs w:val="21"/>
                          </w:rPr>
                          <w:t>干粪2361.55</w:t>
                        </w:r>
                      </w:p>
                    </w:txbxContent>
                  </v:textbox>
                </v:shape>
                <v:shape id="AutoShape 644" o:spid="_x0000_s1026" o:spt="32" type="#_x0000_t32" style="position:absolute;left:4696;top:691144;height:0;width:831;" filled="f" stroked="t" coordsize="21600,21600" o:gfxdata="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zTS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39" o:spid="_x0000_s1026" o:spt="202" type="#_x0000_t202" style="position:absolute;left:5490;top:690856;height:496;width:1921;" fillcolor="#FFFFFF" filled="t" stroked="t" coordsize="21600,21600" o:gfxdata="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Hwdx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ind w:firstLine="0" w:firstLineChars="0"/>
                        </w:pPr>
                        <w:r>
                          <w:rPr>
                            <w:rFonts w:hint="eastAsia"/>
                            <w:bCs/>
                            <w:color w:val="000000"/>
                            <w:sz w:val="21"/>
                            <w:szCs w:val="21"/>
                          </w:rPr>
                          <w:t>发酵床垫料37.12</w:t>
                        </w:r>
                      </w:p>
                    </w:txbxContent>
                  </v:textbox>
                </v:shape>
                <v:shape id="AutoShape 651" o:spid="_x0000_s1026" o:spt="32" type="#_x0000_t32" style="position:absolute;left:7413;top:691114;flip:x;height:12;width:349;" filled="f" stroked="t" coordsize="21600,21600" o:gfxdata="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a+e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51" o:spid="_x0000_s1026" o:spt="32" type="#_x0000_t32" style="position:absolute;left:4653;top:692599;flip:x;height:12;width:424;" filled="f" stroked="t" coordsize="21600,21600" o:gfxdata="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7/xA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AutoShape 651" o:spid="_x0000_s1026" o:spt="32" type="#_x0000_t32" style="position:absolute;left:7758;top:691111;flip:x y;height:693;width:4;" filled="f" stroked="t" coordsize="21600,21600" o:gfxdata="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l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44" o:spid="_x0000_s1026" o:spt="32" type="#_x0000_t32" style="position:absolute;left:9781;top:691114;height:6;width:486;"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39" o:spid="_x0000_s1026" o:spt="202" type="#_x0000_t202" style="position:absolute;left:2867;top:693121;height:496;width:1785;" fillcolor="#FFFFFF" filled="t" stroked="t" coordsize="21600,21600" o:gfxdata="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ARlq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pPr>
                          <w:ind w:firstLine="0" w:firstLineChars="0"/>
                          <w:rPr>
                            <w:bCs/>
                            <w:color w:val="000000"/>
                            <w:sz w:val="21"/>
                            <w:szCs w:val="21"/>
                          </w:rPr>
                        </w:pPr>
                        <w:r>
                          <w:rPr>
                            <w:rFonts w:hint="eastAsia"/>
                            <w:bCs/>
                            <w:color w:val="000000"/>
                            <w:sz w:val="21"/>
                            <w:szCs w:val="21"/>
                          </w:rPr>
                          <w:t>微生物菌种0.10</w:t>
                        </w:r>
                      </w:p>
                      <w:p>
                        <w:pPr>
                          <w:ind w:firstLine="480"/>
                        </w:pPr>
                      </w:p>
                    </w:txbxContent>
                  </v:textbox>
                </v:shape>
                <v:shape id="Text Box 657" o:spid="_x0000_s1026" o:spt="202" type="#_x0000_t202" style="position:absolute;left:3392;top:687241;height:495;width:1047;" fillcolor="#FFFFFF" filled="t" stroked="f" coordsize="21600,21600" o:gfxdata="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Yk9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firstLine="0" w:firstLineChars="0"/>
                          <w:rPr>
                            <w:bCs/>
                            <w:sz w:val="21"/>
                            <w:szCs w:val="21"/>
                          </w:rPr>
                        </w:pPr>
                        <w:r>
                          <w:rPr>
                            <w:rFonts w:hint="eastAsia"/>
                            <w:bCs/>
                            <w:sz w:val="21"/>
                            <w:szCs w:val="21"/>
                          </w:rPr>
                          <w:t>365</w:t>
                        </w:r>
                      </w:p>
                    </w:txbxContent>
                  </v:textbox>
                </v:shape>
                <v:shape id="Text Box 662" o:spid="_x0000_s1026" o:spt="202" type="#_x0000_t202" style="position:absolute;left:8401;top:691843;height:740;width:2325;" fillcolor="#FFFFFF" filled="t" stroked="f" coordsize="21600,21600" o:gfxdata="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a6NWO2AAAA3AAAAA8A&#10;AAAAAAAAAQAgAAAAIgAAAGRycy9kb3ducmV2LnhtbFBLAQIUABQAAAAIAIdO4kAzLwWeOwAAADkA&#10;AAAQAAAAAAAAAAEAIAAAAAUBAABkcnMvc2hhcGV4bWwueG1sUEsFBgAAAAAGAAYAWwEAAK8DAAAA&#10;AA==&#10;">
                  <v:fill on="t" focussize="0,0"/>
                  <v:stroke on="f" weight="0.5pt" joinstyle="round"/>
                  <v:imagedata o:title=""/>
                  <o:lock v:ext="edit" aspectratio="f"/>
                  <v:textbox>
                    <w:txbxContent>
                      <w:p>
                        <w:pPr>
                          <w:spacing w:line="280" w:lineRule="exact"/>
                          <w:ind w:firstLine="0" w:firstLineChars="0"/>
                          <w:rPr>
                            <w:sz w:val="21"/>
                            <w:szCs w:val="21"/>
                          </w:rPr>
                        </w:pPr>
                        <w:r>
                          <w:rPr>
                            <w:rFonts w:hint="eastAsia"/>
                            <w:sz w:val="21"/>
                            <w:szCs w:val="21"/>
                          </w:rPr>
                          <w:t>2275.15作为有机肥料外售，实现综合利用</w:t>
                        </w:r>
                      </w:p>
                    </w:txbxContent>
                  </v:textbox>
                </v:shape>
                <v:shape id="AutoShape 648" o:spid="_x0000_s1026" o:spt="32" type="#_x0000_t32" style="position:absolute;left:8234;top:688918;flip:y;height:12;width:533;" filled="f" stroked="t" coordsize="21600,21600" o:gfxdata="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KYM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4380;top:687165;height:496;width:977;" fillcolor="#FFFFFF" filled="t" stroked="t" coordsize="21600,21600" o:gfxdata="UEsDBAoAAAAAAIdO4kAAAAAAAAAAAAAAAAAEAAAAZHJzL1BLAwQUAAAACACHTuJAcNmW17cAAADb&#10;AAAADwAAAGRycy9kb3ducmV2LnhtbEWPwQrCMBBE74L/EFbwpqlVRK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2ZbX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保育猪</w:t>
                        </w:r>
                      </w:p>
                    </w:txbxContent>
                  </v:textbox>
                </v:shape>
                <v:shape id="文本框 31" o:spid="_x0000_s1026" o:spt="202" type="#_x0000_t202" style="position:absolute;left:1800;top:688611;height:618;width:1290;" fillcolor="#FFFFFF" filled="t" stroked="f" coordsize="21600,21600" o:gfxdata="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aQ+LsAAADc&#10;AAAADwAAAAAAAAABACAAAAAiAAAAZHJzL2Rvd25yZXYueG1sUEsBAhQAFAAAAAgAh07iQDMvBZ47&#10;AAAAOQAAABAAAAAAAAAAAQAgAAAACgEAAGRycy9zaGFwZXhtbC54bWxQSwUGAAAAAAYABgBbAQAA&#10;tAMAAAAA&#10;">
                  <v:fill on="t" focussize="0,0"/>
                  <v:stroke on="f" weight="0.5pt" joinstyle="round"/>
                  <v:imagedata o:title=""/>
                  <o:lock v:ext="edit" aspectratio="f"/>
                  <v:textbox>
                    <w:txbxContent>
                      <w:p>
                        <w:pPr>
                          <w:spacing w:line="240" w:lineRule="exact"/>
                          <w:ind w:firstLine="0" w:firstLineChars="0"/>
                          <w:rPr>
                            <w:sz w:val="21"/>
                            <w:szCs w:val="21"/>
                          </w:rPr>
                        </w:pPr>
                        <w:r>
                          <w:rPr>
                            <w:rFonts w:hint="eastAsia"/>
                            <w:sz w:val="21"/>
                            <w:szCs w:val="21"/>
                          </w:rPr>
                          <w:t>饲料喂养</w:t>
                        </w:r>
                      </w:p>
                      <w:p>
                        <w:pPr>
                          <w:pStyle w:val="20"/>
                          <w:spacing w:after="0" w:line="240" w:lineRule="exact"/>
                          <w:ind w:left="0" w:leftChars="0" w:firstLine="0" w:firstLineChars="0"/>
                        </w:pPr>
                        <w:r>
                          <w:rPr>
                            <w:rFonts w:hint="eastAsia"/>
                            <w:szCs w:val="21"/>
                          </w:rPr>
                          <w:t>3890.9</w:t>
                        </w:r>
                      </w:p>
                    </w:txbxContent>
                  </v:textbox>
                </v:shape>
                <v:shape id="AutoShape 644" o:spid="_x0000_s1026" o:spt="32" type="#_x0000_t32" style="position:absolute;left:2971;top:687423;height:6;width:486;"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45" o:spid="_x0000_s1026" o:spt="32" type="#_x0000_t32" style="position:absolute;left:2611;top:688975;flip:y;height:1;width:321;" filled="f" stroked="t" coordsize="21600,21600" o:gfxdata="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8fA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651" o:spid="_x0000_s1026" o:spt="32" type="#_x0000_t32" style="position:absolute;left:2940;top:687401;height:2348;width:7;" filled="f" stroked="t" coordsize="21600,21600" o:gfxdata="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SYQ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663" o:spid="_x0000_s1026" o:spt="32" type="#_x0000_t32" style="position:absolute;left:9335;top:689163;height:1696;width:2;" filled="f" stroked="t" coordsize="21600,21600" o:gfxdata="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44" o:spid="_x0000_s1026" o:spt="32" type="#_x0000_t32" style="position:absolute;left:3961;top:687423;height:6;width:426;"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657" o:spid="_x0000_s1026" o:spt="202" type="#_x0000_t202" style="position:absolute;left:3241;top:688397;height:495;width:898;" fillcolor="#FFFFFF" filled="t" stroked="f" coordsize="21600,21600" o:gfxdata="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0ikT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ind w:firstLine="0" w:firstLineChars="0"/>
                          <w:rPr>
                            <w:bCs/>
                            <w:sz w:val="21"/>
                            <w:szCs w:val="21"/>
                          </w:rPr>
                        </w:pPr>
                        <w:r>
                          <w:rPr>
                            <w:rFonts w:hint="eastAsia"/>
                            <w:bCs/>
                            <w:sz w:val="21"/>
                            <w:szCs w:val="21"/>
                          </w:rPr>
                          <w:t>1708.2</w:t>
                        </w:r>
                      </w:p>
                    </w:txbxContent>
                  </v:textbox>
                </v:shape>
                <v:shape id="AutoShape 663" o:spid="_x0000_s1026" o:spt="32" type="#_x0000_t32" style="position:absolute;left:9455;top:691458;height:475;width:2;" filled="f" stroked="t" coordsize="21600,21600" o:gfxdata="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TIg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44" o:spid="_x0000_s1026" o:spt="32" type="#_x0000_t32" style="position:absolute;left:3960;top:688570;flip:y;height:5;width:427;" filled="f" stroked="t" coordsize="21600,21600" o:gfxdata="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vPo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4365;top:688366;height:496;width:1007;" fillcolor="#FFFFFF" filled="t" stroked="t" coordsize="21600,21600" o:gfxdata="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CpMV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生长猪</w:t>
                        </w:r>
                      </w:p>
                    </w:txbxContent>
                  </v:textbox>
                </v:shape>
                <v:shape id="AutoShape 644" o:spid="_x0000_s1026" o:spt="32" type="#_x0000_t32" style="position:absolute;left:3976;top:689779;height:9;width:396;" filled="f" stroked="t"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39" o:spid="_x0000_s1026" o:spt="202" type="#_x0000_t202" style="position:absolute;left:4365;top:689536;height:496;width:1007;" fillcolor="#FFFFFF" filled="t" stroked="t" coordsize="21600,21600" o:gfxdata="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JA9ZW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育肥猪</w:t>
                        </w:r>
                      </w:p>
                    </w:txbxContent>
                  </v:textbox>
                </v:shape>
                <v:shape id="文本框 39" o:spid="_x0000_s1026" o:spt="202" type="#_x0000_t202" style="position:absolute;left:5475;top:691546;height:496;width:1935;" fillcolor="#FFFFFF" filled="t" stroked="t" coordsize="21600,21600" o:gfxdata="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jZICm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firstLine="0" w:firstLineChars="0"/>
                          <w:jc w:val="center"/>
                        </w:pPr>
                        <w:r>
                          <w:rPr>
                            <w:rFonts w:hint="eastAsia"/>
                            <w:bCs/>
                            <w:color w:val="000000"/>
                            <w:sz w:val="21"/>
                            <w:szCs w:val="21"/>
                          </w:rPr>
                          <w:t>废水5849.4</w:t>
                        </w:r>
                      </w:p>
                    </w:txbxContent>
                  </v:textbox>
                </v:shape>
                <v:shape id="AutoShape 651" o:spid="_x0000_s1026" o:spt="32" type="#_x0000_t32" style="position:absolute;left:8238;top:687706;flip:x y;height:2412;width:4;" filled="f" stroked="t" coordsize="21600,21600" o:gfxdata="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4i0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644" o:spid="_x0000_s1026" o:spt="32" type="#_x0000_t32" style="position:absolute;left:2941;top:688579;height:6;width:486;" filled="f" stroked="t" coordsize="21600,21600" o:gfxdata="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gDR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39" o:spid="_x0000_s1026" o:spt="202" type="#_x0000_t202" style="position:absolute;left:3526;top:692371;height:496;width:1126;" fillcolor="#FFFFFF" filled="t" stroked="t" coordsize="21600,21600" o:gfxdata="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KejRi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pPr>
                          <w:ind w:firstLine="0" w:firstLineChars="0"/>
                          <w:rPr>
                            <w:bCs/>
                            <w:color w:val="000000"/>
                            <w:sz w:val="21"/>
                            <w:szCs w:val="21"/>
                          </w:rPr>
                        </w:pPr>
                        <w:r>
                          <w:rPr>
                            <w:rFonts w:hint="eastAsia"/>
                            <w:bCs/>
                            <w:color w:val="000000"/>
                            <w:sz w:val="21"/>
                            <w:szCs w:val="21"/>
                          </w:rPr>
                          <w:t>玉米1.02</w:t>
                        </w:r>
                      </w:p>
                      <w:p>
                        <w:pPr>
                          <w:ind w:firstLine="480"/>
                        </w:pPr>
                      </w:p>
                    </w:txbxContent>
                  </v:textbox>
                </v:shape>
              </v:group>
            </w:pict>
          </mc:Fallback>
        </mc:AlternateContent>
      </w:r>
    </w:p>
    <w:p>
      <w:pPr>
        <w:pStyle w:val="12"/>
        <w:ind w:firstLine="480"/>
      </w:pPr>
    </w:p>
    <w:p>
      <w:pPr>
        <w:ind w:firstLine="480"/>
      </w:pPr>
    </w:p>
    <w:p>
      <w:pPr>
        <w:pStyle w:val="12"/>
        <w:ind w:firstLine="480"/>
      </w:pPr>
    </w:p>
    <w:p>
      <w:pPr>
        <w:ind w:firstLine="480"/>
      </w:pPr>
    </w:p>
    <w:p>
      <w:pPr>
        <w:pStyle w:val="12"/>
        <w:ind w:firstLine="480"/>
      </w:pPr>
    </w:p>
    <w:p>
      <w:pPr>
        <w:ind w:firstLine="480"/>
      </w:pPr>
    </w:p>
    <w:p>
      <w:pPr>
        <w:pStyle w:val="12"/>
        <w:ind w:firstLine="480"/>
      </w:pPr>
    </w:p>
    <w:p>
      <w:pPr>
        <w:ind w:firstLine="480"/>
      </w:pPr>
    </w:p>
    <w:p>
      <w:pPr>
        <w:pStyle w:val="12"/>
        <w:ind w:firstLine="480"/>
      </w:pPr>
    </w:p>
    <w:p>
      <w:pPr>
        <w:ind w:firstLine="480"/>
        <w:rPr>
          <w:highlight w:val="yellow"/>
        </w:rPr>
      </w:pPr>
    </w:p>
    <w:p>
      <w:pPr>
        <w:pStyle w:val="20"/>
        <w:ind w:left="480"/>
        <w:rPr>
          <w:highlight w:val="yellow"/>
        </w:rPr>
      </w:pPr>
    </w:p>
    <w:p>
      <w:pPr>
        <w:ind w:firstLine="480"/>
        <w:rPr>
          <w:highlight w:val="yellow"/>
        </w:rPr>
      </w:pPr>
    </w:p>
    <w:p>
      <w:pPr>
        <w:pStyle w:val="20"/>
        <w:ind w:left="480"/>
        <w:rPr>
          <w:highlight w:val="yellow"/>
        </w:rPr>
      </w:pPr>
    </w:p>
    <w:p>
      <w:pPr>
        <w:ind w:firstLine="480"/>
        <w:rPr>
          <w:highlight w:val="yellow"/>
        </w:rPr>
      </w:pPr>
    </w:p>
    <w:p>
      <w:pPr>
        <w:pStyle w:val="20"/>
        <w:ind w:left="480"/>
        <w:rPr>
          <w:highlight w:val="yellow"/>
        </w:rPr>
      </w:pPr>
    </w:p>
    <w:p>
      <w:pPr>
        <w:ind w:firstLine="0" w:firstLineChars="0"/>
        <w:jc w:val="center"/>
        <w:rPr>
          <w:b/>
          <w:bCs/>
          <w:sz w:val="21"/>
          <w:szCs w:val="21"/>
        </w:rPr>
      </w:pPr>
      <w:r>
        <w:rPr>
          <w:rFonts w:hint="eastAsia"/>
          <w:b/>
          <w:bCs/>
          <w:sz w:val="21"/>
          <w:szCs w:val="21"/>
        </w:rPr>
        <w:t>图2.3-1  物料平衡图</w:t>
      </w:r>
    </w:p>
    <w:p>
      <w:pPr>
        <w:pStyle w:val="5"/>
        <w:spacing w:before="48" w:after="48"/>
      </w:pPr>
      <w:r>
        <mc:AlternateContent>
          <mc:Choice Requires="wps">
            <w:drawing>
              <wp:anchor distT="0" distB="0" distL="114300" distR="114300" simplePos="0" relativeHeight="251675648" behindDoc="0" locked="0" layoutInCell="1" allowOverlap="1">
                <wp:simplePos x="0" y="0"/>
                <wp:positionH relativeFrom="column">
                  <wp:posOffset>4223385</wp:posOffset>
                </wp:positionH>
                <wp:positionV relativeFrom="paragraph">
                  <wp:posOffset>11583035</wp:posOffset>
                </wp:positionV>
                <wp:extent cx="373380" cy="0"/>
                <wp:effectExtent l="0" t="76200" r="26670" b="95250"/>
                <wp:wrapNone/>
                <wp:docPr id="289" name="直线 67"/>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9525">
                          <a:solidFill>
                            <a:srgbClr val="000000"/>
                          </a:solidFill>
                          <a:round/>
                          <a:tailEnd type="triangle" w="med" len="med"/>
                        </a:ln>
                        <a:effectLst/>
                      </wps:spPr>
                      <wps:bodyPr/>
                    </wps:wsp>
                  </a:graphicData>
                </a:graphic>
              </wp:anchor>
            </w:drawing>
          </mc:Choice>
          <mc:Fallback>
            <w:pict>
              <v:line id="直线 67" o:spid="_x0000_s1026" o:spt="20" style="position:absolute;left:0pt;margin-left:332.55pt;margin-top:912.05pt;height:0pt;width:29.4pt;z-index:251675648;mso-width-relative:page;mso-height-relative:page;" filled="f" stroked="t" coordsize="21600,21600" o:gfxdata="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xvrxNsAAAANAQAADwAAAAAAAAABACAAAAAiAAAAZHJzL2Rvd25yZXYu&#10;eG1sUEsBAhQAFAAAAAgAh07iQNEK+Kv4AQAA3wMAAA4AAAAAAAAAAQAgAAAAKgEAAGRycy9lMm9E&#10;b2MueG1sUEsFBgAAAAAGAAYAWQEAAJQFAAAAAA==&#10;">
                <v:fill on="f" focussize="0,0"/>
                <v:stroke color="#000000" joinstyle="round" endarrow="block"/>
                <v:imagedata o:title=""/>
                <o:lock v:ext="edit" aspectratio="f"/>
              </v:line>
            </w:pict>
          </mc:Fallback>
        </mc:AlternateContent>
      </w:r>
      <w:r>
        <w:rPr>
          <w:rFonts w:hint="eastAsia"/>
        </w:rPr>
        <w:t>2.3.2水平衡</w:t>
      </w:r>
    </w:p>
    <w:p>
      <w:pPr>
        <w:ind w:firstLine="480"/>
      </w:pPr>
      <w:r>
        <w:t>项目营运期间用水主要为猪只饮用水、消毒冲洗废水、生活用水以及猪舍水帘降温用水。项目水平衡见图</w:t>
      </w:r>
      <w:r>
        <w:rPr>
          <w:rFonts w:hint="eastAsia"/>
        </w:rPr>
        <w:t>2.3-2</w:t>
      </w:r>
      <w:r>
        <w:t>。</w:t>
      </w:r>
    </w:p>
    <w:p>
      <w:pPr>
        <w:pStyle w:val="12"/>
        <w:ind w:firstLine="480"/>
      </w:pPr>
    </w:p>
    <w:p>
      <w:pPr>
        <w:ind w:firstLine="480"/>
      </w:pPr>
    </w:p>
    <w:p>
      <w:pPr>
        <w:pStyle w:val="12"/>
        <w:ind w:firstLine="480"/>
      </w:pPr>
    </w:p>
    <w:p>
      <w:pPr>
        <w:ind w:firstLine="480"/>
      </w:pPr>
      <w:r>
        <mc:AlternateContent>
          <mc:Choice Requires="wps">
            <w:drawing>
              <wp:anchor distT="0" distB="0" distL="114300" distR="114300" simplePos="0" relativeHeight="251669504" behindDoc="0" locked="0" layoutInCell="1" allowOverlap="1">
                <wp:simplePos x="0" y="0"/>
                <wp:positionH relativeFrom="column">
                  <wp:posOffset>5551805</wp:posOffset>
                </wp:positionH>
                <wp:positionV relativeFrom="paragraph">
                  <wp:posOffset>73660</wp:posOffset>
                </wp:positionV>
                <wp:extent cx="734060" cy="371475"/>
                <wp:effectExtent l="0" t="0" r="8890" b="9525"/>
                <wp:wrapNone/>
                <wp:docPr id="117"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734060" cy="371475"/>
                        </a:xfrm>
                        <a:prstGeom prst="rect">
                          <a:avLst/>
                        </a:prstGeom>
                        <a:solidFill>
                          <a:srgbClr val="FFFFFF"/>
                        </a:solidFill>
                        <a:ln>
                          <a:noFill/>
                        </a:ln>
                      </wps:spPr>
                      <wps:txbx>
                        <w:txbxContent>
                          <w:p>
                            <w:pPr>
                              <w:spacing w:line="240" w:lineRule="exact"/>
                              <w:ind w:firstLine="0" w:firstLineChars="0"/>
                              <w:rPr>
                                <w:bCs/>
                                <w:sz w:val="21"/>
                                <w:szCs w:val="21"/>
                              </w:rPr>
                            </w:pPr>
                            <w:r>
                              <w:rPr>
                                <w:rFonts w:hint="eastAsia"/>
                                <w:bCs/>
                                <w:sz w:val="21"/>
                                <w:szCs w:val="21"/>
                              </w:rPr>
                              <w:t>挥发损失</w:t>
                            </w:r>
                          </w:p>
                          <w:p>
                            <w:pPr>
                              <w:spacing w:line="240" w:lineRule="exact"/>
                              <w:ind w:firstLine="0" w:firstLineChars="0"/>
                              <w:rPr>
                                <w:bCs/>
                                <w:sz w:val="21"/>
                                <w:szCs w:val="21"/>
                              </w:rPr>
                            </w:pPr>
                            <w:r>
                              <w:rPr>
                                <w:rFonts w:hint="eastAsia"/>
                                <w:bCs/>
                                <w:sz w:val="21"/>
                                <w:szCs w:val="21"/>
                              </w:rPr>
                              <w:t>5264.46</w:t>
                            </w:r>
                          </w:p>
                          <w:p>
                            <w:pPr>
                              <w:spacing w:line="240" w:lineRule="exact"/>
                              <w:ind w:firstLine="0" w:firstLineChars="0"/>
                              <w:rPr>
                                <w:bCs/>
                                <w:sz w:val="21"/>
                                <w:szCs w:val="21"/>
                              </w:rPr>
                            </w:pP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437.15pt;margin-top:5.8pt;height:29.25pt;width:57.8pt;z-index:251669504;mso-width-relative:page;mso-height-relative:page;" fillcolor="#FFFFFF" filled="t" stroked="f" coordsize="21600,21600" o:gfxdata="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BhJBdcAAAAJ&#10;AQAADwAAAAAAAAABACAAAAAiAAAAZHJzL2Rvd25yZXYueG1sUEsBAhQAFAAAAAgAh07iQE+XCUwd&#10;AgAAQAQAAA4AAAAAAAAAAQAgAAAAJgEAAGRycy9lMm9Eb2MueG1sUEsFBgAAAAAGAAYAWQEAALUF&#10;AAAAAA==&#10;">
                <v:fill on="t" focussize="0,0"/>
                <v:stroke on="f"/>
                <v:imagedata o:title=""/>
                <o:lock v:ext="edit" aspectratio="f"/>
                <v:textbox>
                  <w:txbxContent>
                    <w:p>
                      <w:pPr>
                        <w:spacing w:line="240" w:lineRule="exact"/>
                        <w:ind w:firstLine="0" w:firstLineChars="0"/>
                        <w:rPr>
                          <w:bCs/>
                          <w:sz w:val="21"/>
                          <w:szCs w:val="21"/>
                        </w:rPr>
                      </w:pPr>
                      <w:r>
                        <w:rPr>
                          <w:rFonts w:hint="eastAsia"/>
                          <w:bCs/>
                          <w:sz w:val="21"/>
                          <w:szCs w:val="21"/>
                        </w:rPr>
                        <w:t>挥发损失</w:t>
                      </w:r>
                    </w:p>
                    <w:p>
                      <w:pPr>
                        <w:spacing w:line="240" w:lineRule="exact"/>
                        <w:ind w:firstLine="0" w:firstLineChars="0"/>
                        <w:rPr>
                          <w:bCs/>
                          <w:sz w:val="21"/>
                          <w:szCs w:val="21"/>
                        </w:rPr>
                      </w:pPr>
                      <w:r>
                        <w:rPr>
                          <w:rFonts w:hint="eastAsia"/>
                          <w:bCs/>
                          <w:sz w:val="21"/>
                          <w:szCs w:val="21"/>
                        </w:rPr>
                        <w:t>5264.46</w:t>
                      </w:r>
                    </w:p>
                    <w:p>
                      <w:pPr>
                        <w:spacing w:line="240" w:lineRule="exact"/>
                        <w:ind w:firstLine="0" w:firstLineChars="0"/>
                        <w:rPr>
                          <w:bCs/>
                          <w:sz w:val="21"/>
                          <w:szCs w:val="21"/>
                        </w:rPr>
                      </w:pPr>
                    </w:p>
                  </w:txbxContent>
                </v:textbox>
              </v:shape>
            </w:pict>
          </mc:Fallback>
        </mc:AlternateContent>
      </w:r>
      <w:r>
        <mc:AlternateContent>
          <mc:Choice Requires="wps">
            <w:drawing>
              <wp:anchor distT="0" distB="0" distL="113665" distR="113665" simplePos="0" relativeHeight="251706368" behindDoc="0" locked="0" layoutInCell="1" allowOverlap="1">
                <wp:simplePos x="0" y="0"/>
                <wp:positionH relativeFrom="column">
                  <wp:posOffset>4212590</wp:posOffset>
                </wp:positionH>
                <wp:positionV relativeFrom="paragraph">
                  <wp:posOffset>-169545</wp:posOffset>
                </wp:positionV>
                <wp:extent cx="0" cy="1495425"/>
                <wp:effectExtent l="0" t="0" r="19050" b="9525"/>
                <wp:wrapNone/>
                <wp:docPr id="109" name="AutoShape 651"/>
                <wp:cNvGraphicFramePr/>
                <a:graphic xmlns:a="http://schemas.openxmlformats.org/drawingml/2006/main">
                  <a:graphicData uri="http://schemas.microsoft.com/office/word/2010/wordprocessingShape">
                    <wps:wsp>
                      <wps:cNvCnPr>
                        <a:cxnSpLocks noChangeShapeType="1"/>
                      </wps:cNvCnPr>
                      <wps:spPr bwMode="auto">
                        <a:xfrm>
                          <a:off x="0" y="0"/>
                          <a:ext cx="0" cy="1495425"/>
                        </a:xfrm>
                        <a:prstGeom prst="straightConnector1">
                          <a:avLst/>
                        </a:prstGeom>
                        <a:noFill/>
                        <a:ln w="9525">
                          <a:solidFill>
                            <a:srgbClr val="000000"/>
                          </a:solidFill>
                          <a:round/>
                        </a:ln>
                      </wps:spPr>
                      <wps:bodyPr/>
                    </wps:wsp>
                  </a:graphicData>
                </a:graphic>
              </wp:anchor>
            </w:drawing>
          </mc:Choice>
          <mc:Fallback>
            <w:pict>
              <v:shape id="AutoShape 651" o:spid="_x0000_s1026" o:spt="32" type="#_x0000_t32" style="position:absolute;left:0pt;margin-left:331.7pt;margin-top:-13.35pt;height:117.75pt;width:0pt;z-index:251706368;mso-width-relative:page;mso-height-relative:page;" filled="f" stroked="t" coordsize="21600,21600" o:gfxdata="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dws9rYAAAACwEAAA8AAAAAAAAAAQAg&#10;AAAAIgAAAGRycy9kb3ducmV2LnhtbFBLAQIUABQAAAAIAIdO4kB691Rr1QEAALYDAAAOAAAAAAAA&#10;AAEAIAAAACcBAABkcnMvZTJvRG9jLnhtbFBLBQYAAAAABgAGAFkBAABu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3810635</wp:posOffset>
                </wp:positionH>
                <wp:positionV relativeFrom="paragraph">
                  <wp:posOffset>-165100</wp:posOffset>
                </wp:positionV>
                <wp:extent cx="409575" cy="3810"/>
                <wp:effectExtent l="0" t="0" r="28575" b="34290"/>
                <wp:wrapNone/>
                <wp:docPr id="110" name="AutoShape 651"/>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3810"/>
                        </a:xfrm>
                        <a:prstGeom prst="straightConnector1">
                          <a:avLst/>
                        </a:prstGeom>
                        <a:noFill/>
                        <a:ln w="9525">
                          <a:solidFill>
                            <a:srgbClr val="000000"/>
                          </a:solidFill>
                          <a:round/>
                        </a:ln>
                      </wps:spPr>
                      <wps:bodyPr/>
                    </wps:wsp>
                  </a:graphicData>
                </a:graphic>
              </wp:anchor>
            </w:drawing>
          </mc:Choice>
          <mc:Fallback>
            <w:pict>
              <v:shape id="AutoShape 651" o:spid="_x0000_s1026" o:spt="32" type="#_x0000_t32" style="position:absolute;left:0pt;flip:x y;margin-left:300.05pt;margin-top:-13pt;height:0.3pt;width:32.25pt;z-index:251707392;mso-width-relative:page;mso-height-relative:page;" filled="f" stroked="t" coordsize="21600,21600" o:gfxdata="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OpjMtkA&#10;AAALAQAADwAAAAAAAAABACAAAAAiAAAAZHJzL2Rvd25yZXYueG1sUEsBAhQAFAAAAAgAh07iQLC3&#10;EUPlAQAAzAMAAA4AAAAAAAAAAQAgAAAAKAEAAGRycy9lMm9Eb2MueG1sUEsFBgAAAAAGAAYAWQEA&#10;AH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2052955</wp:posOffset>
                </wp:positionH>
                <wp:positionV relativeFrom="paragraph">
                  <wp:posOffset>214630</wp:posOffset>
                </wp:positionV>
                <wp:extent cx="427355" cy="314325"/>
                <wp:effectExtent l="0" t="0" r="0" b="9525"/>
                <wp:wrapNone/>
                <wp:docPr id="23"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427355" cy="314325"/>
                        </a:xfrm>
                        <a:prstGeom prst="rect">
                          <a:avLst/>
                        </a:prstGeom>
                        <a:solidFill>
                          <a:srgbClr val="FFFFFF"/>
                        </a:solidFill>
                        <a:ln>
                          <a:noFill/>
                        </a:ln>
                      </wps:spPr>
                      <wps:txbx>
                        <w:txbxContent>
                          <w:p>
                            <w:pPr>
                              <w:ind w:firstLine="0" w:firstLineChars="0"/>
                            </w:pPr>
                            <w:r>
                              <w:rPr>
                                <w:rFonts w:hint="eastAsia"/>
                                <w:sz w:val="21"/>
                                <w:szCs w:val="21"/>
                              </w:rPr>
                              <w:t>43.8</w:t>
                            </w:r>
                          </w:p>
                        </w:txbxContent>
                      </wps:txbx>
                      <wps:bodyPr rot="0" vert="horz" wrap="square" lIns="91440" tIns="45720" rIns="91440" bIns="45720" anchor="t" anchorCtr="0" upright="1">
                        <a:noAutofit/>
                      </wps:bodyPr>
                    </wps:wsp>
                  </a:graphicData>
                </a:graphic>
              </wp:anchor>
            </w:drawing>
          </mc:Choice>
          <mc:Fallback>
            <w:pict>
              <v:shape id="文本框 32" o:spid="_x0000_s1026" o:spt="202" type="#_x0000_t202" style="position:absolute;left:0pt;margin-left:161.65pt;margin-top:16.9pt;height:24.75pt;width:33.65pt;z-index:251684864;mso-width-relative:page;mso-height-relative:page;" fillcolor="#FFFFFF" filled="t" stroked="f" coordsize="21600,21600" o:gfxdata="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ynEs/XAAAACQEAAA8AAAAAAAAAAQAgAAAAIgAAAGRycy9kb3ducmV2LnhtbFBLAQIU&#10;ABQAAAAIAIdO4kDft+GfLQIAAD8EAAAOAAAAAAAAAAEAIAAAACYBAABkcnMvZTJvRG9jLnhtbFBL&#10;BQYAAAAABgAGAFkBAADFBQAAAAA=&#10;">
                <v:fill on="t" focussize="0,0"/>
                <v:stroke on="f"/>
                <v:imagedata o:title=""/>
                <o:lock v:ext="edit" aspectratio="f"/>
                <v:textbox>
                  <w:txbxContent>
                    <w:p>
                      <w:pPr>
                        <w:ind w:firstLine="0" w:firstLineChars="0"/>
                      </w:pPr>
                      <w:r>
                        <w:rPr>
                          <w:rFonts w:hint="eastAsia"/>
                          <w:sz w:val="21"/>
                          <w:szCs w:val="21"/>
                        </w:rPr>
                        <w:t>43.8</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3303905</wp:posOffset>
                </wp:positionH>
                <wp:positionV relativeFrom="paragraph">
                  <wp:posOffset>-308610</wp:posOffset>
                </wp:positionV>
                <wp:extent cx="496570" cy="314960"/>
                <wp:effectExtent l="0" t="0" r="17780" b="27940"/>
                <wp:wrapNone/>
                <wp:docPr id="8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496570" cy="314960"/>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猪尿</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260.15pt;margin-top:-24.3pt;height:24.8pt;width:39.1pt;z-index:251708416;mso-width-relative:page;mso-height-relative:page;" fillcolor="#FFFFFF" filled="t" stroked="t" coordsize="21600,21600" o:gfxdata="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PzW09YAAAAJAQAADwAAAAAAAAABACAAAAAiAAAAZHJzL2Rv&#10;d25yZXYueG1sUEsBAhQAFAAAAAgAh07iQDANJUA8AgAAewQAAA4AAAAAAAAAAQAgAAAAJQEAAGRy&#10;cy9lMm9Eb2MueG1sUEsFBgAAAAAGAAYAWQEAANMFA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猪尿</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3037840</wp:posOffset>
                </wp:positionH>
                <wp:positionV relativeFrom="paragraph">
                  <wp:posOffset>-173355</wp:posOffset>
                </wp:positionV>
                <wp:extent cx="280035" cy="3810"/>
                <wp:effectExtent l="0" t="76200" r="24765" b="91440"/>
                <wp:wrapNone/>
                <wp:docPr id="59" name="AutoShape 644"/>
                <wp:cNvGraphicFramePr/>
                <a:graphic xmlns:a="http://schemas.openxmlformats.org/drawingml/2006/main">
                  <a:graphicData uri="http://schemas.microsoft.com/office/word/2010/wordprocessingShape">
                    <wps:wsp>
                      <wps:cNvCnPr>
                        <a:cxnSpLocks noChangeShapeType="1"/>
                      </wps:cNvCnPr>
                      <wps:spPr bwMode="auto">
                        <a:xfrm>
                          <a:off x="0" y="0"/>
                          <a:ext cx="280035"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239.2pt;margin-top:-13.65pt;height:0.3pt;width:22.05pt;z-index:251695104;mso-width-relative:page;mso-height-relative:page;" filled="f" stroked="t" coordsize="21600,21600" o:gfxdata="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yRsqL3AAAAAsBAAAPAAAAAAAAAAEAIAAAACIAAABkcnMvZG93bnJldi54&#10;bWxQSwECFAAUAAAACACHTuJAqi0mDPYBAADlAwAADgAAAAAAAAABACAAAAAr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2552065</wp:posOffset>
                </wp:positionH>
                <wp:positionV relativeFrom="paragraph">
                  <wp:posOffset>-288925</wp:posOffset>
                </wp:positionV>
                <wp:extent cx="570230" cy="314325"/>
                <wp:effectExtent l="0" t="0" r="1270" b="9525"/>
                <wp:wrapNone/>
                <wp:docPr id="9"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pPr>
                              <w:ind w:firstLine="0" w:firstLineChars="0"/>
                              <w:rPr>
                                <w:sz w:val="21"/>
                                <w:szCs w:val="21"/>
                              </w:rPr>
                            </w:pPr>
                            <w:r>
                              <w:rPr>
                                <w:rFonts w:hint="eastAsia"/>
                                <w:sz w:val="21"/>
                                <w:szCs w:val="21"/>
                              </w:rPr>
                              <w:t>5504.2</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200.95pt;margin-top:-22.75pt;height:24.75pt;width:44.9pt;z-index:251672576;mso-width-relative:page;mso-height-relative:page;" fillcolor="#FFFFFF" filled="t" stroked="f" coordsize="21600,21600" o:gfxdata="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trv99YAAAAJAQAA&#10;DwAAAAAAAAABACAAAAAiAAAAZHJzL2Rvd25yZXYueG1sUEsBAhQAFAAAAAgAh07iQHg+fS4bAgAA&#10;PgQAAA4AAAAAAAAAAQAgAAAAJQEAAGRycy9lMm9Eb2MueG1sUEsFBgAAAAAGAAYAWQEAALIFAAAA&#10;AA==&#10;">
                <v:fill on="t" focussize="0,0"/>
                <v:stroke on="f"/>
                <v:imagedata o:title=""/>
                <o:lock v:ext="edit" aspectratio="f"/>
                <v:textbox>
                  <w:txbxContent>
                    <w:p>
                      <w:pPr>
                        <w:ind w:firstLine="0" w:firstLineChars="0"/>
                        <w:rPr>
                          <w:sz w:val="21"/>
                          <w:szCs w:val="21"/>
                        </w:rPr>
                      </w:pPr>
                      <w:r>
                        <w:rPr>
                          <w:rFonts w:hint="eastAsia"/>
                          <w:sz w:val="21"/>
                          <w:szCs w:val="21"/>
                        </w:rPr>
                        <w:t>5504.2</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2304415</wp:posOffset>
                </wp:positionH>
                <wp:positionV relativeFrom="paragraph">
                  <wp:posOffset>-173355</wp:posOffset>
                </wp:positionV>
                <wp:extent cx="289560" cy="3810"/>
                <wp:effectExtent l="0" t="76200" r="34290" b="91440"/>
                <wp:wrapNone/>
                <wp:docPr id="57" name="AutoShape 644"/>
                <wp:cNvGraphicFramePr/>
                <a:graphic xmlns:a="http://schemas.openxmlformats.org/drawingml/2006/main">
                  <a:graphicData uri="http://schemas.microsoft.com/office/word/2010/wordprocessingShape">
                    <wps:wsp>
                      <wps:cNvCnPr>
                        <a:cxnSpLocks noChangeShapeType="1"/>
                      </wps:cNvCnPr>
                      <wps:spPr bwMode="auto">
                        <a:xfrm>
                          <a:off x="0" y="0"/>
                          <a:ext cx="28956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181.45pt;margin-top:-13.65pt;height:0.3pt;width:22.8pt;z-index:251694080;mso-width-relative:page;mso-height-relative:page;" filled="f" stroked="t" coordsize="21600,21600" o:gfxdata="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aUAyO3AAAAAsBAAAPAAAAAAAAAAEAIAAAACIAAABkcnMvZG93bnJldi54&#10;bWxQSwECFAAUAAAACACHTuJAb7UN2vYBAADlAwAADgAAAAAAAAABACAAAAArAQAAZHJzL2Uyb0Rv&#10;Yy54bWxQSwUGAAAAAAYABgBZAQAAk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2342515</wp:posOffset>
                </wp:positionH>
                <wp:positionV relativeFrom="paragraph">
                  <wp:posOffset>-650240</wp:posOffset>
                </wp:positionV>
                <wp:extent cx="1208405" cy="399415"/>
                <wp:effectExtent l="0" t="0" r="0" b="635"/>
                <wp:wrapNone/>
                <wp:docPr id="35" name="Text Box 656"/>
                <wp:cNvGraphicFramePr/>
                <a:graphic xmlns:a="http://schemas.openxmlformats.org/drawingml/2006/main">
                  <a:graphicData uri="http://schemas.microsoft.com/office/word/2010/wordprocessingShape">
                    <wps:wsp>
                      <wps:cNvSpPr txBox="1">
                        <a:spLocks noChangeArrowheads="1"/>
                      </wps:cNvSpPr>
                      <wps:spPr bwMode="auto">
                        <a:xfrm>
                          <a:off x="0" y="0"/>
                          <a:ext cx="1208405" cy="399415"/>
                        </a:xfrm>
                        <a:prstGeom prst="rect">
                          <a:avLst/>
                        </a:prstGeom>
                        <a:solidFill>
                          <a:srgbClr val="FFFFFF"/>
                        </a:solidFill>
                        <a:ln>
                          <a:noFill/>
                        </a:ln>
                      </wps:spPr>
                      <wps:txbx>
                        <w:txbxContent>
                          <w:p>
                            <w:pPr>
                              <w:spacing w:line="240" w:lineRule="exact"/>
                              <w:ind w:firstLine="0" w:firstLineChars="0"/>
                              <w:rPr>
                                <w:bCs/>
                                <w:sz w:val="21"/>
                                <w:szCs w:val="21"/>
                              </w:rPr>
                            </w:pPr>
                            <w:r>
                              <w:rPr>
                                <w:rFonts w:hint="eastAsia"/>
                                <w:bCs/>
                                <w:sz w:val="21"/>
                                <w:szCs w:val="21"/>
                              </w:rPr>
                              <w:t>猪粪带走、生猪消</w:t>
                            </w:r>
                          </w:p>
                          <w:p>
                            <w:pPr>
                              <w:spacing w:line="240" w:lineRule="exact"/>
                              <w:ind w:firstLine="0" w:firstLineChars="0"/>
                              <w:rPr>
                                <w:bCs/>
                                <w:sz w:val="21"/>
                                <w:szCs w:val="21"/>
                                <w:highlight w:val="yellow"/>
                              </w:rPr>
                            </w:pPr>
                            <w:r>
                              <w:rPr>
                                <w:rFonts w:hint="eastAsia"/>
                                <w:bCs/>
                                <w:sz w:val="21"/>
                                <w:szCs w:val="21"/>
                              </w:rPr>
                              <w:t>耗与损失8694.3</w:t>
                            </w:r>
                          </w:p>
                        </w:txbxContent>
                      </wps:txbx>
                      <wps:bodyPr rot="0" vert="horz" wrap="square" lIns="91440" tIns="45720" rIns="91440" bIns="45720" anchor="t" anchorCtr="0" upright="1">
                        <a:noAutofit/>
                      </wps:bodyPr>
                    </wps:wsp>
                  </a:graphicData>
                </a:graphic>
              </wp:anchor>
            </w:drawing>
          </mc:Choice>
          <mc:Fallback>
            <w:pict>
              <v:shape id="Text Box 656" o:spid="_x0000_s1026" o:spt="202" type="#_x0000_t202" style="position:absolute;left:0pt;margin-left:184.45pt;margin-top:-51.2pt;height:31.45pt;width:95.15pt;z-index:251673600;mso-width-relative:page;mso-height-relative:page;" fillcolor="#FFFFFF" filled="t" stroked="f" coordsize="21600,21600" o:gfxdata="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L50e/a&#10;AAAADAEAAA8AAAAAAAAAAQAgAAAAIgAAAGRycy9kb3ducmV2LnhtbFBLAQIUABQAAAAIAIdO4kCH&#10;9WOEHgIAAEAEAAAOAAAAAAAAAAEAIAAAACkBAABkcnMvZTJvRG9jLnhtbFBLBQYAAAAABgAGAFkB&#10;AAC5BQAAAAA=&#10;">
                <v:fill on="t" focussize="0,0"/>
                <v:stroke on="f"/>
                <v:imagedata o:title=""/>
                <o:lock v:ext="edit" aspectratio="f"/>
                <v:textbox>
                  <w:txbxContent>
                    <w:p>
                      <w:pPr>
                        <w:spacing w:line="240" w:lineRule="exact"/>
                        <w:ind w:firstLine="0" w:firstLineChars="0"/>
                        <w:rPr>
                          <w:bCs/>
                          <w:sz w:val="21"/>
                          <w:szCs w:val="21"/>
                        </w:rPr>
                      </w:pPr>
                      <w:r>
                        <w:rPr>
                          <w:rFonts w:hint="eastAsia"/>
                          <w:bCs/>
                          <w:sz w:val="21"/>
                          <w:szCs w:val="21"/>
                        </w:rPr>
                        <w:t>猪粪带走、生猪消</w:t>
                      </w:r>
                    </w:p>
                    <w:p>
                      <w:pPr>
                        <w:spacing w:line="240" w:lineRule="exact"/>
                        <w:ind w:firstLine="0" w:firstLineChars="0"/>
                        <w:rPr>
                          <w:bCs/>
                          <w:sz w:val="21"/>
                          <w:szCs w:val="21"/>
                          <w:highlight w:val="yellow"/>
                        </w:rPr>
                      </w:pPr>
                      <w:r>
                        <w:rPr>
                          <w:rFonts w:hint="eastAsia"/>
                          <w:bCs/>
                          <w:sz w:val="21"/>
                          <w:szCs w:val="21"/>
                        </w:rPr>
                        <w:t>耗与损失8694.3</w:t>
                      </w:r>
                    </w:p>
                  </w:txbxContent>
                </v:textbox>
              </v:shape>
            </w:pict>
          </mc:Fallback>
        </mc:AlternateContent>
      </w:r>
      <w:r>
        <w:rPr>
          <w:sz w:val="21"/>
        </w:rPr>
        <mc:AlternateContent>
          <mc:Choice Requires="wpg">
            <w:drawing>
              <wp:anchor distT="0" distB="0" distL="114300" distR="114300" simplePos="0" relativeHeight="251696128" behindDoc="0" locked="0" layoutInCell="1" allowOverlap="1">
                <wp:simplePos x="0" y="0"/>
                <wp:positionH relativeFrom="column">
                  <wp:posOffset>1943100</wp:posOffset>
                </wp:positionH>
                <wp:positionV relativeFrom="paragraph">
                  <wp:posOffset>-419100</wp:posOffset>
                </wp:positionV>
                <wp:extent cx="457200" cy="99695"/>
                <wp:effectExtent l="0" t="0" r="19050" b="33655"/>
                <wp:wrapNone/>
                <wp:docPr id="63" name="组合 63"/>
                <wp:cNvGraphicFramePr/>
                <a:graphic xmlns:a="http://schemas.openxmlformats.org/drawingml/2006/main">
                  <a:graphicData uri="http://schemas.microsoft.com/office/word/2010/wordprocessingGroup">
                    <wpg:wgp>
                      <wpg:cNvGrpSpPr/>
                      <wpg:grpSpPr>
                        <a:xfrm>
                          <a:off x="0" y="0"/>
                          <a:ext cx="457200" cy="99695"/>
                          <a:chOff x="4838" y="1681"/>
                          <a:chExt cx="720" cy="157"/>
                        </a:xfrm>
                      </wpg:grpSpPr>
                      <wps:wsp>
                        <wps:cNvPr id="61"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62"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53pt;margin-top:-33pt;height:7.85pt;width:36pt;z-index:251696128;mso-width-relative:page;mso-height-relative:page;" coordorigin="4838,1681" coordsize="720,157" o:gfxdata="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0ZNhONoA&#10;AAALAQAADwAAAAAAAAABACAAAAAiAAAAZHJzL2Rvd25yZXYueG1sUEsBAhQAFAAAAAgAh07iQAuA&#10;s06PAgAAFAcAAA4AAAAAAAAAAQAgAAAAKQEAAGRycy9lMm9Eb2MueG1sUEsFBgAAAAAGAAYAWQEA&#10;ACoGAAAAAA==&#10;">
                <o:lock v:ext="edit" aspectratio="f"/>
                <v:line id="_x0000_s1026" o:spid="_x0000_s1026" o:spt="20" style="position:absolute;left:4838;top:1681;flip:y;height:157;width:360;" filled="f" stroked="t" coordsize="21600,21600" o:gfxdata="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4OG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198;top:1681;height:2;width:360;" filled="f" stroked="t" coordsize="21600,21600"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1494155</wp:posOffset>
                </wp:positionH>
                <wp:positionV relativeFrom="paragraph">
                  <wp:posOffset>-318135</wp:posOffset>
                </wp:positionV>
                <wp:extent cx="791845" cy="314960"/>
                <wp:effectExtent l="0" t="0" r="27305" b="27940"/>
                <wp:wrapNone/>
                <wp:docPr id="25"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791845" cy="314960"/>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猪饮用水</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117.65pt;margin-top:-25.05pt;height:24.8pt;width:62.35pt;z-index:251686912;mso-width-relative:page;mso-height-relative:page;" fillcolor="#FFFFFF" filled="t" stroked="t" coordsize="21600,21600" o:gfxdata="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Uv80DVAAAACQEAAA8AAAAAAAAAAQAgAAAAIgAAAGRycy9k&#10;b3ducmV2LnhtbFBLAQIUABQAAAAIAIdO4kAGWiGyPgIAAHsEAAAOAAAAAAAAAAEAIAAAACQBAABk&#10;cnMvZTJvRG9jLnhtbFBLBQYAAAAABgAGAFkBAADUBQ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猪饮用水</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1228090</wp:posOffset>
                </wp:positionH>
                <wp:positionV relativeFrom="paragraph">
                  <wp:posOffset>-173355</wp:posOffset>
                </wp:positionV>
                <wp:extent cx="270510" cy="3810"/>
                <wp:effectExtent l="0" t="76200" r="34290" b="91440"/>
                <wp:wrapNone/>
                <wp:docPr id="56" name="AutoShape 644"/>
                <wp:cNvGraphicFramePr/>
                <a:graphic xmlns:a="http://schemas.openxmlformats.org/drawingml/2006/main">
                  <a:graphicData uri="http://schemas.microsoft.com/office/word/2010/wordprocessingShape">
                    <wps:wsp>
                      <wps:cNvCnPr>
                        <a:cxnSpLocks noChangeShapeType="1"/>
                      </wps:cNvCnPr>
                      <wps:spPr bwMode="auto">
                        <a:xfrm>
                          <a:off x="0" y="0"/>
                          <a:ext cx="2705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96.7pt;margin-top:-13.65pt;height:0.3pt;width:21.3pt;z-index:251693056;mso-width-relative:page;mso-height-relative:page;" filled="f" stroked="t" coordsize="21600,21600" o:gfxdata="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Y1B7doAAAALAQAADwAAAAAAAAABACAAAAAiAAAAZHJzL2Rvd25yZXYueG1sUEsB&#10;AhQAFAAAAAgAh07iQOJ7DqLzAQAA5QMAAA4AAAAAAAAAAQAgAAAAKQ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666750</wp:posOffset>
                </wp:positionH>
                <wp:positionV relativeFrom="paragraph">
                  <wp:posOffset>-279400</wp:posOffset>
                </wp:positionV>
                <wp:extent cx="664845" cy="314325"/>
                <wp:effectExtent l="0" t="0" r="1905" b="9525"/>
                <wp:wrapNone/>
                <wp:docPr id="30"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664845"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14198.5</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52.5pt;margin-top:-22pt;height:24.75pt;width:52.35pt;z-index:251674624;mso-width-relative:page;mso-height-relative:page;" fillcolor="#FFFFFF" filled="t" stroked="f" coordsize="21600,21600" o:gfxdata="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mbB11wAAAAkB&#10;AAAPAAAAAAAAAAEAIAAAACIAAABkcnMvZG93bnJldi54bWxQSwECFAAUAAAACACHTuJAQvY1lRwC&#10;AAA/BAAADgAAAAAAAAABACAAAAAmAQAAZHJzL2Uyb0RvYy54bWxQSwUGAAAAAAYABgBZAQAAtAUA&#10;AAAA&#10;">
                <v:fill on="t" focussize="0,0"/>
                <v:stroke on="f"/>
                <v:imagedata o:title=""/>
                <o:lock v:ext="edit" aspectratio="f"/>
                <v:textbox>
                  <w:txbxContent>
                    <w:p>
                      <w:pPr>
                        <w:ind w:firstLine="0" w:firstLineChars="0"/>
                        <w:rPr>
                          <w:bCs/>
                          <w:sz w:val="21"/>
                          <w:szCs w:val="21"/>
                        </w:rPr>
                      </w:pPr>
                      <w:r>
                        <w:rPr>
                          <w:rFonts w:hint="eastAsia"/>
                          <w:bCs/>
                          <w:sz w:val="21"/>
                          <w:szCs w:val="21"/>
                        </w:rPr>
                        <w:t>14198.5</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399415</wp:posOffset>
                </wp:positionH>
                <wp:positionV relativeFrom="paragraph">
                  <wp:posOffset>-163830</wp:posOffset>
                </wp:positionV>
                <wp:extent cx="308610" cy="3810"/>
                <wp:effectExtent l="0" t="76200" r="34290" b="91440"/>
                <wp:wrapNone/>
                <wp:docPr id="27"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31.45pt;margin-top:-12.9pt;height:0.3pt;width:24.3pt;z-index:251688960;mso-width-relative:page;mso-height-relative:page;" filled="f" stroked="t" coordsize="21600,21600" o:gfxdata="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hwFZNkAAAAKAQAADwAAAAAAAAABACAAAAAiAAAAZHJzL2Rvd25yZXYueG1sUEsB&#10;AhQAFAAAAAgAh07iQMDQ4Cv0AQAA5QMAAA4AAAAAAAAAAQAgAAAAKA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379730</wp:posOffset>
                </wp:positionH>
                <wp:positionV relativeFrom="paragraph">
                  <wp:posOffset>-177800</wp:posOffset>
                </wp:positionV>
                <wp:extent cx="1905" cy="2237105"/>
                <wp:effectExtent l="0" t="0" r="36195" b="10795"/>
                <wp:wrapNone/>
                <wp:docPr id="33" name="AutoShape 651"/>
                <wp:cNvGraphicFramePr/>
                <a:graphic xmlns:a="http://schemas.openxmlformats.org/drawingml/2006/main">
                  <a:graphicData uri="http://schemas.microsoft.com/office/word/2010/wordprocessingShape">
                    <wps:wsp>
                      <wps:cNvCnPr>
                        <a:cxnSpLocks noChangeShapeType="1"/>
                      </wps:cNvCnPr>
                      <wps:spPr bwMode="auto">
                        <a:xfrm>
                          <a:off x="0" y="0"/>
                          <a:ext cx="1905" cy="2237105"/>
                        </a:xfrm>
                        <a:prstGeom prst="straightConnector1">
                          <a:avLst/>
                        </a:prstGeom>
                        <a:noFill/>
                        <a:ln w="9525">
                          <a:solidFill>
                            <a:srgbClr val="000000"/>
                          </a:solidFill>
                          <a:round/>
                        </a:ln>
                      </wps:spPr>
                      <wps:bodyPr/>
                    </wps:wsp>
                  </a:graphicData>
                </a:graphic>
              </wp:anchor>
            </w:drawing>
          </mc:Choice>
          <mc:Fallback>
            <w:pict>
              <v:shape id="AutoShape 651" o:spid="_x0000_s1026" o:spt="32" type="#_x0000_t32" style="position:absolute;left:0pt;margin-left:29.9pt;margin-top:-14pt;height:176.15pt;width:0.15pt;z-index:251689984;mso-width-relative:page;mso-height-relative:page;" filled="f" stroked="t" coordsize="21600,21600" o:gfxdata="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vIUx9gAAAAJAQAADwAAAAAA&#10;AAABACAAAAAiAAAAZHJzL2Rvd25yZXYueG1sUEsBAhQAFAAAAAgAh07iQKRQVFHaAQAAuAMAAA4A&#10;AAAAAAAAAQAgAAAAJwEAAGRycy9lMm9Eb2MueG1sUEsFBgAAAAAGAAYAWQEAAHMFAAAAAA==&#10;">
                <v:fill on="f" focussize="0,0"/>
                <v:stroke color="#000000" joinstyle="round"/>
                <v:imagedata o:title=""/>
                <o:lock v:ext="edit" aspectratio="f"/>
              </v:shape>
            </w:pict>
          </mc:Fallback>
        </mc:AlternateContent>
      </w:r>
    </w:p>
    <w:p>
      <w:pPr>
        <w:pStyle w:val="12"/>
        <w:ind w:firstLine="480"/>
      </w:pPr>
      <w:r>
        <mc:AlternateContent>
          <mc:Choice Requires="wps">
            <w:drawing>
              <wp:anchor distT="0" distB="0" distL="114300" distR="114300" simplePos="0" relativeHeight="251701248" behindDoc="0" locked="0" layoutInCell="1" allowOverlap="1">
                <wp:simplePos x="0" y="0"/>
                <wp:positionH relativeFrom="column">
                  <wp:posOffset>2237740</wp:posOffset>
                </wp:positionH>
                <wp:positionV relativeFrom="paragraph">
                  <wp:posOffset>197485</wp:posOffset>
                </wp:positionV>
                <wp:extent cx="533400" cy="314325"/>
                <wp:effectExtent l="0" t="0" r="0" b="9525"/>
                <wp:wrapNone/>
                <wp:docPr id="85"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175.2</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176.2pt;margin-top:15.55pt;height:24.75pt;width:42pt;z-index:251701248;mso-width-relative:page;mso-height-relative:page;" fillcolor="#FFFFFF" filled="t" stroked="f" coordsize="21600,21600" o:gfxdata="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iWa11wAAAAkB&#10;AAAPAAAAAAAAAAEAIAAAACIAAABkcnMvZG93bnJldi54bWxQSwECFAAUAAAACACHTuJAB+ww8hwC&#10;AAA/BAAADgAAAAAAAAABACAAAAAmAQAAZHJzL2Uyb0RvYy54bWxQSwUGAAAAAAYABgBZAQAAtAUA&#10;AAAA&#10;">
                <v:fill on="t" focussize="0,0"/>
                <v:stroke on="f"/>
                <v:imagedata o:title=""/>
                <o:lock v:ext="edit" aspectratio="f"/>
                <v:textbox>
                  <w:txbxContent>
                    <w:p>
                      <w:pPr>
                        <w:ind w:firstLine="0" w:firstLineChars="0"/>
                        <w:rPr>
                          <w:bCs/>
                          <w:sz w:val="21"/>
                          <w:szCs w:val="21"/>
                        </w:rPr>
                      </w:pPr>
                      <w:r>
                        <w:rPr>
                          <w:rFonts w:hint="eastAsia"/>
                          <w:bCs/>
                          <w:sz w:val="21"/>
                          <w:szCs w:val="21"/>
                        </w:rPr>
                        <w:t>175.2</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4295775</wp:posOffset>
                </wp:positionH>
                <wp:positionV relativeFrom="paragraph">
                  <wp:posOffset>201295</wp:posOffset>
                </wp:positionV>
                <wp:extent cx="579755" cy="314325"/>
                <wp:effectExtent l="0" t="0" r="0" b="9525"/>
                <wp:wrapNone/>
                <wp:docPr id="111"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9755"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5849.4</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338.25pt;margin-top:15.85pt;height:24.75pt;width:45.65pt;z-index:251670528;mso-width-relative:page;mso-height-relative:page;" fillcolor="#FFFFFF" filled="t" stroked="f" coordsize="21600,21600" o:gfxdata="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wSiwPXAAAA&#10;CQEAAA8AAAAAAAAAAQAgAAAAIgAAAGRycy9kb3ducmV2LnhtbFBLAQIUABQAAAAIAIdO4kD9DYQY&#10;HgIAAEAEAAAOAAAAAAAAAAEAIAAAACYBAABkcnMvZTJvRG9jLnhtbFBLBQYAAAAABgAGAFkBAAC2&#10;BQAAAAA=&#10;">
                <v:fill on="t" focussize="0,0"/>
                <v:stroke on="f"/>
                <v:imagedata o:title=""/>
                <o:lock v:ext="edit" aspectratio="f"/>
                <v:textbox>
                  <w:txbxContent>
                    <w:p>
                      <w:pPr>
                        <w:ind w:firstLine="0" w:firstLineChars="0"/>
                        <w:rPr>
                          <w:bCs/>
                          <w:sz w:val="21"/>
                          <w:szCs w:val="21"/>
                        </w:rPr>
                      </w:pPr>
                      <w:r>
                        <w:rPr>
                          <w:rFonts w:hint="eastAsia"/>
                          <w:bCs/>
                          <w:sz w:val="21"/>
                          <w:szCs w:val="21"/>
                        </w:rPr>
                        <w:t>5849.4</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4714240</wp:posOffset>
                </wp:positionH>
                <wp:positionV relativeFrom="paragraph">
                  <wp:posOffset>307340</wp:posOffset>
                </wp:positionV>
                <wp:extent cx="308610" cy="3810"/>
                <wp:effectExtent l="0" t="76200" r="34290" b="91440"/>
                <wp:wrapNone/>
                <wp:docPr id="112"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371.2pt;margin-top:24.2pt;height:0.3pt;width:24.3pt;z-index:251668480;mso-width-relative:page;mso-height-relative:page;" filled="f" stroked="t" coordsize="21600,21600" o:gfxdata="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MCPAfaAAAACQEAAA8AAAAAAAAAAQAgAAAAIgAAAGRycy9kb3ducmV2LnhtbFBL&#10;AQIUABQAAAAIAIdO4kCsYqc09AEAAOYDAAAOAAAAAAAAAAEAIAAAACkBAABkcnMvZTJvRG9jLnht&#10;bFBLBQYAAAAABgAGAFkBAACP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4999355</wp:posOffset>
                </wp:positionH>
                <wp:positionV relativeFrom="paragraph">
                  <wp:posOffset>143510</wp:posOffset>
                </wp:positionV>
                <wp:extent cx="659130" cy="314960"/>
                <wp:effectExtent l="0" t="0" r="26670" b="27940"/>
                <wp:wrapNone/>
                <wp:docPr id="113"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659130" cy="314960"/>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发酵床</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393.65pt;margin-top:11.3pt;height:24.8pt;width:51.9pt;z-index:251712512;mso-width-relative:page;mso-height-relative:page;" fillcolor="#FFFFFF" filled="t" stroked="t" coordsize="21600,21600" o:gfxdata="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10/Fo1QAAAAkBAAAPAAAAAAAAAAEAIAAAACIAAABkcnMvZG93&#10;bnJldi54bWxQSwECFAAUAAAACACHTuJAYccrBzwCAAB8BAAADgAAAAAAAAABACAAAAAkAQAAZHJz&#10;L2Uyb0RvYy54bWxQSwUGAAAAAAYABgBZAQAA0gU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发酵床</w:t>
                      </w:r>
                    </w:p>
                  </w:txbxContent>
                </v:textbox>
              </v:shape>
            </w:pict>
          </mc:Fallback>
        </mc:AlternateContent>
      </w:r>
      <w:r>
        <w:rPr>
          <w:sz w:val="21"/>
        </w:rPr>
        <mc:AlternateContent>
          <mc:Choice Requires="wpg">
            <w:drawing>
              <wp:anchor distT="0" distB="0" distL="114300" distR="114300" simplePos="0" relativeHeight="251713536" behindDoc="0" locked="0" layoutInCell="1" allowOverlap="1">
                <wp:simplePos x="0" y="0"/>
                <wp:positionH relativeFrom="column">
                  <wp:posOffset>5105400</wp:posOffset>
                </wp:positionH>
                <wp:positionV relativeFrom="paragraph">
                  <wp:posOffset>52070</wp:posOffset>
                </wp:positionV>
                <wp:extent cx="457200" cy="99695"/>
                <wp:effectExtent l="0" t="0" r="19050" b="33655"/>
                <wp:wrapNone/>
                <wp:docPr id="114" name="组合 114"/>
                <wp:cNvGraphicFramePr/>
                <a:graphic xmlns:a="http://schemas.openxmlformats.org/drawingml/2006/main">
                  <a:graphicData uri="http://schemas.microsoft.com/office/word/2010/wordprocessingGroup">
                    <wpg:wgp>
                      <wpg:cNvGrpSpPr/>
                      <wpg:grpSpPr>
                        <a:xfrm>
                          <a:off x="0" y="0"/>
                          <a:ext cx="457200" cy="99695"/>
                          <a:chOff x="4838" y="1681"/>
                          <a:chExt cx="720" cy="157"/>
                        </a:xfrm>
                      </wpg:grpSpPr>
                      <wps:wsp>
                        <wps:cNvPr id="115"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1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402pt;margin-top:4.1pt;height:7.85pt;width:36pt;z-index:251713536;mso-width-relative:page;mso-height-relative:page;" coordorigin="4838,1681" coordsize="720,157" o:gfxdata="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Q/0B92QAA&#10;AAgBAAAPAAAAAAAAAAEAIAAAACIAAABkcnMvZG93bnJldi54bWxQSwECFAAUAAAACACHTuJAmp9o&#10;S48CAAAYBwAADgAAAAAAAAABACAAAAAoAQAAZHJzL2Uyb0RvYy54bWxQSwUGAAAAAAYABgBZAQAA&#10;KQYAAAAA&#10;">
                <o:lock v:ext="edit" aspectratio="f"/>
                <v:line id="直接连接符 61" o:spid="_x0000_s1026" o:spt="20" style="position:absolute;left:4838;top:1681;flip:y;height:157;width:360;" filled="f" stroked="t" coordsize="21600,21600" o:gfxdata="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1Y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62" o:spid="_x0000_s1026" o:spt="20" style="position:absolute;left:5198;top:1681;height:2;width:360;" filled="f" stroked="t" coordsize="21600,21600" o:gfxdata="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BMh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3760470</wp:posOffset>
                </wp:positionH>
                <wp:positionV relativeFrom="paragraph">
                  <wp:posOffset>309880</wp:posOffset>
                </wp:positionV>
                <wp:extent cx="554990" cy="1270"/>
                <wp:effectExtent l="0" t="76200" r="16510" b="93980"/>
                <wp:wrapNone/>
                <wp:docPr id="22" name="AutoShape 648"/>
                <wp:cNvGraphicFramePr/>
                <a:graphic xmlns:a="http://schemas.openxmlformats.org/drawingml/2006/main">
                  <a:graphicData uri="http://schemas.microsoft.com/office/word/2010/wordprocessingShape">
                    <wps:wsp>
                      <wps:cNvCnPr>
                        <a:cxnSpLocks noChangeShapeType="1"/>
                      </wps:cNvCnPr>
                      <wps:spPr bwMode="auto">
                        <a:xfrm flipV="1">
                          <a:off x="0" y="0"/>
                          <a:ext cx="554990" cy="1270"/>
                        </a:xfrm>
                        <a:prstGeom prst="straightConnector1">
                          <a:avLst/>
                        </a:prstGeom>
                        <a:noFill/>
                        <a:ln w="9525">
                          <a:solidFill>
                            <a:srgbClr val="000000"/>
                          </a:solidFill>
                          <a:round/>
                          <a:tailEnd type="triangle" w="med" len="med"/>
                        </a:ln>
                      </wps:spPr>
                      <wps:bodyPr/>
                    </wps:wsp>
                  </a:graphicData>
                </a:graphic>
              </wp:anchor>
            </w:drawing>
          </mc:Choice>
          <mc:Fallback>
            <w:pict>
              <v:shape id="AutoShape 648" o:spid="_x0000_s1026" o:spt="32" type="#_x0000_t32" style="position:absolute;left:0pt;flip:y;margin-left:296.1pt;margin-top:24.4pt;height:0.1pt;width:43.7pt;z-index:251683840;mso-width-relative:page;mso-height-relative:page;" filled="f" stroked="t" coordsize="21600,21600" o:gfxdata="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EcXLtgAAAAJAQAADwAAAAAAAAABACAAAAAiAAAAZHJzL2Rvd25yZXYu&#10;eG1sUEsBAhQAFAAAAAgAh07iQIQvuJ/7AQAA7wMAAA4AAAAAAAAAAQAgAAAAJwEAAGRycy9lMm9E&#10;b2MueG1sUEsFBgAAAAAGAAYAWQEAAJQ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2961005</wp:posOffset>
                </wp:positionH>
                <wp:positionV relativeFrom="paragraph">
                  <wp:posOffset>200660</wp:posOffset>
                </wp:positionV>
                <wp:extent cx="772795" cy="314960"/>
                <wp:effectExtent l="0" t="0" r="27305" b="27940"/>
                <wp:wrapNone/>
                <wp:docPr id="97"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772795" cy="314960"/>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生活废水</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233.15pt;margin-top:15.8pt;height:24.8pt;width:60.85pt;z-index:251664384;mso-width-relative:page;mso-height-relative:page;" fillcolor="#FFFFFF" filled="t" stroked="t" coordsize="21600,21600" o:gfxdata="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4z9cj1gAAAAkBAAAPAAAAAAAAAAEAIAAAACIAAABkcnMv&#10;ZG93bnJldi54bWxQSwECFAAUAAAACACHTuJAxi585j4CAAB7BAAADgAAAAAAAAABACAAAAAlAQAA&#10;ZHJzL2Uyb0RvYy54bWxQSwUGAAAAAAYABgBZAQAA1QU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生活废水</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2628265</wp:posOffset>
                </wp:positionH>
                <wp:positionV relativeFrom="paragraph">
                  <wp:posOffset>307340</wp:posOffset>
                </wp:positionV>
                <wp:extent cx="327660" cy="3810"/>
                <wp:effectExtent l="0" t="76200" r="34290" b="91440"/>
                <wp:wrapNone/>
                <wp:docPr id="87" name="AutoShape 644"/>
                <wp:cNvGraphicFramePr/>
                <a:graphic xmlns:a="http://schemas.openxmlformats.org/drawingml/2006/main">
                  <a:graphicData uri="http://schemas.microsoft.com/office/word/2010/wordprocessingShape">
                    <wps:wsp>
                      <wps:cNvCnPr>
                        <a:cxnSpLocks noChangeShapeType="1"/>
                      </wps:cNvCnPr>
                      <wps:spPr bwMode="auto">
                        <a:xfrm>
                          <a:off x="0" y="0"/>
                          <a:ext cx="32766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206.95pt;margin-top:24.2pt;height:0.3pt;width:25.8pt;z-index:251704320;mso-width-relative:page;mso-height-relative:page;" filled="f" stroked="t" coordsize="21600,21600" o:gfxdata="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tQZd2QAAAAkBAAAPAAAAAAAAAAEAIAAAACIAAABkcnMvZG93bnJldi54bWxQ&#10;SwECFAAUAAAACACHTuJAYUiYF/YBAADlAwAADgAAAAAAAAABACAAAAAoAQAAZHJzL2Uyb0RvYy54&#10;bWxQSwUGAAAAAAYABgBZAQAAk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2018665</wp:posOffset>
                </wp:positionH>
                <wp:positionV relativeFrom="paragraph">
                  <wp:posOffset>307340</wp:posOffset>
                </wp:positionV>
                <wp:extent cx="289560" cy="3810"/>
                <wp:effectExtent l="0" t="76200" r="34290" b="91440"/>
                <wp:wrapNone/>
                <wp:docPr id="84" name="AutoShape 644"/>
                <wp:cNvGraphicFramePr/>
                <a:graphic xmlns:a="http://schemas.openxmlformats.org/drawingml/2006/main">
                  <a:graphicData uri="http://schemas.microsoft.com/office/word/2010/wordprocessingShape">
                    <wps:wsp>
                      <wps:cNvCnPr>
                        <a:cxnSpLocks noChangeShapeType="1"/>
                      </wps:cNvCnPr>
                      <wps:spPr bwMode="auto">
                        <a:xfrm>
                          <a:off x="0" y="0"/>
                          <a:ext cx="28956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158.95pt;margin-top:24.2pt;height:0.3pt;width:22.8pt;z-index:251700224;mso-width-relative:page;mso-height-relative:page;" filled="f" stroked="t" coordsize="21600,21600" o:gfxdata="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Y9Ny9oAAAAJAQAADwAAAAAAAAABACAAAAAiAAAAZHJzL2Rvd25yZXYueG1s&#10;UEsBAhQAFAAAAAgAh07iQG5x3Qn2AQAA5QMAAA4AAAAAAAAAAQAgAAAAKQEAAGRycy9lMm9Eb2Mu&#10;eG1sUEsFBgAAAAAGAAYAWQEAAJEFAAAAAA==&#10;">
                <v:fill on="f" focussize="0,0"/>
                <v:stroke color="#000000" joinstyle="round" endarrow="block"/>
                <v:imagedata o:title=""/>
                <o:lock v:ext="edit" aspectratio="f"/>
              </v:shape>
            </w:pict>
          </mc:Fallback>
        </mc:AlternateContent>
      </w:r>
      <w:r>
        <w:rPr>
          <w:sz w:val="21"/>
        </w:rPr>
        <mc:AlternateContent>
          <mc:Choice Requires="wpg">
            <w:drawing>
              <wp:anchor distT="0" distB="0" distL="114300" distR="114300" simplePos="0" relativeHeight="251663360" behindDoc="0" locked="0" layoutInCell="1" allowOverlap="1">
                <wp:simplePos x="0" y="0"/>
                <wp:positionH relativeFrom="column">
                  <wp:posOffset>1628775</wp:posOffset>
                </wp:positionH>
                <wp:positionV relativeFrom="paragraph">
                  <wp:posOffset>71120</wp:posOffset>
                </wp:positionV>
                <wp:extent cx="457200" cy="99695"/>
                <wp:effectExtent l="0" t="0" r="19050" b="33655"/>
                <wp:wrapNone/>
                <wp:docPr id="94" name="组合 94"/>
                <wp:cNvGraphicFramePr/>
                <a:graphic xmlns:a="http://schemas.openxmlformats.org/drawingml/2006/main">
                  <a:graphicData uri="http://schemas.microsoft.com/office/word/2010/wordprocessingGroup">
                    <wpg:wgp>
                      <wpg:cNvGrpSpPr/>
                      <wpg:grpSpPr>
                        <a:xfrm>
                          <a:off x="0" y="0"/>
                          <a:ext cx="457200" cy="99695"/>
                          <a:chOff x="4838" y="1681"/>
                          <a:chExt cx="720" cy="157"/>
                        </a:xfrm>
                      </wpg:grpSpPr>
                      <wps:wsp>
                        <wps:cNvPr id="95"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9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28.25pt;margin-top:5.6pt;height:7.85pt;width:36pt;z-index:251663360;mso-width-relative:page;mso-height-relative:page;" coordorigin="4838,1681" coordsize="720,157" o:gfxdata="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huVeZ2AAAAAkB&#10;AAAPAAAAAAAAAAEAIAAAACIAAABkcnMvZG93bnJldi54bWxQSwECFAAUAAAACACHTuJACkfHMo0C&#10;AAAUBwAADgAAAAAAAAABACAAAAAnAQAAZHJzL2Uyb0RvYy54bWxQSwUGAAAAAAYABgBZAQAAJgYA&#10;AAAA&#10;">
                <o:lock v:ext="edit" aspectratio="f"/>
                <v:line id="直接连接符 61" o:spid="_x0000_s1026" o:spt="20" style="position:absolute;left:4838;top:1681;flip:y;height:157;width:360;" filled="f" stroked="t" coordsize="21600,21600" o:gfxdata="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WTk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62" o:spid="_x0000_s1026" o:spt="20" style="position:absolute;left:5198;top:1681;height:2;width:360;" filled="f" stroked="t" coordsize="21600,21600" o:gfxdata="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ru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1236980</wp:posOffset>
                </wp:positionH>
                <wp:positionV relativeFrom="paragraph">
                  <wp:posOffset>172085</wp:posOffset>
                </wp:positionV>
                <wp:extent cx="772795" cy="314960"/>
                <wp:effectExtent l="0" t="0" r="27305" b="27940"/>
                <wp:wrapNone/>
                <wp:docPr id="83"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772795" cy="314960"/>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生活用水</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97.4pt;margin-top:13.55pt;height:24.8pt;width:60.85pt;z-index:251699200;mso-width-relative:page;mso-height-relative:page;" fillcolor="#FFFFFF" filled="t" stroked="t" coordsize="21600,21600" o:gfxdata="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zk6wXWAAAACQEAAA8AAAAAAAAAAQAgAAAAIgAAAGRycy9k&#10;b3ducmV2LnhtbFBLAQIUABQAAAAIAIdO4kDXFNh0PQIAAHsEAAAOAAAAAAAAAAEAIAAAACUBAABk&#10;cnMvZTJvRG9jLnhtbFBLBQYAAAAABgAGAFkBAADUBQ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生活用水</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961390</wp:posOffset>
                </wp:positionH>
                <wp:positionV relativeFrom="paragraph">
                  <wp:posOffset>307340</wp:posOffset>
                </wp:positionV>
                <wp:extent cx="280035" cy="3810"/>
                <wp:effectExtent l="0" t="76200" r="24765" b="91440"/>
                <wp:wrapNone/>
                <wp:docPr id="81" name="AutoShape 644"/>
                <wp:cNvGraphicFramePr/>
                <a:graphic xmlns:a="http://schemas.openxmlformats.org/drawingml/2006/main">
                  <a:graphicData uri="http://schemas.microsoft.com/office/word/2010/wordprocessingShape">
                    <wps:wsp>
                      <wps:cNvCnPr>
                        <a:cxnSpLocks noChangeShapeType="1"/>
                      </wps:cNvCnPr>
                      <wps:spPr bwMode="auto">
                        <a:xfrm>
                          <a:off x="0" y="0"/>
                          <a:ext cx="280035"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75.7pt;margin-top:24.2pt;height:0.3pt;width:22.05pt;z-index:251698176;mso-width-relative:page;mso-height-relative:page;" filled="f" stroked="t" coordsize="21600,21600" o:gfxdata="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FAFr2QAAAAkBAAAPAAAAAAAAAAEAIAAAACIAAABkcnMvZG93bnJldi54bWxQ&#10;SwECFAAUAAAACACHTuJA4Mgae/YBAADlAwAADgAAAAAAAAABACAAAAAoAQAAZHJzL2Uyb0RvYy54&#10;bWxQSwUGAAAAAAYABgBZAQAAk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656590</wp:posOffset>
                </wp:positionH>
                <wp:positionV relativeFrom="paragraph">
                  <wp:posOffset>191770</wp:posOffset>
                </wp:positionV>
                <wp:extent cx="570230" cy="314325"/>
                <wp:effectExtent l="0" t="0" r="1270" b="9525"/>
                <wp:wrapNone/>
                <wp:docPr id="67"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219</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51.7pt;margin-top:15.1pt;height:24.75pt;width:44.9pt;z-index:251697152;mso-width-relative:page;mso-height-relative:page;" fillcolor="#FFFFFF" filled="t" stroked="f" coordsize="21600,21600" o:gfxdata="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uGzAbWAAAACQEA&#10;AA8AAAAAAAAAAQAgAAAAIgAAAGRycy9kb3ducmV2LnhtbFBLAQIUABQAAAAIAIdO4kCzj9U+HAIA&#10;AD8EAAAOAAAAAAAAAAEAIAAAACUBAABkcnMvZTJvRG9jLnhtbFBLBQYAAAAABgAGAFkBAACzBQAA&#10;AAA=&#10;">
                <v:fill on="t" focussize="0,0"/>
                <v:stroke on="f"/>
                <v:imagedata o:title=""/>
                <o:lock v:ext="edit" aspectratio="f"/>
                <v:textbox>
                  <w:txbxContent>
                    <w:p>
                      <w:pPr>
                        <w:ind w:firstLine="0" w:firstLineChars="0"/>
                        <w:rPr>
                          <w:bCs/>
                          <w:sz w:val="21"/>
                          <w:szCs w:val="21"/>
                        </w:rPr>
                      </w:pPr>
                      <w:r>
                        <w:rPr>
                          <w:rFonts w:hint="eastAsia"/>
                          <w:bCs/>
                          <w:sz w:val="21"/>
                          <w:szCs w:val="21"/>
                        </w:rPr>
                        <w:t>219</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399415</wp:posOffset>
                </wp:positionH>
                <wp:positionV relativeFrom="paragraph">
                  <wp:posOffset>307340</wp:posOffset>
                </wp:positionV>
                <wp:extent cx="308610" cy="3810"/>
                <wp:effectExtent l="0" t="76200" r="34290" b="91440"/>
                <wp:wrapNone/>
                <wp:docPr id="91"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31.45pt;margin-top:24.2pt;height:0.3pt;width:24.3pt;z-index:251709440;mso-width-relative:page;mso-height-relative:page;" filled="f" stroked="t" coordsize="21600,21600" o:gfxdata="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8jUzZAAAACAEAAA8AAAAAAAAAAQAgAAAAIgAAAGRycy9kb3ducmV2LnhtbFBLAQIU&#10;ABQAAAAIAIdO4kDaX/Uw8gEAAOUDAAAOAAAAAAAAAAEAIAAAACgBAABkcnMvZTJvRG9jLnhtbFBL&#10;BQYAAAAABgAGAFkBAACMBQAAAAA=&#10;">
                <v:fill on="f" focussize="0,0"/>
                <v:stroke color="#000000" joinstyle="round" endarrow="block"/>
                <v:imagedata o:title=""/>
                <o:lock v:ext="edit" aspectratio="f"/>
              </v:shape>
            </w:pict>
          </mc:Fallback>
        </mc:AlternateContent>
      </w:r>
    </w:p>
    <w:p>
      <w:pPr>
        <w:ind w:firstLine="480"/>
      </w:pPr>
      <w:r>
        <mc:AlternateContent>
          <mc:Choice Requires="wps">
            <w:drawing>
              <wp:anchor distT="0" distB="0" distL="114300" distR="114300" simplePos="0" relativeHeight="251687936" behindDoc="0" locked="0" layoutInCell="1" allowOverlap="1">
                <wp:simplePos x="0" y="0"/>
                <wp:positionH relativeFrom="column">
                  <wp:posOffset>-325120</wp:posOffset>
                </wp:positionH>
                <wp:positionV relativeFrom="paragraph">
                  <wp:posOffset>26670</wp:posOffset>
                </wp:positionV>
                <wp:extent cx="696595" cy="431165"/>
                <wp:effectExtent l="0" t="0" r="8255" b="6985"/>
                <wp:wrapNone/>
                <wp:docPr id="26"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696595" cy="431165"/>
                        </a:xfrm>
                        <a:prstGeom prst="rect">
                          <a:avLst/>
                        </a:prstGeom>
                        <a:solidFill>
                          <a:srgbClr val="FFFFFF"/>
                        </a:solidFill>
                        <a:ln w="6350">
                          <a:noFill/>
                          <a:round/>
                        </a:ln>
                      </wps:spPr>
                      <wps:txbx>
                        <w:txbxContent>
                          <w:p>
                            <w:pPr>
                              <w:spacing w:line="240" w:lineRule="exact"/>
                              <w:ind w:firstLine="0" w:firstLineChars="0"/>
                              <w:rPr>
                                <w:sz w:val="21"/>
                                <w:szCs w:val="21"/>
                              </w:rPr>
                            </w:pPr>
                            <w:r>
                              <w:rPr>
                                <w:rFonts w:hint="eastAsia"/>
                                <w:sz w:val="21"/>
                                <w:szCs w:val="21"/>
                              </w:rPr>
                              <w:t>新鲜水</w:t>
                            </w:r>
                          </w:p>
                          <w:p>
                            <w:pPr>
                              <w:pStyle w:val="20"/>
                              <w:spacing w:after="0" w:line="240" w:lineRule="exact"/>
                              <w:ind w:left="0" w:leftChars="0" w:firstLine="0" w:firstLineChars="0"/>
                            </w:pPr>
                            <w:r>
                              <w:rPr>
                                <w:rFonts w:hint="eastAsia"/>
                                <w:szCs w:val="21"/>
                              </w:rPr>
                              <w:t>15253.5</w:t>
                            </w:r>
                          </w:p>
                        </w:txbxContent>
                      </wps:txbx>
                      <wps:bodyPr rot="0" vert="horz" wrap="square" lIns="91440" tIns="45720" rIns="91440" bIns="45720" anchor="t" anchorCtr="0" upright="1">
                        <a:noAutofit/>
                      </wps:bodyPr>
                    </wps:wsp>
                  </a:graphicData>
                </a:graphic>
              </wp:anchor>
            </w:drawing>
          </mc:Choice>
          <mc:Fallback>
            <w:pict>
              <v:shape id="文本框 31" o:spid="_x0000_s1026" o:spt="202" type="#_x0000_t202" style="position:absolute;left:0pt;margin-left:-25.6pt;margin-top:2.1pt;height:33.95pt;width:54.85pt;z-index:251687936;mso-width-relative:page;mso-height-relative:page;" fillcolor="#FFFFFF" filled="t" stroked="f" coordsize="21600,21600" o:gfxdata="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u+GFfTAAAABwEAAA8AAAAAAAAAAQAgAAAAIgAAAGRycy9kb3ducmV2Lnht&#10;bFBLAQIUABQAAAAIAIdO4kAVIj8LNwIAAFIEAAAOAAAAAAAAAAEAIAAAACIBAABkcnMvZTJvRG9j&#10;LnhtbFBLBQYAAAAABgAGAFkBAADLBQAAAAA=&#10;">
                <v:fill on="t" focussize="0,0"/>
                <v:stroke on="f" weight="0.5pt" joinstyle="round"/>
                <v:imagedata o:title=""/>
                <o:lock v:ext="edit" aspectratio="f"/>
                <v:textbox>
                  <w:txbxContent>
                    <w:p>
                      <w:pPr>
                        <w:spacing w:line="240" w:lineRule="exact"/>
                        <w:ind w:firstLine="0" w:firstLineChars="0"/>
                        <w:rPr>
                          <w:sz w:val="21"/>
                          <w:szCs w:val="21"/>
                        </w:rPr>
                      </w:pPr>
                      <w:r>
                        <w:rPr>
                          <w:rFonts w:hint="eastAsia"/>
                          <w:sz w:val="21"/>
                          <w:szCs w:val="21"/>
                        </w:rPr>
                        <w:t>新鲜水</w:t>
                      </w:r>
                    </w:p>
                    <w:p>
                      <w:pPr>
                        <w:pStyle w:val="20"/>
                        <w:spacing w:after="0" w:line="240" w:lineRule="exact"/>
                        <w:ind w:left="0" w:leftChars="0" w:firstLine="0" w:firstLineChars="0"/>
                      </w:pPr>
                      <w:r>
                        <w:rPr>
                          <w:rFonts w:hint="eastAsia"/>
                          <w:szCs w:val="21"/>
                        </w:rPr>
                        <w:t>15253.5</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5177790</wp:posOffset>
                </wp:positionH>
                <wp:positionV relativeFrom="paragraph">
                  <wp:posOffset>294640</wp:posOffset>
                </wp:positionV>
                <wp:extent cx="333375" cy="0"/>
                <wp:effectExtent l="52388" t="4762" r="80962" b="42863"/>
                <wp:wrapNone/>
                <wp:docPr id="34" name="AutoShape 663"/>
                <wp:cNvGraphicFramePr/>
                <a:graphic xmlns:a="http://schemas.openxmlformats.org/drawingml/2006/main">
                  <a:graphicData uri="http://schemas.microsoft.com/office/word/2010/wordprocessingShape">
                    <wps:wsp>
                      <wps:cNvCnPr>
                        <a:cxnSpLocks noChangeShapeType="1"/>
                      </wps:cNvCnPr>
                      <wps:spPr bwMode="auto">
                        <a:xfrm rot="5400000">
                          <a:off x="0" y="0"/>
                          <a:ext cx="333375" cy="0"/>
                        </a:xfrm>
                        <a:prstGeom prst="straightConnector1">
                          <a:avLst/>
                        </a:prstGeom>
                        <a:noFill/>
                        <a:ln w="9525">
                          <a:solidFill>
                            <a:srgbClr val="000000"/>
                          </a:solidFill>
                          <a:round/>
                          <a:tailEnd type="triangle" w="med" len="med"/>
                        </a:ln>
                      </wps:spPr>
                      <wps:bodyPr/>
                    </wps:wsp>
                  </a:graphicData>
                </a:graphic>
              </wp:anchor>
            </w:drawing>
          </mc:Choice>
          <mc:Fallback>
            <w:pict>
              <v:shape id="AutoShape 663" o:spid="_x0000_s1026" o:spt="32" type="#_x0000_t32" style="position:absolute;left:0pt;margin-left:407.7pt;margin-top:23.2pt;height:0pt;width:26.25pt;rotation:5898240f;z-index:251691008;mso-width-relative:page;mso-height-relative:page;" filled="f" stroked="t" coordsize="21600,21600" o:gfxdata="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Lbqs9kAAAAJAQAADwAAAAAAAAABACAAAAAiAAAAZHJzL2Rvd25yZXYueG1s&#10;UEsBAhQAFAAAAAgAh07iQAr8uxH3AQAA8AMAAA4AAAAAAAAAAQAgAAAAKAEAAGRycy9lMm9Eb2Mu&#10;eG1sUEsFBgAAAAAGAAYAWQEAAJE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170815</wp:posOffset>
                </wp:positionH>
                <wp:positionV relativeFrom="paragraph">
                  <wp:posOffset>219710</wp:posOffset>
                </wp:positionV>
                <wp:extent cx="203835" cy="635"/>
                <wp:effectExtent l="0" t="76200" r="24765" b="94615"/>
                <wp:wrapNone/>
                <wp:docPr id="28" name="AutoShape 645"/>
                <wp:cNvGraphicFramePr/>
                <a:graphic xmlns:a="http://schemas.openxmlformats.org/drawingml/2006/main">
                  <a:graphicData uri="http://schemas.microsoft.com/office/word/2010/wordprocessingShape">
                    <wps:wsp>
                      <wps:cNvCnPr>
                        <a:cxnSpLocks noChangeShapeType="1"/>
                      </wps:cNvCnPr>
                      <wps:spPr bwMode="auto">
                        <a:xfrm flipV="1">
                          <a:off x="0" y="0"/>
                          <a:ext cx="203835" cy="635"/>
                        </a:xfrm>
                        <a:prstGeom prst="straightConnector1">
                          <a:avLst/>
                        </a:prstGeom>
                        <a:noFill/>
                        <a:ln w="9525">
                          <a:solidFill>
                            <a:srgbClr val="000000"/>
                          </a:solidFill>
                          <a:round/>
                          <a:tailEnd type="triangle" w="med" len="med"/>
                        </a:ln>
                      </wps:spPr>
                      <wps:bodyPr/>
                    </wps:wsp>
                  </a:graphicData>
                </a:graphic>
              </wp:anchor>
            </w:drawing>
          </mc:Choice>
          <mc:Fallback>
            <w:pict>
              <v:shape id="AutoShape 645" o:spid="_x0000_s1026" o:spt="32" type="#_x0000_t32" style="position:absolute;left:0pt;flip:y;margin-left:13.45pt;margin-top:17.3pt;height:0.05pt;width:16.05pt;z-index:251688960;mso-width-relative:page;mso-height-relative:page;" filled="f" stroked="t" coordsize="21600,21600" o:gfxdata="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tZJN9cAAAAHAQAADwAAAAAAAAABACAAAAAiAAAAZHJzL2Rvd25yZXYueG1s&#10;UEsBAhQAFAAAAAgAh07iQBLZi/D5AQAA7gMAAA4AAAAAAAAAAQAgAAAAJgEAAGRycy9lMm9Eb2Mu&#10;eG1sUEsFBgAAAAAGAAYAWQEAAJEFAAAAAA==&#10;">
                <v:fill on="f" focussize="0,0"/>
                <v:stroke color="#000000" joinstyle="round" endarrow="block"/>
                <v:imagedata o:title=""/>
                <o:lock v:ext="edit" aspectratio="f"/>
              </v:shape>
            </w:pict>
          </mc:Fallback>
        </mc:AlternateContent>
      </w:r>
    </w:p>
    <w:p>
      <w:pPr>
        <w:pStyle w:val="12"/>
        <w:ind w:firstLine="480"/>
      </w:pPr>
      <w:r>
        <mc:AlternateContent>
          <mc:Choice Requires="wps">
            <w:drawing>
              <wp:anchor distT="0" distB="0" distL="114300" distR="114300" simplePos="0" relativeHeight="251682816" behindDoc="0" locked="0" layoutInCell="1" allowOverlap="1">
                <wp:simplePos x="0" y="0"/>
                <wp:positionH relativeFrom="column">
                  <wp:posOffset>4800600</wp:posOffset>
                </wp:positionH>
                <wp:positionV relativeFrom="paragraph">
                  <wp:posOffset>177800</wp:posOffset>
                </wp:positionV>
                <wp:extent cx="1237615" cy="469900"/>
                <wp:effectExtent l="0" t="0" r="635" b="6350"/>
                <wp:wrapNone/>
                <wp:docPr id="18" name="Text Box 662"/>
                <wp:cNvGraphicFramePr/>
                <a:graphic xmlns:a="http://schemas.openxmlformats.org/drawingml/2006/main">
                  <a:graphicData uri="http://schemas.microsoft.com/office/word/2010/wordprocessingShape">
                    <wps:wsp>
                      <wps:cNvSpPr txBox="1">
                        <a:spLocks noChangeArrowheads="1"/>
                      </wps:cNvSpPr>
                      <wps:spPr bwMode="auto">
                        <a:xfrm>
                          <a:off x="0" y="0"/>
                          <a:ext cx="1237615" cy="469900"/>
                        </a:xfrm>
                        <a:prstGeom prst="rect">
                          <a:avLst/>
                        </a:prstGeom>
                        <a:solidFill>
                          <a:srgbClr val="FFFFFF"/>
                        </a:solidFill>
                        <a:ln w="6350">
                          <a:noFill/>
                          <a:round/>
                        </a:ln>
                      </wps:spPr>
                      <wps:txbx>
                        <w:txbxContent>
                          <w:p>
                            <w:pPr>
                              <w:spacing w:line="280" w:lineRule="exact"/>
                              <w:ind w:firstLine="0" w:firstLineChars="0"/>
                              <w:rPr>
                                <w:sz w:val="21"/>
                                <w:szCs w:val="21"/>
                              </w:rPr>
                            </w:pPr>
                            <w:r>
                              <w:rPr>
                                <w:rFonts w:hint="eastAsia"/>
                                <w:sz w:val="21"/>
                                <w:szCs w:val="21"/>
                              </w:rPr>
                              <w:t xml:space="preserve">584.94含在有机肥中综合利用 </w:t>
                            </w:r>
                          </w:p>
                        </w:txbxContent>
                      </wps:txbx>
                      <wps:bodyPr rot="0" vert="horz" wrap="square" lIns="91440" tIns="45720" rIns="91440" bIns="45720" anchor="t" anchorCtr="0" upright="1">
                        <a:noAutofit/>
                      </wps:bodyPr>
                    </wps:wsp>
                  </a:graphicData>
                </a:graphic>
              </wp:anchor>
            </w:drawing>
          </mc:Choice>
          <mc:Fallback>
            <w:pict>
              <v:shape id="Text Box 662" o:spid="_x0000_s1026" o:spt="202" type="#_x0000_t202" style="position:absolute;left:0pt;margin-left:378pt;margin-top:14pt;height:37pt;width:97.45pt;z-index:251682816;mso-width-relative:page;mso-height-relative:page;" fillcolor="#FFFFFF" filled="t" stroked="f" coordsize="21600,21600" o:gfxdata="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0RaJt1gAAAAoBAAAPAAAAAAAAAAEAIAAAACIAAABkcnMvZG93bnJldi54bWxQSwECFAAUAAAA&#10;CACHTuJAtcWJ7CkCAABTBAAADgAAAAAAAAABACAAAAAlAQAAZHJzL2Uyb0RvYy54bWxQSwUGAAAA&#10;AAYABgBZAQAAwAUAAAAA&#10;">
                <v:fill on="t" focussize="0,0"/>
                <v:stroke on="f" weight="0.5pt" joinstyle="round"/>
                <v:imagedata o:title=""/>
                <o:lock v:ext="edit" aspectratio="f"/>
                <v:textbox>
                  <w:txbxContent>
                    <w:p>
                      <w:pPr>
                        <w:spacing w:line="280" w:lineRule="exact"/>
                        <w:ind w:firstLine="0" w:firstLineChars="0"/>
                        <w:rPr>
                          <w:sz w:val="21"/>
                          <w:szCs w:val="21"/>
                        </w:rPr>
                      </w:pPr>
                      <w:r>
                        <w:rPr>
                          <w:rFonts w:hint="eastAsia"/>
                          <w:sz w:val="21"/>
                          <w:szCs w:val="21"/>
                        </w:rPr>
                        <w:t xml:space="preserve">584.94含在有机肥中综合利用 </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2100580</wp:posOffset>
                </wp:positionH>
                <wp:positionV relativeFrom="paragraph">
                  <wp:posOffset>83820</wp:posOffset>
                </wp:positionV>
                <wp:extent cx="427355" cy="314325"/>
                <wp:effectExtent l="0" t="0" r="0" b="9525"/>
                <wp:wrapNone/>
                <wp:docPr id="17"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427355" cy="314325"/>
                        </a:xfrm>
                        <a:prstGeom prst="rect">
                          <a:avLst/>
                        </a:prstGeom>
                        <a:solidFill>
                          <a:srgbClr val="FFFFFF"/>
                        </a:solidFill>
                        <a:ln>
                          <a:noFill/>
                        </a:ln>
                      </wps:spPr>
                      <wps:txbx>
                        <w:txbxContent>
                          <w:p>
                            <w:pPr>
                              <w:ind w:firstLine="0" w:firstLineChars="0"/>
                            </w:pPr>
                            <w:r>
                              <w:rPr>
                                <w:rFonts w:hint="eastAsia"/>
                                <w:sz w:val="21"/>
                                <w:szCs w:val="21"/>
                              </w:rPr>
                              <w:t>18.8</w:t>
                            </w:r>
                          </w:p>
                        </w:txbxContent>
                      </wps:txbx>
                      <wps:bodyPr rot="0" vert="horz" wrap="square" lIns="91440" tIns="45720" rIns="91440" bIns="45720" anchor="t" anchorCtr="0" upright="1">
                        <a:noAutofit/>
                      </wps:bodyPr>
                    </wps:wsp>
                  </a:graphicData>
                </a:graphic>
              </wp:anchor>
            </w:drawing>
          </mc:Choice>
          <mc:Fallback>
            <w:pict>
              <v:shape id="文本框 32" o:spid="_x0000_s1026" o:spt="202" type="#_x0000_t202" style="position:absolute;left:0pt;margin-left:165.4pt;margin-top:6.6pt;height:24.75pt;width:33.65pt;z-index:251659264;mso-width-relative:page;mso-height-relative:page;" fillcolor="#FFFFFF" filled="t" stroked="f" coordsize="21600,21600" o:gfxdata="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nuLK61wAAAAkBAAAPAAAAAAAAAAEAIAAAACIAAABkcnMvZG93bnJldi54bWxQSwECFAAU&#10;AAAACACHTuJAJ1c6PSsCAAA/BAAADgAAAAAAAAABACAAAAAmAQAAZHJzL2Uyb0RvYy54bWxQSwUG&#10;AAAAAAYABgBZAQAAwwUAAAAA&#10;">
                <v:fill on="t" focussize="0,0"/>
                <v:stroke on="f"/>
                <v:imagedata o:title=""/>
                <o:lock v:ext="edit" aspectratio="f"/>
                <v:textbox>
                  <w:txbxContent>
                    <w:p>
                      <w:pPr>
                        <w:ind w:firstLine="0" w:firstLineChars="0"/>
                      </w:pPr>
                      <w:r>
                        <w:rPr>
                          <w:rFonts w:hint="eastAsia"/>
                          <w:sz w:val="21"/>
                          <w:szCs w:val="21"/>
                        </w:rPr>
                        <w:t>18.8</w:t>
                      </w:r>
                    </w:p>
                  </w:txbxContent>
                </v:textbox>
              </v:shape>
            </w:pict>
          </mc:Fallback>
        </mc:AlternateContent>
      </w:r>
      <w:r>
        <w:rPr>
          <w:sz w:val="21"/>
        </w:rPr>
        <mc:AlternateContent>
          <mc:Choice Requires="wpg">
            <w:drawing>
              <wp:anchor distT="0" distB="0" distL="114300" distR="114300" simplePos="0" relativeHeight="251667456" behindDoc="0" locked="0" layoutInCell="1" allowOverlap="1">
                <wp:simplePos x="0" y="0"/>
                <wp:positionH relativeFrom="column">
                  <wp:posOffset>1657350</wp:posOffset>
                </wp:positionH>
                <wp:positionV relativeFrom="paragraph">
                  <wp:posOffset>221615</wp:posOffset>
                </wp:positionV>
                <wp:extent cx="457200" cy="99695"/>
                <wp:effectExtent l="0" t="0" r="19050" b="33655"/>
                <wp:wrapNone/>
                <wp:docPr id="2" name="组合 2"/>
                <wp:cNvGraphicFramePr/>
                <a:graphic xmlns:a="http://schemas.openxmlformats.org/drawingml/2006/main">
                  <a:graphicData uri="http://schemas.microsoft.com/office/word/2010/wordprocessingGroup">
                    <wpg:wgp>
                      <wpg:cNvGrpSpPr/>
                      <wpg:grpSpPr>
                        <a:xfrm>
                          <a:off x="0" y="0"/>
                          <a:ext cx="457200" cy="99695"/>
                          <a:chOff x="4838" y="1681"/>
                          <a:chExt cx="720" cy="157"/>
                        </a:xfrm>
                      </wpg:grpSpPr>
                      <wps:wsp>
                        <wps:cNvPr id="8" name="直接连接符 61"/>
                        <wps:cNvCnPr/>
                        <wps:spPr>
                          <a:xfrm flipV="1">
                            <a:off x="4838" y="1681"/>
                            <a:ext cx="360" cy="157"/>
                          </a:xfrm>
                          <a:prstGeom prst="line">
                            <a:avLst/>
                          </a:prstGeom>
                          <a:ln w="9525" cap="flat" cmpd="sng">
                            <a:solidFill>
                              <a:srgbClr val="000000"/>
                            </a:solidFill>
                            <a:prstDash val="solid"/>
                            <a:headEnd type="none" w="med" len="med"/>
                            <a:tailEnd type="none" w="med" len="med"/>
                          </a:ln>
                        </wps:spPr>
                        <wps:bodyPr/>
                      </wps:wsp>
                      <wps:wsp>
                        <wps:cNvPr id="16" name="直接连接符 62"/>
                        <wps:cNvCnPr/>
                        <wps:spPr>
                          <a:xfrm>
                            <a:off x="5198" y="1681"/>
                            <a:ext cx="360" cy="2"/>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30.5pt;margin-top:17.45pt;height:7.85pt;width:36pt;z-index:251667456;mso-width-relative:page;mso-height-relative:page;" coordorigin="4838,1681" coordsize="720,157" o:gfxdata="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BpOaw2gAA&#10;AAkBAAAPAAAAAAAAAAEAIAAAACIAAABkcnMvZG93bnJldi54bWxQSwECFAAUAAAACACHTuJAw4iJ&#10;ZY4CAAARBwAADgAAAAAAAAABACAAAAApAQAAZHJzL2Uyb0RvYy54bWxQSwUGAAAAAAYABgBZAQAA&#10;KQYAAAAA&#10;">
                <o:lock v:ext="edit" aspectratio="f"/>
                <v:line id="直接连接符 61" o:spid="_x0000_s1026" o:spt="20" style="position:absolute;left:4838;top:1681;flip:y;height:157;width:360;" filled="f" stroked="t" coordsize="21600,21600" o:gfxdata="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fA0i5AAAA2g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接连接符 62" o:spid="_x0000_s1026" o:spt="20" style="position:absolute;left:5198;top:1681;height:2;width:360;"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3322955</wp:posOffset>
                </wp:positionH>
                <wp:positionV relativeFrom="paragraph">
                  <wp:posOffset>294005</wp:posOffset>
                </wp:positionV>
                <wp:extent cx="782320" cy="314960"/>
                <wp:effectExtent l="0" t="0" r="17780" b="27940"/>
                <wp:wrapNone/>
                <wp:docPr id="102"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782320" cy="314960"/>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冲洗废水</w:t>
                            </w:r>
                          </w:p>
                        </w:txbxContent>
                      </wps:txbx>
                      <wps:bodyPr rot="0" vert="horz" wrap="square" lIns="91440" tIns="45720" rIns="91440" bIns="45720" anchor="t" anchorCtr="0" upright="1">
                        <a:noAutofit/>
                      </wps:bodyPr>
                    </wps:wsp>
                  </a:graphicData>
                </a:graphic>
              </wp:anchor>
            </w:drawing>
          </mc:Choice>
          <mc:Fallback>
            <w:pict>
              <v:shape id="文本框 39" o:spid="_x0000_s1026" o:spt="202" type="#_x0000_t202" style="position:absolute;left:0pt;margin-left:261.65pt;margin-top:23.15pt;height:24.8pt;width:61.6pt;z-index:251702272;mso-width-relative:page;mso-height-relative:page;" fillcolor="#FFFFFF" filled="t" stroked="t" coordsize="21600,21600" o:gfxdata="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80ONg1wAAAAkBAAAPAAAAAAAAAAEAIAAAACIAAABkcnMv&#10;ZG93bnJldi54bWxQSwECFAAUAAAACACHTuJAd3pp6T0CAAB8BAAADgAAAAAAAAABACAAAAAmAQAA&#10;ZHJzL2Uyb0RvYy54bWxQSwUGAAAAAAYABgBZAQAA1QU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冲洗废水</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1428750</wp:posOffset>
                </wp:positionH>
                <wp:positionV relativeFrom="paragraph">
                  <wp:posOffset>316865</wp:posOffset>
                </wp:positionV>
                <wp:extent cx="914400" cy="297815"/>
                <wp:effectExtent l="0" t="0" r="19050" b="26035"/>
                <wp:wrapNone/>
                <wp:docPr id="24"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914400" cy="297815"/>
                        </a:xfrm>
                        <a:prstGeom prst="rect">
                          <a:avLst/>
                        </a:prstGeom>
                        <a:solidFill>
                          <a:srgbClr val="FFFFFF"/>
                        </a:solidFill>
                        <a:ln w="6350">
                          <a:solidFill>
                            <a:srgbClr val="000000"/>
                          </a:solidFill>
                          <a:round/>
                        </a:ln>
                      </wps:spPr>
                      <wps:txbx>
                        <w:txbxContent>
                          <w:p>
                            <w:pPr>
                              <w:ind w:firstLine="0" w:firstLineChars="0"/>
                              <w:rPr>
                                <w:sz w:val="21"/>
                                <w:szCs w:val="21"/>
                              </w:rPr>
                            </w:pPr>
                            <w:r>
                              <w:rPr>
                                <w:rFonts w:hint="eastAsia"/>
                                <w:sz w:val="21"/>
                                <w:szCs w:val="21"/>
                              </w:rPr>
                              <w:t>消毒冲洗水</w:t>
                            </w:r>
                          </w:p>
                        </w:txbxContent>
                      </wps:txbx>
                      <wps:bodyPr rot="0" vert="horz" wrap="square" lIns="91440" tIns="45720" rIns="91440" bIns="45720" anchor="t" anchorCtr="0" upright="1">
                        <a:noAutofit/>
                      </wps:bodyPr>
                    </wps:wsp>
                  </a:graphicData>
                </a:graphic>
              </wp:anchor>
            </w:drawing>
          </mc:Choice>
          <mc:Fallback>
            <w:pict>
              <v:shape id="文本框 45" o:spid="_x0000_s1026" o:spt="202" type="#_x0000_t202" style="position:absolute;left:0pt;margin-left:112.5pt;margin-top:24.95pt;height:23.45pt;width:72pt;z-index:251685888;mso-width-relative:page;mso-height-relative:page;" fillcolor="#FFFFFF" filled="t" stroked="t" coordsize="21600,21600" o:gfxdata="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j8nu41wAAAAkBAAAPAAAAAAAAAAEAIAAAACIAAABkcnMvZG93&#10;bnJldi54bWxQSwECFAAUAAAACACHTuJAhkSvkjoCAAB7BAAADgAAAAAAAAABACAAAAAmAQAAZHJz&#10;L2Uyb0RvYy54bWxQSwUGAAAAAAYABgBZAQAA0gUAAAAA&#10;">
                <v:fill on="t" focussize="0,0"/>
                <v:stroke weight="0.5pt" color="#000000" joinstyle="round"/>
                <v:imagedata o:title=""/>
                <o:lock v:ext="edit" aspectratio="f"/>
                <v:textbox>
                  <w:txbxContent>
                    <w:p>
                      <w:pPr>
                        <w:ind w:firstLine="0" w:firstLineChars="0"/>
                        <w:rPr>
                          <w:sz w:val="21"/>
                          <w:szCs w:val="21"/>
                        </w:rPr>
                      </w:pPr>
                      <w:r>
                        <w:rPr>
                          <w:rFonts w:hint="eastAsia"/>
                          <w:sz w:val="21"/>
                          <w:szCs w:val="21"/>
                        </w:rPr>
                        <w:t>消毒冲洗水</w:t>
                      </w:r>
                    </w:p>
                  </w:txbxContent>
                </v:textbox>
              </v:shape>
            </w:pict>
          </mc:Fallback>
        </mc:AlternateContent>
      </w:r>
    </w:p>
    <w:p>
      <w:pPr>
        <w:ind w:firstLine="480"/>
      </w:pPr>
      <w:r>
        <mc:AlternateContent>
          <mc:Choice Requires="wps">
            <w:drawing>
              <wp:anchor distT="0" distB="0" distL="114300" distR="114300" simplePos="0" relativeHeight="251692032" behindDoc="0" locked="0" layoutInCell="1" allowOverlap="1">
                <wp:simplePos x="0" y="0"/>
                <wp:positionH relativeFrom="column">
                  <wp:posOffset>4115435</wp:posOffset>
                </wp:positionH>
                <wp:positionV relativeFrom="paragraph">
                  <wp:posOffset>127000</wp:posOffset>
                </wp:positionV>
                <wp:extent cx="104775" cy="3810"/>
                <wp:effectExtent l="0" t="0" r="28575" b="34290"/>
                <wp:wrapNone/>
                <wp:docPr id="52" name="AutoShape 651"/>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3810"/>
                        </a:xfrm>
                        <a:prstGeom prst="straightConnector1">
                          <a:avLst/>
                        </a:prstGeom>
                        <a:noFill/>
                        <a:ln w="9525">
                          <a:solidFill>
                            <a:srgbClr val="000000"/>
                          </a:solidFill>
                          <a:round/>
                        </a:ln>
                      </wps:spPr>
                      <wps:bodyPr/>
                    </wps:wsp>
                  </a:graphicData>
                </a:graphic>
              </wp:anchor>
            </w:drawing>
          </mc:Choice>
          <mc:Fallback>
            <w:pict>
              <v:shape id="AutoShape 651" o:spid="_x0000_s1026" o:spt="32" type="#_x0000_t32" style="position:absolute;left:0pt;flip:x y;margin-left:324.05pt;margin-top:10pt;height:0.3pt;width:8.25pt;z-index:251692032;mso-width-relative:page;mso-height-relative:page;" filled="f" stroked="t" coordsize="21600,21600" o:gfxdata="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Ux9O9gA&#10;AAAJAQAADwAAAAAAAAABACAAAAAiAAAAZHJzL2Rvd25yZXYueG1sUEsBAhQAFAAAAAgAh07iQDJ4&#10;TvfmAQAAywMAAA4AAAAAAAAAAQAgAAAAJwEAAGRycy9lMm9Eb2MueG1sUEsFBgAAAAAGAAYAWQEA&#10;AH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2656840</wp:posOffset>
                </wp:positionH>
                <wp:positionV relativeFrom="paragraph">
                  <wp:posOffset>3175</wp:posOffset>
                </wp:positionV>
                <wp:extent cx="494665" cy="314325"/>
                <wp:effectExtent l="0" t="0" r="635" b="9525"/>
                <wp:wrapNone/>
                <wp:docPr id="101"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494665" cy="314325"/>
                        </a:xfrm>
                        <a:prstGeom prst="rect">
                          <a:avLst/>
                        </a:prstGeom>
                        <a:solidFill>
                          <a:srgbClr val="FFFFFF"/>
                        </a:solidFill>
                        <a:ln>
                          <a:noFill/>
                        </a:ln>
                      </wps:spPr>
                      <wps:txbx>
                        <w:txbxContent>
                          <w:p>
                            <w:pPr>
                              <w:ind w:firstLine="0" w:firstLineChars="0"/>
                              <w:jc w:val="center"/>
                              <w:rPr>
                                <w:bCs/>
                                <w:sz w:val="21"/>
                                <w:szCs w:val="21"/>
                              </w:rPr>
                            </w:pPr>
                            <w:r>
                              <w:rPr>
                                <w:rFonts w:hint="eastAsia"/>
                                <w:bCs/>
                                <w:sz w:val="21"/>
                                <w:szCs w:val="21"/>
                              </w:rPr>
                              <w:t>170</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209.2pt;margin-top:0.25pt;height:24.75pt;width:38.95pt;z-index:251715584;mso-width-relative:page;mso-height-relative:page;" fillcolor="#FFFFFF" filled="t" stroked="f" coordsize="21600,21600" o:gfxdata="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ZsaI/UAAAABwEA&#10;AA8AAAAAAAAAAQAgAAAAIgAAAGRycy9kb3ducmV2LnhtbFBLAQIUABQAAAAIAIdO4kDkhZxGHgIA&#10;AEAEAAAOAAAAAAAAAAEAIAAAACMBAABkcnMvZTJvRG9jLnhtbFBLBQYAAAAABgAGAFkBAACzBQAA&#10;AAA=&#10;">
                <v:fill on="t" focussize="0,0"/>
                <v:stroke on="f"/>
                <v:imagedata o:title=""/>
                <o:lock v:ext="edit" aspectratio="f"/>
                <v:textbox>
                  <w:txbxContent>
                    <w:p>
                      <w:pPr>
                        <w:ind w:firstLine="0" w:firstLineChars="0"/>
                        <w:jc w:val="center"/>
                        <w:rPr>
                          <w:bCs/>
                          <w:sz w:val="21"/>
                          <w:szCs w:val="21"/>
                        </w:rPr>
                      </w:pPr>
                      <w:r>
                        <w:rPr>
                          <w:rFonts w:hint="eastAsia"/>
                          <w:bCs/>
                          <w:sz w:val="21"/>
                          <w:szCs w:val="21"/>
                        </w:rPr>
                        <w:t>170</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3018790</wp:posOffset>
                </wp:positionH>
                <wp:positionV relativeFrom="paragraph">
                  <wp:posOffset>128270</wp:posOffset>
                </wp:positionV>
                <wp:extent cx="308610" cy="3810"/>
                <wp:effectExtent l="0" t="76200" r="34290" b="91440"/>
                <wp:wrapNone/>
                <wp:docPr id="103"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237.7pt;margin-top:10.1pt;height:0.3pt;width:24.3pt;z-index:251660288;mso-width-relative:page;mso-height-relative:page;" filled="f" stroked="t" coordsize="21600,21600" o:gfxdata="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oDB3aAAAACQEAAA8AAAAAAAAAAQAgAAAAIgAAAGRycy9kb3ducmV2LnhtbFBL&#10;AQIUABQAAAAIAIdO4kAgaYeZ9AEAAOYDAAAOAAAAAAAAAAEAIAAAACkBAABkcnMvZTJvRG9jLnht&#10;bFBLBQYAAAAABgAGAFkBAACP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2352040</wp:posOffset>
                </wp:positionH>
                <wp:positionV relativeFrom="paragraph">
                  <wp:posOffset>128270</wp:posOffset>
                </wp:positionV>
                <wp:extent cx="308610" cy="3810"/>
                <wp:effectExtent l="0" t="76200" r="34290" b="91440"/>
                <wp:wrapNone/>
                <wp:docPr id="100"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185.2pt;margin-top:10.1pt;height:0.3pt;width:24.3pt;z-index:251711488;mso-width-relative:page;mso-height-relative:page;" filled="f" stroked="t" coordsize="21600,21600" o:gfxdata="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dOoL2QAAAAkBAAAPAAAAAAAAAAEAIAAAACIAAABkcnMvZG93bnJldi54bWxQSwEC&#10;FAAUAAAACACHTuJAkRdgCfMBAADmAwAADgAAAAAAAAABACAAAAAoAQAAZHJzL2Uyb0RvYy54bWxQ&#10;SwUGAAAAAAYABgBZAQAAj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685165</wp:posOffset>
                </wp:positionH>
                <wp:positionV relativeFrom="paragraph">
                  <wp:posOffset>22225</wp:posOffset>
                </wp:positionV>
                <wp:extent cx="570230" cy="314325"/>
                <wp:effectExtent l="0" t="0" r="1270" b="9525"/>
                <wp:wrapNone/>
                <wp:docPr id="98"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188.8</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53.95pt;margin-top:1.75pt;height:24.75pt;width:44.9pt;z-index:251665408;mso-width-relative:page;mso-height-relative:page;" fillcolor="#FFFFFF" filled="t" stroked="f" coordsize="21600,21600" o:gfxdata="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zRt3NUAAAAIAQAA&#10;DwAAAAAAAAABACAAAAAiAAAAZHJzL2Rvd25yZXYueG1sUEsBAhQAFAAAAAgAh07iQOH/G48cAgAA&#10;PwQAAA4AAAAAAAAAAQAgAAAAJAEAAGRycy9lMm9Eb2MueG1sUEsFBgAAAAAGAAYAWQEAALIFAAAA&#10;AA==&#10;">
                <v:fill on="t" focussize="0,0"/>
                <v:stroke on="f"/>
                <v:imagedata o:title=""/>
                <o:lock v:ext="edit" aspectratio="f"/>
                <v:textbox>
                  <w:txbxContent>
                    <w:p>
                      <w:pPr>
                        <w:ind w:firstLine="0" w:firstLineChars="0"/>
                        <w:rPr>
                          <w:bCs/>
                          <w:sz w:val="21"/>
                          <w:szCs w:val="21"/>
                        </w:rPr>
                      </w:pPr>
                      <w:r>
                        <w:rPr>
                          <w:rFonts w:hint="eastAsia"/>
                          <w:bCs/>
                          <w:sz w:val="21"/>
                          <w:szCs w:val="21"/>
                        </w:rPr>
                        <w:t>188.8</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1123315</wp:posOffset>
                </wp:positionH>
                <wp:positionV relativeFrom="paragraph">
                  <wp:posOffset>128270</wp:posOffset>
                </wp:positionV>
                <wp:extent cx="308610" cy="3810"/>
                <wp:effectExtent l="0" t="76200" r="34290" b="91440"/>
                <wp:wrapNone/>
                <wp:docPr id="99"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88.45pt;margin-top:10.1pt;height:0.3pt;width:24.3pt;z-index:251703296;mso-width-relative:page;mso-height-relative:page;" filled="f" stroked="t" coordsize="21600,21600" o:gfxdata="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OyYbYAAAACQEAAA8AAAAAAAAAAQAgAAAAIgAAAGRycy9kb3ducmV2LnhtbFBLAQIU&#10;ABQAAAAIAIdO4kAgAP4E8wEAAOUDAAAOAAAAAAAAAAEAIAAAACcBAABkcnMvZTJvRG9jLnhtbFBL&#10;BQYAAAAABgAGAFkBAACM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380365</wp:posOffset>
                </wp:positionH>
                <wp:positionV relativeFrom="paragraph">
                  <wp:posOffset>128270</wp:posOffset>
                </wp:positionV>
                <wp:extent cx="308610" cy="3810"/>
                <wp:effectExtent l="0" t="76200" r="34290" b="91440"/>
                <wp:wrapNone/>
                <wp:docPr id="92"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29.95pt;margin-top:10.1pt;height:0.3pt;width:24.3pt;z-index:251714560;mso-width-relative:page;mso-height-relative:page;" filled="f" stroked="t" coordsize="21600,21600" o:gfxdata="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3HEJ1wAAAAgBAAAPAAAAAAAAAAEAIAAAACIAAABkcnMvZG93bnJldi54bWxQSwECFAAU&#10;AAAACACHTuJAayESoPIBAADlAwAADgAAAAAAAAABACAAAAAmAQAAZHJzL2Uyb0RvYy54bWxQSwUG&#10;AAAAAAYABgBZAQAAigUAAAAA&#10;">
                <v:fill on="f" focussize="0,0"/>
                <v:stroke color="#000000" joinstyle="round" endarrow="block"/>
                <v:imagedata o:title=""/>
                <o:lock v:ext="edit" aspectratio="f"/>
              </v:shape>
            </w:pict>
          </mc:Fallback>
        </mc:AlternateContent>
      </w:r>
    </w:p>
    <w:p>
      <w:pPr>
        <w:pStyle w:val="12"/>
        <w:ind w:firstLine="480"/>
      </w:pPr>
    </w:p>
    <w:p>
      <w:pPr>
        <w:ind w:firstLine="480"/>
      </w:pPr>
      <w:r>
        <mc:AlternateContent>
          <mc:Choice Requires="wps">
            <w:drawing>
              <wp:anchor distT="0" distB="0" distL="114300" distR="114300" simplePos="0" relativeHeight="251705344" behindDoc="0" locked="0" layoutInCell="1" allowOverlap="1">
                <wp:simplePos x="0" y="0"/>
                <wp:positionH relativeFrom="column">
                  <wp:posOffset>2647315</wp:posOffset>
                </wp:positionH>
                <wp:positionV relativeFrom="paragraph">
                  <wp:posOffset>106045</wp:posOffset>
                </wp:positionV>
                <wp:extent cx="951865" cy="314325"/>
                <wp:effectExtent l="0" t="0" r="635" b="9525"/>
                <wp:wrapNone/>
                <wp:docPr id="108"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951865"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挥发损失450</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208.45pt;margin-top:8.35pt;height:24.75pt;width:74.95pt;z-index:251705344;mso-width-relative:page;mso-height-relative:page;" fillcolor="#FFFFFF" filled="t" stroked="f" coordsize="21600,21600" o:gfxdata="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HqAl9YAAAAJ&#10;AQAADwAAAAAAAAABACAAAAAiAAAAZHJzL2Rvd25yZXYueG1sUEsBAhQAFAAAAAgAh07iQNuUhnIe&#10;AgAAQAQAAA4AAAAAAAAAAQAgAAAAJQEAAGRycy9lMm9Eb2MueG1sUEsFBgAAAAAGAAYAWQEAALUF&#10;AAAAAA==&#10;">
                <v:fill on="t" focussize="0,0"/>
                <v:stroke on="f"/>
                <v:imagedata o:title=""/>
                <o:lock v:ext="edit" aspectratio="f"/>
                <v:textbox>
                  <w:txbxContent>
                    <w:p>
                      <w:pPr>
                        <w:ind w:firstLine="0" w:firstLineChars="0"/>
                        <w:rPr>
                          <w:bCs/>
                          <w:sz w:val="21"/>
                          <w:szCs w:val="21"/>
                        </w:rPr>
                      </w:pPr>
                      <w:r>
                        <w:rPr>
                          <w:rFonts w:hint="eastAsia"/>
                          <w:bCs/>
                          <w:sz w:val="21"/>
                          <w:szCs w:val="21"/>
                        </w:rPr>
                        <w:t>挥发损失450</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2342515</wp:posOffset>
                </wp:positionH>
                <wp:positionV relativeFrom="paragraph">
                  <wp:posOffset>231140</wp:posOffset>
                </wp:positionV>
                <wp:extent cx="308610" cy="3810"/>
                <wp:effectExtent l="0" t="76200" r="34290" b="91440"/>
                <wp:wrapNone/>
                <wp:docPr id="107"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184.45pt;margin-top:18.2pt;height:0.3pt;width:24.3pt;z-index:251666432;mso-width-relative:page;mso-height-relative:page;" filled="f" stroked="t" coordsize="21600,21600" o:gfxdata="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HgW4NkAAAAJAQAADwAAAAAAAAABACAAAAAiAAAAZHJzL2Rvd25yZXYueG1sUEsB&#10;AhQAFAAAAAgAh07iQN3GgoP0AQAA5gMAAA4AAAAAAAAAAQAgAAAAKA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1323975</wp:posOffset>
                </wp:positionH>
                <wp:positionV relativeFrom="paragraph">
                  <wp:posOffset>71120</wp:posOffset>
                </wp:positionV>
                <wp:extent cx="1009015" cy="297815"/>
                <wp:effectExtent l="0" t="0" r="19685" b="26035"/>
                <wp:wrapNone/>
                <wp:docPr id="106"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1009015" cy="297815"/>
                        </a:xfrm>
                        <a:prstGeom prst="rect">
                          <a:avLst/>
                        </a:prstGeom>
                        <a:solidFill>
                          <a:srgbClr val="FFFFFF"/>
                        </a:solidFill>
                        <a:ln w="6350">
                          <a:solidFill>
                            <a:srgbClr val="000000"/>
                          </a:solidFill>
                          <a:round/>
                        </a:ln>
                      </wps:spPr>
                      <wps:txbx>
                        <w:txbxContent>
                          <w:p>
                            <w:pPr>
                              <w:ind w:firstLine="0" w:firstLineChars="0"/>
                              <w:rPr>
                                <w:sz w:val="21"/>
                                <w:szCs w:val="21"/>
                              </w:rPr>
                            </w:pPr>
                            <w:r>
                              <w:rPr>
                                <w:rFonts w:hint="eastAsia"/>
                                <w:sz w:val="21"/>
                                <w:szCs w:val="21"/>
                              </w:rPr>
                              <w:t>猪舍水帘降温</w:t>
                            </w:r>
                          </w:p>
                        </w:txbxContent>
                      </wps:txbx>
                      <wps:bodyPr rot="0" vert="horz" wrap="square" lIns="91440" tIns="45720" rIns="91440" bIns="45720" anchor="t" anchorCtr="0" upright="1">
                        <a:noAutofit/>
                      </wps:bodyPr>
                    </wps:wsp>
                  </a:graphicData>
                </a:graphic>
              </wp:anchor>
            </w:drawing>
          </mc:Choice>
          <mc:Fallback>
            <w:pict>
              <v:shape id="文本框 45" o:spid="_x0000_s1026" o:spt="202" type="#_x0000_t202" style="position:absolute;left:0pt;margin-left:104.25pt;margin-top:5.6pt;height:23.45pt;width:79.45pt;z-index:251661312;mso-width-relative:page;mso-height-relative:page;" fillcolor="#FFFFFF" filled="t" stroked="t" coordsize="21600,21600" o:gfxdata="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ce1gAAAAkBAAAPAAAAAAAAAAEAIAAAACIAAABkcnMvZG93&#10;bnJldi54bWxQSwECFAAUAAAACACHTuJAA5BdhzsCAAB9BAAADgAAAAAAAAABACAAAAAlAQAAZHJz&#10;L2Uyb0RvYy54bWxQSwUGAAAAAAYABgBZAQAA0gUAAAAA&#10;">
                <v:fill on="t" focussize="0,0"/>
                <v:stroke weight="0.5pt" color="#000000" joinstyle="round"/>
                <v:imagedata o:title=""/>
                <o:lock v:ext="edit" aspectratio="f"/>
                <v:textbox>
                  <w:txbxContent>
                    <w:p>
                      <w:pPr>
                        <w:ind w:firstLine="0" w:firstLineChars="0"/>
                        <w:rPr>
                          <w:sz w:val="21"/>
                          <w:szCs w:val="21"/>
                        </w:rPr>
                      </w:pPr>
                      <w:r>
                        <w:rPr>
                          <w:rFonts w:hint="eastAsia"/>
                          <w:sz w:val="21"/>
                          <w:szCs w:val="21"/>
                        </w:rPr>
                        <w:t>猪舍水帘降温</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1018540</wp:posOffset>
                </wp:positionH>
                <wp:positionV relativeFrom="paragraph">
                  <wp:posOffset>240665</wp:posOffset>
                </wp:positionV>
                <wp:extent cx="308610" cy="3810"/>
                <wp:effectExtent l="0" t="76200" r="34290" b="91440"/>
                <wp:wrapNone/>
                <wp:docPr id="105"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80.2pt;margin-top:18.95pt;height:0.3pt;width:24.3pt;z-index:251710464;mso-width-relative:page;mso-height-relative:page;" filled="f" stroked="t" coordsize="21600,21600" o:gfxdata="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PFE1NkAAAAJAQAADwAAAAAAAAABACAAAAAiAAAAZHJzL2Rvd25yZXYueG1sUEsB&#10;AhQAFAAAAAgAh07iQAOSOGP0AQAA5gMAAA4AAAAAAAAAAQAgAAAAKA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685165</wp:posOffset>
                </wp:positionH>
                <wp:positionV relativeFrom="paragraph">
                  <wp:posOffset>115570</wp:posOffset>
                </wp:positionV>
                <wp:extent cx="570230" cy="314325"/>
                <wp:effectExtent l="0" t="0" r="1270" b="9525"/>
                <wp:wrapNone/>
                <wp:docPr id="104" name="Text Box 657"/>
                <wp:cNvGraphicFramePr/>
                <a:graphic xmlns:a="http://schemas.openxmlformats.org/drawingml/2006/main">
                  <a:graphicData uri="http://schemas.microsoft.com/office/word/2010/wordprocessingShape">
                    <wps:wsp>
                      <wps:cNvSpPr txBox="1">
                        <a:spLocks noChangeArrowheads="1"/>
                      </wps:cNvSpPr>
                      <wps:spPr bwMode="auto">
                        <a:xfrm>
                          <a:off x="0" y="0"/>
                          <a:ext cx="570230" cy="314325"/>
                        </a:xfrm>
                        <a:prstGeom prst="rect">
                          <a:avLst/>
                        </a:prstGeom>
                        <a:solidFill>
                          <a:srgbClr val="FFFFFF"/>
                        </a:solidFill>
                        <a:ln>
                          <a:noFill/>
                        </a:ln>
                      </wps:spPr>
                      <wps:txbx>
                        <w:txbxContent>
                          <w:p>
                            <w:pPr>
                              <w:ind w:firstLine="0" w:firstLineChars="0"/>
                              <w:rPr>
                                <w:bCs/>
                                <w:sz w:val="21"/>
                                <w:szCs w:val="21"/>
                              </w:rPr>
                            </w:pPr>
                            <w:r>
                              <w:rPr>
                                <w:rFonts w:hint="eastAsia"/>
                                <w:bCs/>
                                <w:sz w:val="21"/>
                                <w:szCs w:val="21"/>
                              </w:rPr>
                              <w:t>450</w:t>
                            </w:r>
                          </w:p>
                        </w:txbxContent>
                      </wps:txbx>
                      <wps:bodyPr rot="0" vert="horz" wrap="square" lIns="91440" tIns="45720" rIns="91440" bIns="45720" anchor="t" anchorCtr="0" upright="1">
                        <a:noAutofit/>
                      </wps:bodyPr>
                    </wps:wsp>
                  </a:graphicData>
                </a:graphic>
              </wp:anchor>
            </w:drawing>
          </mc:Choice>
          <mc:Fallback>
            <w:pict>
              <v:shape id="Text Box 657" o:spid="_x0000_s1026" o:spt="202" type="#_x0000_t202" style="position:absolute;left:0pt;margin-left:53.95pt;margin-top:9.1pt;height:24.75pt;width:44.9pt;z-index:251671552;mso-width-relative:page;mso-height-relative:page;" fillcolor="#FFFFFF" filled="t" stroked="f" coordsize="21600,21600" o:gfxdata="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xLUF+1gAAAAkB&#10;AAAPAAAAAAAAAAEAIAAAACIAAABkcnMvZG93bnJldi54bWxQSwECFAAUAAAACACHTuJA8IBUiR0C&#10;AABABAAADgAAAAAAAAABACAAAAAlAQAAZHJzL2Uyb0RvYy54bWxQSwUGAAAAAAYABgBZAQAAtAUA&#10;AAAA&#10;">
                <v:fill on="t" focussize="0,0"/>
                <v:stroke on="f"/>
                <v:imagedata o:title=""/>
                <o:lock v:ext="edit" aspectratio="f"/>
                <v:textbox>
                  <w:txbxContent>
                    <w:p>
                      <w:pPr>
                        <w:ind w:firstLine="0" w:firstLineChars="0"/>
                        <w:rPr>
                          <w:bCs/>
                          <w:sz w:val="21"/>
                          <w:szCs w:val="21"/>
                        </w:rPr>
                      </w:pPr>
                      <w:r>
                        <w:rPr>
                          <w:rFonts w:hint="eastAsia"/>
                          <w:bCs/>
                          <w:sz w:val="21"/>
                          <w:szCs w:val="21"/>
                        </w:rPr>
                        <w:t>450</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389890</wp:posOffset>
                </wp:positionH>
                <wp:positionV relativeFrom="paragraph">
                  <wp:posOffset>250190</wp:posOffset>
                </wp:positionV>
                <wp:extent cx="308610" cy="3810"/>
                <wp:effectExtent l="0" t="76200" r="34290" b="91440"/>
                <wp:wrapNone/>
                <wp:docPr id="93" name="AutoShape 644"/>
                <wp:cNvGraphicFramePr/>
                <a:graphic xmlns:a="http://schemas.openxmlformats.org/drawingml/2006/main">
                  <a:graphicData uri="http://schemas.microsoft.com/office/word/2010/wordprocessingShape">
                    <wps:wsp>
                      <wps:cNvCnPr>
                        <a:cxnSpLocks noChangeShapeType="1"/>
                      </wps:cNvCnPr>
                      <wps:spPr bwMode="auto">
                        <a:xfrm>
                          <a:off x="0" y="0"/>
                          <a:ext cx="308610" cy="3810"/>
                        </a:xfrm>
                        <a:prstGeom prst="straightConnector1">
                          <a:avLst/>
                        </a:prstGeom>
                        <a:noFill/>
                        <a:ln w="9525">
                          <a:solidFill>
                            <a:srgbClr val="000000"/>
                          </a:solidFill>
                          <a:round/>
                          <a:tailEnd type="triangle" w="med" len="med"/>
                        </a:ln>
                      </wps:spPr>
                      <wps:bodyPr/>
                    </wps:wsp>
                  </a:graphicData>
                </a:graphic>
              </wp:anchor>
            </w:drawing>
          </mc:Choice>
          <mc:Fallback>
            <w:pict>
              <v:shape id="AutoShape 644" o:spid="_x0000_s1026" o:spt="32" type="#_x0000_t32" style="position:absolute;left:0pt;margin-left:30.7pt;margin-top:19.7pt;height:0.3pt;width:24.3pt;z-index:251662336;mso-width-relative:page;mso-height-relative:page;" filled="f" stroked="t" coordsize="21600,21600" o:gfxdata="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nUkhvYAAAACAEAAA8AAAAAAAAAAQAgAAAAIgAAAGRycy9kb3ducmV2LnhtbFBLAQIU&#10;ABQAAAAIAIdO4kAEC0/Q8wEAAOUDAAAOAAAAAAAAAAEAIAAAACcBAABkcnMvZTJvRG9jLnhtbFBL&#10;BQYAAAAABgAGAFkBAACMBQAAAAA=&#10;">
                <v:fill on="f" focussize="0,0"/>
                <v:stroke color="#000000" joinstyle="round" endarrow="block"/>
                <v:imagedata o:title=""/>
                <o:lock v:ext="edit" aspectratio="f"/>
              </v:shape>
            </w:pict>
          </mc:Fallback>
        </mc:AlternateContent>
      </w:r>
    </w:p>
    <w:p>
      <w:pPr>
        <w:pStyle w:val="12"/>
        <w:ind w:firstLine="480"/>
      </w:pPr>
    </w:p>
    <w:p>
      <w:pPr>
        <w:ind w:firstLine="422"/>
        <w:jc w:val="center"/>
      </w:pPr>
      <w:r>
        <w:rPr>
          <w:rStyle w:val="29"/>
          <w:rFonts w:hint="eastAsia"/>
        </w:rPr>
        <w:t>图2.3-2  项目水平衡图</w:t>
      </w:r>
    </w:p>
    <w:p>
      <w:pPr>
        <w:pStyle w:val="4"/>
        <w:spacing w:before="48" w:after="48"/>
      </w:pPr>
      <w:bookmarkStart w:id="151" w:name="_Toc4440"/>
      <w:r>
        <w:rPr>
          <w:rFonts w:hint="eastAsia"/>
        </w:rPr>
        <w:t>2.4</w:t>
      </w:r>
      <w:r>
        <w:t>污染源强分析</w:t>
      </w:r>
      <w:bookmarkEnd w:id="150"/>
      <w:bookmarkEnd w:id="151"/>
    </w:p>
    <w:p>
      <w:pPr>
        <w:pStyle w:val="5"/>
        <w:spacing w:before="48" w:after="48"/>
      </w:pPr>
      <w:r>
        <w:rPr>
          <w:rFonts w:hint="eastAsia"/>
        </w:rPr>
        <w:t>2.4.1</w:t>
      </w:r>
      <w:r>
        <w:t>施工期污染源分析</w:t>
      </w:r>
    </w:p>
    <w:p>
      <w:pPr>
        <w:ind w:firstLine="480"/>
      </w:pPr>
      <w:r>
        <w:rPr>
          <w:rFonts w:hint="eastAsia"/>
        </w:rPr>
        <w:t>（一）废水污染源</w:t>
      </w:r>
    </w:p>
    <w:p>
      <w:pPr>
        <w:ind w:firstLine="480"/>
      </w:pPr>
      <w:r>
        <w:t>施工期污水主要来自两个方面，一是施工废水，二是施工人员的生活污水</w:t>
      </w:r>
      <w:r>
        <w:rPr>
          <w:rFonts w:hint="eastAsia"/>
        </w:rPr>
        <w:t>。</w:t>
      </w:r>
    </w:p>
    <w:p>
      <w:pPr>
        <w:ind w:firstLine="480"/>
      </w:pPr>
      <w:r>
        <w:t>施工废水主要是在混凝土灌注、施工设备的维修、冲洗、工程养护中产生。施工废水含有石油类和大量悬浮物，SS浓度约1000~6000mg/L，石油类为15mg/L。</w:t>
      </w:r>
      <w:r>
        <w:rPr>
          <w:rFonts w:hint="eastAsia"/>
        </w:rPr>
        <w:t>施工场地修建废水沉淀池，施工废水经沉淀处理后用于场地的洒水抑尘和车辆冲洗，不外排。</w:t>
      </w:r>
    </w:p>
    <w:p>
      <w:pPr>
        <w:ind w:firstLine="480"/>
      </w:pPr>
      <w:r>
        <w:t>生活废水主要是施工人员</w:t>
      </w:r>
      <w:r>
        <w:rPr>
          <w:rFonts w:hint="eastAsia"/>
        </w:rPr>
        <w:t>生活</w:t>
      </w:r>
      <w:r>
        <w:t>污水，主要污染物是COD</w:t>
      </w:r>
      <w:r>
        <w:rPr>
          <w:vertAlign w:val="subscript"/>
        </w:rPr>
        <w:t>Cr</w:t>
      </w:r>
      <w:r>
        <w:t>、BOD</w:t>
      </w:r>
      <w:r>
        <w:rPr>
          <w:vertAlign w:val="subscript"/>
        </w:rPr>
        <w:t>5</w:t>
      </w:r>
      <w:r>
        <w:t>、氨氮和动植物油等。项目</w:t>
      </w:r>
      <w:r>
        <w:rPr>
          <w:rFonts w:hint="eastAsia"/>
        </w:rPr>
        <w:t>工程</w:t>
      </w:r>
      <w:r>
        <w:t>共有施工人员约</w:t>
      </w:r>
      <w:r>
        <w:rPr>
          <w:rFonts w:hint="eastAsia"/>
        </w:rPr>
        <w:t>20</w:t>
      </w:r>
      <w:r>
        <w:t>人，每天生活用水以100L/人计，生活污水按用水量的80%计，则生活污水的排放量为</w:t>
      </w:r>
      <w:r>
        <w:rPr>
          <w:rFonts w:hint="eastAsia"/>
        </w:rPr>
        <w:t>2</w:t>
      </w:r>
      <w:r>
        <w:t>m</w:t>
      </w:r>
      <w:r>
        <w:rPr>
          <w:vertAlign w:val="superscript"/>
        </w:rPr>
        <w:t>3</w:t>
      </w:r>
      <w:r>
        <w:t>/d，施工期约</w:t>
      </w:r>
      <w:r>
        <w:rPr>
          <w:rFonts w:hint="eastAsia"/>
        </w:rPr>
        <w:t>6</w:t>
      </w:r>
      <w:r>
        <w:t>个月，生活</w:t>
      </w:r>
      <w:bookmarkStart w:id="152" w:name="_Hlt8614377"/>
      <w:bookmarkEnd w:id="152"/>
      <w:r>
        <w:t>废水产生量为</w:t>
      </w:r>
      <w:r>
        <w:rPr>
          <w:rFonts w:hint="eastAsia"/>
        </w:rPr>
        <w:t>360</w:t>
      </w:r>
      <w:r>
        <w:t>m</w:t>
      </w:r>
      <w:r>
        <w:rPr>
          <w:vertAlign w:val="superscript"/>
        </w:rPr>
        <w:t>3</w:t>
      </w:r>
      <w:r>
        <w:t>。</w:t>
      </w:r>
      <w:r>
        <w:rPr>
          <w:rFonts w:hint="eastAsia"/>
        </w:rPr>
        <w:t>化粪池处理后，用于周边农田施肥，不外排。</w:t>
      </w:r>
    </w:p>
    <w:p>
      <w:pPr>
        <w:ind w:firstLine="480"/>
      </w:pPr>
      <w:r>
        <w:rPr>
          <w:rFonts w:hint="eastAsia"/>
        </w:rPr>
        <w:t>（二）废气污染源</w:t>
      </w:r>
    </w:p>
    <w:p>
      <w:pPr>
        <w:ind w:firstLine="480"/>
      </w:pPr>
      <w:r>
        <w:t>施工阶段的</w:t>
      </w:r>
      <w:r>
        <w:rPr>
          <w:rFonts w:hint="eastAsia"/>
        </w:rPr>
        <w:t>废气</w:t>
      </w:r>
      <w:r>
        <w:t>污染源主要来自</w:t>
      </w:r>
      <w:r>
        <w:rPr>
          <w:rFonts w:hint="eastAsia"/>
        </w:rPr>
        <w:t>施工场地的扬尘，包括</w:t>
      </w:r>
      <w:r>
        <w:t>土石方扬尘、运输建筑材料的扬尘</w:t>
      </w:r>
      <w:r>
        <w:rPr>
          <w:rFonts w:hint="eastAsia"/>
        </w:rPr>
        <w:t>，</w:t>
      </w:r>
      <w:r>
        <w:t>运输车辆的汽车尾气</w:t>
      </w:r>
      <w:r>
        <w:rPr>
          <w:rFonts w:hint="eastAsia"/>
        </w:rPr>
        <w:t>以及装修废气</w:t>
      </w:r>
      <w:r>
        <w:t>等。</w:t>
      </w:r>
    </w:p>
    <w:p>
      <w:pPr>
        <w:ind w:firstLine="480"/>
      </w:pPr>
      <w:r>
        <w:t>（1）</w:t>
      </w:r>
      <w:r>
        <w:rPr>
          <w:rFonts w:hint="eastAsia"/>
        </w:rPr>
        <w:t>施工扬尘</w:t>
      </w:r>
    </w:p>
    <w:p>
      <w:pPr>
        <w:ind w:firstLine="480"/>
      </w:pPr>
      <w:r>
        <w:t>在整个建设施工阶段，整地、打桩、建材的运输和装卸以及混凝土搅拌等施工作业过程都会产生扬尘。按起尘的原因可分为风力起尘和动力起尘。其中风力起尘主要是由于露天堆放的建材（如黄沙、水泥等）及裸露的施工区表层浮尘由于天气干燥及大风，产生风力扬尘；而动力起尘，主要是建材的装卸、搅拌的过程中，由于外力而产生的尘粒再悬浮而造成，其中施工及装卸车辆造成的扬尘最为严重。</w:t>
      </w:r>
    </w:p>
    <w:p>
      <w:pPr>
        <w:ind w:firstLine="480"/>
      </w:pPr>
      <w:r>
        <w:rPr>
          <w:rFonts w:hint="eastAsia"/>
        </w:rPr>
        <w:t>①</w:t>
      </w:r>
      <w:r>
        <w:t>风力起尘</w:t>
      </w:r>
    </w:p>
    <w:p>
      <w:pPr>
        <w:ind w:firstLine="480"/>
      </w:pPr>
      <w:r>
        <w:t>由于施工的需要，一些建材需露天堆放，一些施工点表层土壤需人工开挖、堆放，在气候干燥又有风的情况下，会产生扬尘，起尘量可按堆场起尘的经验公式计算：</w:t>
      </w:r>
    </w:p>
    <w:p>
      <w:pPr>
        <w:ind w:firstLine="480"/>
      </w:pPr>
      <w:r>
        <w:object>
          <v:shape id="_x0000_i1025" o:spt="75" type="#_x0000_t75" style="height:19.5pt;width:120.5pt;" o:ole="t" filled="f" o:preferrelative="t" stroked="f" coordsize="21600,21600">
            <v:path/>
            <v:fill on="f" focussize="0,0"/>
            <v:stroke on="f" joinstyle="miter"/>
            <v:imagedata r:id="rId28" o:title=""/>
            <o:lock v:ext="edit" aspectratio="t"/>
            <w10:wrap type="none"/>
            <w10:anchorlock/>
          </v:shape>
          <o:OLEObject Type="Embed" ProgID="Equation.3" ShapeID="_x0000_i1025" DrawAspect="Content" ObjectID="_1468075726" r:id="rId27">
            <o:LockedField>false</o:LockedField>
          </o:OLEObject>
        </w:object>
      </w:r>
    </w:p>
    <w:p>
      <w:pPr>
        <w:ind w:firstLine="480"/>
      </w:pPr>
      <w:r>
        <w:t>其中：</w:t>
      </w:r>
    </w:p>
    <w:p>
      <w:pPr>
        <w:ind w:firstLine="480"/>
      </w:pPr>
      <w:r>
        <w:t>Q——起尘量，kg/t·a；</w:t>
      </w:r>
    </w:p>
    <w:p>
      <w:pPr>
        <w:ind w:firstLine="480"/>
      </w:pPr>
      <w:r>
        <w:t>V50——距地面50m处风速，m/s；</w:t>
      </w:r>
    </w:p>
    <w:p>
      <w:pPr>
        <w:ind w:firstLine="480"/>
      </w:pPr>
      <w:r>
        <w:t>V0——起尘风速，m/s；</w:t>
      </w:r>
    </w:p>
    <w:p>
      <w:pPr>
        <w:ind w:firstLine="480"/>
      </w:pPr>
      <w:r>
        <w:t>W——尘粒的含水率，%；</w:t>
      </w:r>
    </w:p>
    <w:p>
      <w:pPr>
        <w:ind w:firstLine="480"/>
      </w:pPr>
      <w:r>
        <w:t>起尘量和含水率有关，因此，减少露天堆放和保证一定的含水率及减少裸露地面是减少风力起尘的有效手段。尘粒在空气中的传播扩散情况与风速等气象条件有关，也与尘粒本身的沉降速度有关。不同粒径的尘粒的沉降速度见表</w:t>
      </w:r>
      <w:r>
        <w:rPr>
          <w:rFonts w:hint="eastAsia"/>
        </w:rPr>
        <w:t>2.4-1</w:t>
      </w:r>
      <w:r>
        <w:t>。</w:t>
      </w:r>
    </w:p>
    <w:p>
      <w:pPr>
        <w:pStyle w:val="11"/>
      </w:pPr>
      <w:r>
        <w:t xml:space="preserve">表2.4- </w:t>
      </w:r>
      <w:r>
        <w:fldChar w:fldCharType="begin"/>
      </w:r>
      <w:r>
        <w:instrText xml:space="preserve"> SEQ 表2.4- \* ARABIC </w:instrText>
      </w:r>
      <w:r>
        <w:fldChar w:fldCharType="separate"/>
      </w:r>
      <w:r>
        <w:t>1</w:t>
      </w:r>
      <w:r>
        <w:fldChar w:fldCharType="end"/>
      </w:r>
      <w:r>
        <w:rPr>
          <w:rFonts w:hint="eastAsia"/>
        </w:rPr>
        <w:t xml:space="preserve"> </w:t>
      </w:r>
      <w:r>
        <w:t>不同粒径尘粒的沉降速度</w:t>
      </w:r>
      <w:r>
        <w:rPr>
          <w:rFonts w:hint="eastAsia"/>
        </w:rPr>
        <w:t xml:space="preserve"> </w:t>
      </w:r>
    </w:p>
    <w:tbl>
      <w:tblPr>
        <w:tblStyle w:val="21"/>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5"/>
        <w:gridCol w:w="907"/>
        <w:gridCol w:w="907"/>
        <w:gridCol w:w="907"/>
        <w:gridCol w:w="907"/>
        <w:gridCol w:w="907"/>
        <w:gridCol w:w="907"/>
        <w:gridCol w:w="9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2405" w:type="dxa"/>
          </w:tcPr>
          <w:p>
            <w:pPr>
              <w:pStyle w:val="8"/>
              <w:ind w:firstLine="0" w:firstLineChars="0"/>
            </w:pPr>
            <w:r>
              <w:t>粒径（微米）</w:t>
            </w:r>
          </w:p>
        </w:tc>
        <w:tc>
          <w:tcPr>
            <w:tcW w:w="907" w:type="dxa"/>
            <w:vAlign w:val="center"/>
          </w:tcPr>
          <w:p>
            <w:pPr>
              <w:pStyle w:val="8"/>
              <w:ind w:firstLine="0" w:firstLineChars="0"/>
            </w:pPr>
            <w:r>
              <w:t>10</w:t>
            </w:r>
          </w:p>
        </w:tc>
        <w:tc>
          <w:tcPr>
            <w:tcW w:w="907" w:type="dxa"/>
            <w:vAlign w:val="center"/>
          </w:tcPr>
          <w:p>
            <w:pPr>
              <w:pStyle w:val="8"/>
              <w:ind w:firstLine="0" w:firstLineChars="0"/>
            </w:pPr>
            <w:r>
              <w:t>20</w:t>
            </w:r>
          </w:p>
        </w:tc>
        <w:tc>
          <w:tcPr>
            <w:tcW w:w="907" w:type="dxa"/>
            <w:vAlign w:val="center"/>
          </w:tcPr>
          <w:p>
            <w:pPr>
              <w:pStyle w:val="8"/>
              <w:ind w:firstLine="0" w:firstLineChars="0"/>
            </w:pPr>
            <w:r>
              <w:t>30</w:t>
            </w:r>
          </w:p>
        </w:tc>
        <w:tc>
          <w:tcPr>
            <w:tcW w:w="907" w:type="dxa"/>
            <w:vAlign w:val="center"/>
          </w:tcPr>
          <w:p>
            <w:pPr>
              <w:pStyle w:val="8"/>
              <w:ind w:firstLine="0" w:firstLineChars="0"/>
            </w:pPr>
            <w:r>
              <w:t>40</w:t>
            </w:r>
          </w:p>
        </w:tc>
        <w:tc>
          <w:tcPr>
            <w:tcW w:w="907" w:type="dxa"/>
            <w:vAlign w:val="center"/>
          </w:tcPr>
          <w:p>
            <w:pPr>
              <w:pStyle w:val="8"/>
              <w:ind w:firstLine="0" w:firstLineChars="0"/>
            </w:pPr>
            <w:r>
              <w:t>50</w:t>
            </w:r>
          </w:p>
        </w:tc>
        <w:tc>
          <w:tcPr>
            <w:tcW w:w="907" w:type="dxa"/>
            <w:vAlign w:val="center"/>
          </w:tcPr>
          <w:p>
            <w:pPr>
              <w:pStyle w:val="8"/>
              <w:ind w:firstLine="0" w:firstLineChars="0"/>
            </w:pPr>
            <w:r>
              <w:t>60</w:t>
            </w:r>
          </w:p>
        </w:tc>
        <w:tc>
          <w:tcPr>
            <w:tcW w:w="907" w:type="dxa"/>
            <w:vAlign w:val="center"/>
          </w:tcPr>
          <w:p>
            <w:pPr>
              <w:pStyle w:val="8"/>
              <w:ind w:firstLine="0" w:firstLineChars="0"/>
            </w:pPr>
            <w: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405" w:type="dxa"/>
          </w:tcPr>
          <w:p>
            <w:pPr>
              <w:pStyle w:val="8"/>
              <w:ind w:firstLine="0" w:firstLineChars="0"/>
            </w:pPr>
            <w:r>
              <w:t>沉降速度（m/s）</w:t>
            </w:r>
          </w:p>
        </w:tc>
        <w:tc>
          <w:tcPr>
            <w:tcW w:w="907" w:type="dxa"/>
            <w:vAlign w:val="center"/>
          </w:tcPr>
          <w:p>
            <w:pPr>
              <w:pStyle w:val="8"/>
              <w:ind w:firstLine="0" w:firstLineChars="0"/>
            </w:pPr>
            <w:r>
              <w:t>0.03</w:t>
            </w:r>
          </w:p>
        </w:tc>
        <w:tc>
          <w:tcPr>
            <w:tcW w:w="907" w:type="dxa"/>
            <w:vAlign w:val="center"/>
          </w:tcPr>
          <w:p>
            <w:pPr>
              <w:pStyle w:val="8"/>
              <w:ind w:firstLine="0" w:firstLineChars="0"/>
            </w:pPr>
            <w:r>
              <w:t>0.012</w:t>
            </w:r>
          </w:p>
        </w:tc>
        <w:tc>
          <w:tcPr>
            <w:tcW w:w="907" w:type="dxa"/>
            <w:vAlign w:val="center"/>
          </w:tcPr>
          <w:p>
            <w:pPr>
              <w:pStyle w:val="8"/>
              <w:ind w:firstLine="0" w:firstLineChars="0"/>
            </w:pPr>
            <w:r>
              <w:t>0.027</w:t>
            </w:r>
          </w:p>
        </w:tc>
        <w:tc>
          <w:tcPr>
            <w:tcW w:w="907" w:type="dxa"/>
            <w:vAlign w:val="center"/>
          </w:tcPr>
          <w:p>
            <w:pPr>
              <w:pStyle w:val="8"/>
              <w:ind w:firstLine="0" w:firstLineChars="0"/>
            </w:pPr>
            <w:r>
              <w:t>0.048</w:t>
            </w:r>
          </w:p>
        </w:tc>
        <w:tc>
          <w:tcPr>
            <w:tcW w:w="907" w:type="dxa"/>
            <w:vAlign w:val="center"/>
          </w:tcPr>
          <w:p>
            <w:pPr>
              <w:pStyle w:val="8"/>
              <w:ind w:firstLine="0" w:firstLineChars="0"/>
            </w:pPr>
            <w:r>
              <w:t>0.075</w:t>
            </w:r>
          </w:p>
        </w:tc>
        <w:tc>
          <w:tcPr>
            <w:tcW w:w="907" w:type="dxa"/>
            <w:vAlign w:val="center"/>
          </w:tcPr>
          <w:p>
            <w:pPr>
              <w:pStyle w:val="8"/>
              <w:ind w:firstLine="0" w:firstLineChars="0"/>
            </w:pPr>
            <w:r>
              <w:t>0.108</w:t>
            </w:r>
          </w:p>
        </w:tc>
        <w:tc>
          <w:tcPr>
            <w:tcW w:w="907" w:type="dxa"/>
            <w:vAlign w:val="center"/>
          </w:tcPr>
          <w:p>
            <w:pPr>
              <w:pStyle w:val="8"/>
              <w:ind w:firstLine="0" w:firstLineChars="0"/>
            </w:pPr>
            <w:r>
              <w:t>0.147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2405" w:type="dxa"/>
          </w:tcPr>
          <w:p>
            <w:pPr>
              <w:pStyle w:val="8"/>
              <w:ind w:firstLine="0" w:firstLineChars="0"/>
            </w:pPr>
            <w:r>
              <w:t>粒径（微米）</w:t>
            </w:r>
          </w:p>
        </w:tc>
        <w:tc>
          <w:tcPr>
            <w:tcW w:w="907" w:type="dxa"/>
            <w:vAlign w:val="center"/>
          </w:tcPr>
          <w:p>
            <w:pPr>
              <w:pStyle w:val="8"/>
              <w:ind w:firstLine="0" w:firstLineChars="0"/>
            </w:pPr>
            <w:r>
              <w:t>80</w:t>
            </w:r>
          </w:p>
        </w:tc>
        <w:tc>
          <w:tcPr>
            <w:tcW w:w="907" w:type="dxa"/>
            <w:vAlign w:val="center"/>
          </w:tcPr>
          <w:p>
            <w:pPr>
              <w:pStyle w:val="8"/>
              <w:ind w:firstLine="0" w:firstLineChars="0"/>
            </w:pPr>
            <w:r>
              <w:t>90</w:t>
            </w:r>
          </w:p>
        </w:tc>
        <w:tc>
          <w:tcPr>
            <w:tcW w:w="907" w:type="dxa"/>
            <w:vAlign w:val="center"/>
          </w:tcPr>
          <w:p>
            <w:pPr>
              <w:pStyle w:val="8"/>
              <w:ind w:firstLine="0" w:firstLineChars="0"/>
            </w:pPr>
            <w:r>
              <w:t>100</w:t>
            </w:r>
          </w:p>
        </w:tc>
        <w:tc>
          <w:tcPr>
            <w:tcW w:w="907" w:type="dxa"/>
            <w:vAlign w:val="center"/>
          </w:tcPr>
          <w:p>
            <w:pPr>
              <w:pStyle w:val="8"/>
              <w:ind w:firstLine="0" w:firstLineChars="0"/>
            </w:pPr>
            <w:r>
              <w:t>150</w:t>
            </w:r>
          </w:p>
        </w:tc>
        <w:tc>
          <w:tcPr>
            <w:tcW w:w="907" w:type="dxa"/>
            <w:vAlign w:val="center"/>
          </w:tcPr>
          <w:p>
            <w:pPr>
              <w:pStyle w:val="8"/>
              <w:ind w:firstLine="0" w:firstLineChars="0"/>
            </w:pPr>
            <w:r>
              <w:t>200</w:t>
            </w:r>
          </w:p>
        </w:tc>
        <w:tc>
          <w:tcPr>
            <w:tcW w:w="907" w:type="dxa"/>
            <w:vAlign w:val="center"/>
          </w:tcPr>
          <w:p>
            <w:pPr>
              <w:pStyle w:val="8"/>
              <w:ind w:firstLine="0" w:firstLineChars="0"/>
            </w:pPr>
            <w:r>
              <w:t>250</w:t>
            </w:r>
          </w:p>
        </w:tc>
        <w:tc>
          <w:tcPr>
            <w:tcW w:w="907" w:type="dxa"/>
            <w:vAlign w:val="center"/>
          </w:tcPr>
          <w:p>
            <w:pPr>
              <w:pStyle w:val="8"/>
              <w:ind w:firstLine="0" w:firstLineChars="0"/>
            </w:pPr>
            <w: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405" w:type="dxa"/>
          </w:tcPr>
          <w:p>
            <w:pPr>
              <w:pStyle w:val="8"/>
              <w:ind w:firstLine="0" w:firstLineChars="0"/>
            </w:pPr>
            <w:r>
              <w:t>沉降速度（m/s）</w:t>
            </w:r>
          </w:p>
        </w:tc>
        <w:tc>
          <w:tcPr>
            <w:tcW w:w="907" w:type="dxa"/>
            <w:vAlign w:val="center"/>
          </w:tcPr>
          <w:p>
            <w:pPr>
              <w:pStyle w:val="8"/>
              <w:ind w:firstLine="0" w:firstLineChars="0"/>
            </w:pPr>
            <w:r>
              <w:t>0.158</w:t>
            </w:r>
          </w:p>
        </w:tc>
        <w:tc>
          <w:tcPr>
            <w:tcW w:w="907" w:type="dxa"/>
            <w:vAlign w:val="center"/>
          </w:tcPr>
          <w:p>
            <w:pPr>
              <w:pStyle w:val="8"/>
              <w:ind w:firstLine="0" w:firstLineChars="0"/>
            </w:pPr>
            <w:r>
              <w:t>0.170</w:t>
            </w:r>
          </w:p>
        </w:tc>
        <w:tc>
          <w:tcPr>
            <w:tcW w:w="907" w:type="dxa"/>
            <w:vAlign w:val="center"/>
          </w:tcPr>
          <w:p>
            <w:pPr>
              <w:pStyle w:val="8"/>
              <w:ind w:firstLine="0" w:firstLineChars="0"/>
            </w:pPr>
            <w:r>
              <w:t>0.182</w:t>
            </w:r>
          </w:p>
        </w:tc>
        <w:tc>
          <w:tcPr>
            <w:tcW w:w="907" w:type="dxa"/>
            <w:vAlign w:val="center"/>
          </w:tcPr>
          <w:p>
            <w:pPr>
              <w:pStyle w:val="8"/>
              <w:ind w:firstLine="0" w:firstLineChars="0"/>
            </w:pPr>
            <w:r>
              <w:t>0.239</w:t>
            </w:r>
          </w:p>
        </w:tc>
        <w:tc>
          <w:tcPr>
            <w:tcW w:w="907" w:type="dxa"/>
            <w:vAlign w:val="center"/>
          </w:tcPr>
          <w:p>
            <w:pPr>
              <w:pStyle w:val="8"/>
              <w:ind w:firstLine="0" w:firstLineChars="0"/>
            </w:pPr>
            <w:r>
              <w:t>0.804</w:t>
            </w:r>
          </w:p>
        </w:tc>
        <w:tc>
          <w:tcPr>
            <w:tcW w:w="907" w:type="dxa"/>
            <w:vAlign w:val="center"/>
          </w:tcPr>
          <w:p>
            <w:pPr>
              <w:pStyle w:val="8"/>
              <w:ind w:firstLine="0" w:firstLineChars="0"/>
            </w:pPr>
            <w:r>
              <w:t>1.005</w:t>
            </w:r>
          </w:p>
        </w:tc>
        <w:tc>
          <w:tcPr>
            <w:tcW w:w="907" w:type="dxa"/>
            <w:vAlign w:val="center"/>
          </w:tcPr>
          <w:p>
            <w:pPr>
              <w:pStyle w:val="8"/>
              <w:ind w:firstLine="0" w:firstLineChars="0"/>
            </w:pPr>
            <w:r>
              <w:t>1.829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405" w:type="dxa"/>
          </w:tcPr>
          <w:p>
            <w:pPr>
              <w:pStyle w:val="8"/>
              <w:ind w:firstLine="0" w:firstLineChars="0"/>
            </w:pPr>
            <w:r>
              <w:t>粒径（微米）</w:t>
            </w:r>
          </w:p>
        </w:tc>
        <w:tc>
          <w:tcPr>
            <w:tcW w:w="907" w:type="dxa"/>
            <w:vAlign w:val="center"/>
          </w:tcPr>
          <w:p>
            <w:pPr>
              <w:pStyle w:val="8"/>
              <w:ind w:firstLine="0" w:firstLineChars="0"/>
            </w:pPr>
            <w:r>
              <w:t>450</w:t>
            </w:r>
          </w:p>
        </w:tc>
        <w:tc>
          <w:tcPr>
            <w:tcW w:w="907" w:type="dxa"/>
            <w:vAlign w:val="center"/>
          </w:tcPr>
          <w:p>
            <w:pPr>
              <w:pStyle w:val="8"/>
              <w:ind w:firstLine="0" w:firstLineChars="0"/>
            </w:pPr>
            <w:r>
              <w:t>550</w:t>
            </w:r>
          </w:p>
        </w:tc>
        <w:tc>
          <w:tcPr>
            <w:tcW w:w="907" w:type="dxa"/>
            <w:vAlign w:val="center"/>
          </w:tcPr>
          <w:p>
            <w:pPr>
              <w:pStyle w:val="8"/>
              <w:ind w:firstLine="0" w:firstLineChars="0"/>
            </w:pPr>
            <w:r>
              <w:t>650</w:t>
            </w:r>
          </w:p>
        </w:tc>
        <w:tc>
          <w:tcPr>
            <w:tcW w:w="907" w:type="dxa"/>
            <w:vAlign w:val="center"/>
          </w:tcPr>
          <w:p>
            <w:pPr>
              <w:pStyle w:val="8"/>
              <w:ind w:firstLine="0" w:firstLineChars="0"/>
            </w:pPr>
            <w:r>
              <w:t>750</w:t>
            </w:r>
          </w:p>
        </w:tc>
        <w:tc>
          <w:tcPr>
            <w:tcW w:w="907" w:type="dxa"/>
            <w:vAlign w:val="center"/>
          </w:tcPr>
          <w:p>
            <w:pPr>
              <w:pStyle w:val="8"/>
              <w:ind w:firstLine="0" w:firstLineChars="0"/>
            </w:pPr>
            <w:r>
              <w:t>850</w:t>
            </w:r>
          </w:p>
        </w:tc>
        <w:tc>
          <w:tcPr>
            <w:tcW w:w="907" w:type="dxa"/>
            <w:vAlign w:val="center"/>
          </w:tcPr>
          <w:p>
            <w:pPr>
              <w:pStyle w:val="8"/>
              <w:ind w:firstLine="0" w:firstLineChars="0"/>
            </w:pPr>
            <w:r>
              <w:t>950</w:t>
            </w:r>
          </w:p>
        </w:tc>
        <w:tc>
          <w:tcPr>
            <w:tcW w:w="907" w:type="dxa"/>
            <w:vAlign w:val="center"/>
          </w:tcPr>
          <w:p>
            <w:pPr>
              <w:pStyle w:val="8"/>
              <w:ind w:firstLine="0" w:firstLineChars="0"/>
            </w:pPr>
            <w: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2405" w:type="dxa"/>
          </w:tcPr>
          <w:p>
            <w:pPr>
              <w:pStyle w:val="8"/>
              <w:ind w:firstLine="0" w:firstLineChars="0"/>
            </w:pPr>
            <w:r>
              <w:t>沉降速度（m/s）</w:t>
            </w:r>
          </w:p>
        </w:tc>
        <w:tc>
          <w:tcPr>
            <w:tcW w:w="907" w:type="dxa"/>
            <w:vAlign w:val="center"/>
          </w:tcPr>
          <w:p>
            <w:pPr>
              <w:pStyle w:val="8"/>
              <w:ind w:firstLine="0" w:firstLineChars="0"/>
            </w:pPr>
            <w:r>
              <w:t>2.211</w:t>
            </w:r>
          </w:p>
        </w:tc>
        <w:tc>
          <w:tcPr>
            <w:tcW w:w="907" w:type="dxa"/>
            <w:vAlign w:val="center"/>
          </w:tcPr>
          <w:p>
            <w:pPr>
              <w:pStyle w:val="8"/>
              <w:ind w:firstLine="0" w:firstLineChars="0"/>
            </w:pPr>
            <w:r>
              <w:t>2.614</w:t>
            </w:r>
          </w:p>
        </w:tc>
        <w:tc>
          <w:tcPr>
            <w:tcW w:w="907" w:type="dxa"/>
            <w:vAlign w:val="center"/>
          </w:tcPr>
          <w:p>
            <w:pPr>
              <w:pStyle w:val="8"/>
              <w:ind w:firstLine="0" w:firstLineChars="0"/>
            </w:pPr>
            <w:r>
              <w:t>3.016</w:t>
            </w:r>
          </w:p>
        </w:tc>
        <w:tc>
          <w:tcPr>
            <w:tcW w:w="907" w:type="dxa"/>
            <w:vAlign w:val="center"/>
          </w:tcPr>
          <w:p>
            <w:pPr>
              <w:pStyle w:val="8"/>
              <w:ind w:firstLine="0" w:firstLineChars="0"/>
            </w:pPr>
            <w:r>
              <w:t>3.418</w:t>
            </w:r>
          </w:p>
        </w:tc>
        <w:tc>
          <w:tcPr>
            <w:tcW w:w="907" w:type="dxa"/>
            <w:vAlign w:val="center"/>
          </w:tcPr>
          <w:p>
            <w:pPr>
              <w:pStyle w:val="8"/>
              <w:ind w:firstLine="0" w:firstLineChars="0"/>
            </w:pPr>
            <w:r>
              <w:t>3.820</w:t>
            </w:r>
          </w:p>
        </w:tc>
        <w:tc>
          <w:tcPr>
            <w:tcW w:w="907" w:type="dxa"/>
            <w:vAlign w:val="center"/>
          </w:tcPr>
          <w:p>
            <w:pPr>
              <w:pStyle w:val="8"/>
              <w:ind w:firstLine="0" w:firstLineChars="0"/>
            </w:pPr>
            <w:r>
              <w:t>4.222</w:t>
            </w:r>
          </w:p>
        </w:tc>
        <w:tc>
          <w:tcPr>
            <w:tcW w:w="907" w:type="dxa"/>
            <w:vAlign w:val="center"/>
          </w:tcPr>
          <w:p>
            <w:pPr>
              <w:pStyle w:val="8"/>
              <w:ind w:firstLine="0" w:firstLineChars="0"/>
            </w:pPr>
            <w:r>
              <w:t>4.624</w:t>
            </w:r>
          </w:p>
        </w:tc>
      </w:tr>
    </w:tbl>
    <w:p>
      <w:pPr>
        <w:ind w:firstLine="480"/>
      </w:pPr>
      <w:r>
        <w:t>由表</w:t>
      </w:r>
      <w:r>
        <w:rPr>
          <w:rFonts w:hint="eastAsia"/>
        </w:rPr>
        <w:t>2.4-1</w:t>
      </w:r>
      <w:r>
        <w:t>可知，尘粒的沉降速度随粒径的增大而迅速增大。当粒径为250μm时，沉降速度为1.005m/s，因此可以认为当尘粒大于250μm时，主要影响范围在扬尘点下风向近距离范围内，而真正对外环境产生影响的是一些微小尘粒。根据现场的气候情况不同，其影响范围也有所不同。根据澧县气象资料</w:t>
      </w:r>
      <w:r>
        <w:rPr>
          <w:rFonts w:hint="eastAsia"/>
        </w:rPr>
        <w:t>，</w:t>
      </w:r>
      <w:r>
        <w:t>全年主导风向为NNE，因此施工扬尘主要影响西南偏西区域，项目</w:t>
      </w:r>
      <w:r>
        <w:rPr>
          <w:rFonts w:hint="eastAsia"/>
        </w:rPr>
        <w:t>场区</w:t>
      </w:r>
      <w:r>
        <w:t>拟建</w:t>
      </w:r>
      <w:r>
        <w:rPr>
          <w:rFonts w:hint="eastAsia"/>
        </w:rPr>
        <w:t>地周边均为山林，施工扬尘对外环境</w:t>
      </w:r>
      <w:r>
        <w:t>影响</w:t>
      </w:r>
      <w:r>
        <w:rPr>
          <w:rFonts w:hint="eastAsia"/>
        </w:rPr>
        <w:t>较小</w:t>
      </w:r>
      <w:r>
        <w:t>。</w:t>
      </w:r>
    </w:p>
    <w:p>
      <w:pPr>
        <w:ind w:firstLine="480"/>
      </w:pPr>
      <w:r>
        <w:rPr>
          <w:rFonts w:hint="eastAsia"/>
        </w:rPr>
        <w:t>②</w:t>
      </w:r>
      <w:r>
        <w:t>车辆行驶的动力起尘</w:t>
      </w:r>
    </w:p>
    <w:p>
      <w:pPr>
        <w:ind w:firstLine="480"/>
      </w:pPr>
      <w:r>
        <w:t>据有关文献报道，车辆行驶产生的扬尘占总扬尘的60%以上，车辆行驶产生的扬尘，在尘土完全干燥情况下，可按下列经验公式计算：</w:t>
      </w:r>
    </w:p>
    <w:p>
      <w:pPr>
        <w:ind w:firstLine="480"/>
      </w:pPr>
      <w:r>
        <w:object>
          <v:shape id="_x0000_i1026" o:spt="75" type="#_x0000_t75" style="height:24.5pt;width:154pt;" o:ole="t" filled="f" o:preferrelative="t" stroked="f" coordsize="21600,21600">
            <v:path/>
            <v:fill on="f" focussize="0,0"/>
            <v:stroke on="f" joinstyle="miter"/>
            <v:imagedata r:id="rId30" o:title=""/>
            <o:lock v:ext="edit" aspectratio="t"/>
            <w10:wrap type="none"/>
            <w10:anchorlock/>
          </v:shape>
          <o:OLEObject Type="Embed" ProgID="Equation.3" ShapeID="_x0000_i1026" DrawAspect="Content" ObjectID="_1468075727" r:id="rId29">
            <o:LockedField>false</o:LockedField>
          </o:OLEObject>
        </w:object>
      </w:r>
    </w:p>
    <w:p>
      <w:pPr>
        <w:ind w:firstLine="480"/>
      </w:pPr>
      <w:r>
        <w:t>其中：</w:t>
      </w:r>
    </w:p>
    <w:p>
      <w:pPr>
        <w:ind w:firstLine="480"/>
      </w:pPr>
      <w:r>
        <w:t>Q——汽车行驶时的扬尘，kg/km·辆；</w:t>
      </w:r>
    </w:p>
    <w:p>
      <w:pPr>
        <w:ind w:firstLine="480"/>
      </w:pPr>
      <w:r>
        <w:t>V——汽车车速，km/h；</w:t>
      </w:r>
    </w:p>
    <w:p>
      <w:pPr>
        <w:ind w:firstLine="480"/>
      </w:pPr>
      <w:r>
        <w:t>W——汽车载重量，t；</w:t>
      </w:r>
    </w:p>
    <w:p>
      <w:pPr>
        <w:ind w:firstLine="480"/>
      </w:pPr>
      <w:r>
        <w:t>P——道路表面粉尘量，kg/m</w:t>
      </w:r>
      <w:r>
        <w:rPr>
          <w:vertAlign w:val="superscript"/>
        </w:rPr>
        <w:t>2</w:t>
      </w:r>
      <w:r>
        <w:t>。</w:t>
      </w:r>
    </w:p>
    <w:p>
      <w:pPr>
        <w:ind w:firstLine="480"/>
      </w:pPr>
      <w:r>
        <w:t>表</w:t>
      </w:r>
      <w:r>
        <w:rPr>
          <w:rFonts w:hint="eastAsia"/>
        </w:rPr>
        <w:t>2.4-2</w:t>
      </w:r>
      <w:r>
        <w:t>中为一辆10t卡车，通过长度为1km的一段路面时，路面不同清洁程度，不同行驶速度情况下的扬尘量。由此可见，在路面同样清洁程度下，车速越快，扬尘量越大；而在同样车速情况下，路面越脏，扬尘量越大。</w:t>
      </w:r>
    </w:p>
    <w:p>
      <w:pPr>
        <w:pStyle w:val="11"/>
      </w:pPr>
      <w:r>
        <w:t xml:space="preserve">表2.4- </w:t>
      </w:r>
      <w:r>
        <w:fldChar w:fldCharType="begin"/>
      </w:r>
      <w:r>
        <w:instrText xml:space="preserve"> SEQ 表2.4- \* ARABIC </w:instrText>
      </w:r>
      <w:r>
        <w:fldChar w:fldCharType="separate"/>
      </w:r>
      <w:r>
        <w:t>2</w:t>
      </w:r>
      <w:r>
        <w:fldChar w:fldCharType="end"/>
      </w:r>
      <w:r>
        <w:rPr>
          <w:rFonts w:hint="eastAsia"/>
        </w:rPr>
        <w:t xml:space="preserve">  </w:t>
      </w:r>
      <w:r>
        <w:t>在不同车速和地面清洁程度的汽车扬尘单位：kg/km·辆</w:t>
      </w:r>
    </w:p>
    <w:tbl>
      <w:tblPr>
        <w:tblStyle w:val="21"/>
        <w:tblW w:w="87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3"/>
        <w:gridCol w:w="1169"/>
        <w:gridCol w:w="1169"/>
        <w:gridCol w:w="1170"/>
        <w:gridCol w:w="1169"/>
        <w:gridCol w:w="1169"/>
        <w:gridCol w:w="11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23" w:type="dxa"/>
          </w:tcPr>
          <w:p>
            <w:pPr>
              <w:pStyle w:val="8"/>
              <w:ind w:firstLine="0" w:firstLineChars="0"/>
            </w:pPr>
            <w:r>
              <w:t xml:space="preserve">         P</w:t>
            </w:r>
          </w:p>
          <w:p>
            <w:pPr>
              <w:pStyle w:val="8"/>
              <w:ind w:firstLine="0" w:firstLineChars="0"/>
              <w:jc w:val="both"/>
            </w:pPr>
            <w:r>
              <w:t>车速</w:t>
            </w:r>
          </w:p>
        </w:tc>
        <w:tc>
          <w:tcPr>
            <w:tcW w:w="1169" w:type="dxa"/>
            <w:vAlign w:val="center"/>
          </w:tcPr>
          <w:p>
            <w:pPr>
              <w:pStyle w:val="8"/>
              <w:ind w:firstLine="0" w:firstLineChars="0"/>
            </w:pPr>
            <w:r>
              <w:t>0.1</w:t>
            </w:r>
          </w:p>
        </w:tc>
        <w:tc>
          <w:tcPr>
            <w:tcW w:w="1169" w:type="dxa"/>
            <w:vAlign w:val="center"/>
          </w:tcPr>
          <w:p>
            <w:pPr>
              <w:pStyle w:val="8"/>
              <w:ind w:firstLine="0" w:firstLineChars="0"/>
            </w:pPr>
            <w:r>
              <w:t>0.2</w:t>
            </w:r>
          </w:p>
        </w:tc>
        <w:tc>
          <w:tcPr>
            <w:tcW w:w="1170" w:type="dxa"/>
            <w:vAlign w:val="center"/>
          </w:tcPr>
          <w:p>
            <w:pPr>
              <w:pStyle w:val="8"/>
              <w:ind w:firstLine="0" w:firstLineChars="0"/>
            </w:pPr>
            <w:r>
              <w:t>0.3</w:t>
            </w:r>
          </w:p>
        </w:tc>
        <w:tc>
          <w:tcPr>
            <w:tcW w:w="1169" w:type="dxa"/>
            <w:vAlign w:val="center"/>
          </w:tcPr>
          <w:p>
            <w:pPr>
              <w:pStyle w:val="8"/>
              <w:ind w:firstLine="0" w:firstLineChars="0"/>
            </w:pPr>
            <w:r>
              <w:t>0.4</w:t>
            </w:r>
          </w:p>
        </w:tc>
        <w:tc>
          <w:tcPr>
            <w:tcW w:w="1169" w:type="dxa"/>
            <w:vAlign w:val="center"/>
          </w:tcPr>
          <w:p>
            <w:pPr>
              <w:pStyle w:val="8"/>
              <w:ind w:firstLine="0" w:firstLineChars="0"/>
            </w:pPr>
            <w:r>
              <w:t>0.5</w:t>
            </w:r>
          </w:p>
        </w:tc>
        <w:tc>
          <w:tcPr>
            <w:tcW w:w="1170" w:type="dxa"/>
            <w:vAlign w:val="center"/>
          </w:tcPr>
          <w:p>
            <w:pPr>
              <w:pStyle w:val="8"/>
              <w:ind w:firstLine="0" w:firstLineChars="0"/>
            </w:pPr>
            <w: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1723" w:type="dxa"/>
          </w:tcPr>
          <w:p>
            <w:pPr>
              <w:pStyle w:val="8"/>
              <w:ind w:firstLine="0" w:firstLineChars="0"/>
            </w:pPr>
            <w:r>
              <w:t>5(km/h)</w:t>
            </w:r>
          </w:p>
        </w:tc>
        <w:tc>
          <w:tcPr>
            <w:tcW w:w="1169" w:type="dxa"/>
            <w:vAlign w:val="center"/>
          </w:tcPr>
          <w:p>
            <w:pPr>
              <w:pStyle w:val="8"/>
              <w:ind w:firstLine="0" w:firstLineChars="0"/>
            </w:pPr>
            <w:r>
              <w:t>0.051</w:t>
            </w:r>
          </w:p>
        </w:tc>
        <w:tc>
          <w:tcPr>
            <w:tcW w:w="1169" w:type="dxa"/>
            <w:vAlign w:val="center"/>
          </w:tcPr>
          <w:p>
            <w:pPr>
              <w:pStyle w:val="8"/>
              <w:ind w:firstLine="0" w:firstLineChars="0"/>
            </w:pPr>
            <w:r>
              <w:t>0.086</w:t>
            </w:r>
          </w:p>
        </w:tc>
        <w:tc>
          <w:tcPr>
            <w:tcW w:w="1170" w:type="dxa"/>
            <w:vAlign w:val="center"/>
          </w:tcPr>
          <w:p>
            <w:pPr>
              <w:pStyle w:val="8"/>
              <w:ind w:firstLine="0" w:firstLineChars="0"/>
            </w:pPr>
            <w:r>
              <w:t>0.116</w:t>
            </w:r>
          </w:p>
        </w:tc>
        <w:tc>
          <w:tcPr>
            <w:tcW w:w="1169" w:type="dxa"/>
            <w:vAlign w:val="center"/>
          </w:tcPr>
          <w:p>
            <w:pPr>
              <w:pStyle w:val="8"/>
              <w:ind w:firstLine="0" w:firstLineChars="0"/>
            </w:pPr>
            <w:r>
              <w:t>0.144</w:t>
            </w:r>
          </w:p>
        </w:tc>
        <w:tc>
          <w:tcPr>
            <w:tcW w:w="1169" w:type="dxa"/>
            <w:vAlign w:val="center"/>
          </w:tcPr>
          <w:p>
            <w:pPr>
              <w:pStyle w:val="8"/>
              <w:ind w:firstLine="0" w:firstLineChars="0"/>
            </w:pPr>
            <w:r>
              <w:t>0.171</w:t>
            </w:r>
          </w:p>
        </w:tc>
        <w:tc>
          <w:tcPr>
            <w:tcW w:w="1170" w:type="dxa"/>
            <w:vAlign w:val="center"/>
          </w:tcPr>
          <w:p>
            <w:pPr>
              <w:pStyle w:val="8"/>
              <w:ind w:firstLine="0" w:firstLineChars="0"/>
            </w:pPr>
            <w:r>
              <w:t>0.287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atLeast"/>
          <w:jc w:val="center"/>
        </w:trPr>
        <w:tc>
          <w:tcPr>
            <w:tcW w:w="1723" w:type="dxa"/>
          </w:tcPr>
          <w:p>
            <w:pPr>
              <w:pStyle w:val="8"/>
              <w:ind w:firstLine="0" w:firstLineChars="0"/>
            </w:pPr>
            <w:r>
              <w:t>10(km/h)</w:t>
            </w:r>
          </w:p>
        </w:tc>
        <w:tc>
          <w:tcPr>
            <w:tcW w:w="1169" w:type="dxa"/>
            <w:vAlign w:val="center"/>
          </w:tcPr>
          <w:p>
            <w:pPr>
              <w:pStyle w:val="8"/>
              <w:ind w:firstLine="0" w:firstLineChars="0"/>
            </w:pPr>
            <w:r>
              <w:t>0.102</w:t>
            </w:r>
          </w:p>
        </w:tc>
        <w:tc>
          <w:tcPr>
            <w:tcW w:w="1169" w:type="dxa"/>
            <w:vAlign w:val="center"/>
          </w:tcPr>
          <w:p>
            <w:pPr>
              <w:pStyle w:val="8"/>
              <w:ind w:firstLine="0" w:firstLineChars="0"/>
            </w:pPr>
            <w:r>
              <w:t>0.171</w:t>
            </w:r>
          </w:p>
        </w:tc>
        <w:tc>
          <w:tcPr>
            <w:tcW w:w="1170" w:type="dxa"/>
            <w:vAlign w:val="center"/>
          </w:tcPr>
          <w:p>
            <w:pPr>
              <w:pStyle w:val="8"/>
              <w:ind w:firstLine="0" w:firstLineChars="0"/>
            </w:pPr>
            <w:r>
              <w:t>0.232</w:t>
            </w:r>
          </w:p>
        </w:tc>
        <w:tc>
          <w:tcPr>
            <w:tcW w:w="1169" w:type="dxa"/>
            <w:vAlign w:val="center"/>
          </w:tcPr>
          <w:p>
            <w:pPr>
              <w:pStyle w:val="8"/>
              <w:ind w:firstLine="0" w:firstLineChars="0"/>
            </w:pPr>
            <w:r>
              <w:t>0.289</w:t>
            </w:r>
          </w:p>
        </w:tc>
        <w:tc>
          <w:tcPr>
            <w:tcW w:w="1169" w:type="dxa"/>
            <w:vAlign w:val="center"/>
          </w:tcPr>
          <w:p>
            <w:pPr>
              <w:pStyle w:val="8"/>
              <w:ind w:firstLine="0" w:firstLineChars="0"/>
            </w:pPr>
            <w:r>
              <w:t>0.341</w:t>
            </w:r>
          </w:p>
        </w:tc>
        <w:tc>
          <w:tcPr>
            <w:tcW w:w="1170" w:type="dxa"/>
            <w:vAlign w:val="center"/>
          </w:tcPr>
          <w:p>
            <w:pPr>
              <w:pStyle w:val="8"/>
              <w:ind w:firstLine="0" w:firstLineChars="0"/>
            </w:pPr>
            <w:r>
              <w:t>0.574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723" w:type="dxa"/>
          </w:tcPr>
          <w:p>
            <w:pPr>
              <w:pStyle w:val="8"/>
              <w:ind w:firstLine="0" w:firstLineChars="0"/>
            </w:pPr>
            <w:r>
              <w:t>15(km/h)</w:t>
            </w:r>
          </w:p>
        </w:tc>
        <w:tc>
          <w:tcPr>
            <w:tcW w:w="1169" w:type="dxa"/>
            <w:vAlign w:val="center"/>
          </w:tcPr>
          <w:p>
            <w:pPr>
              <w:pStyle w:val="8"/>
              <w:ind w:firstLine="0" w:firstLineChars="0"/>
            </w:pPr>
            <w:r>
              <w:t>0.153</w:t>
            </w:r>
          </w:p>
        </w:tc>
        <w:tc>
          <w:tcPr>
            <w:tcW w:w="1169" w:type="dxa"/>
            <w:vAlign w:val="center"/>
          </w:tcPr>
          <w:p>
            <w:pPr>
              <w:pStyle w:val="8"/>
              <w:ind w:firstLine="0" w:firstLineChars="0"/>
            </w:pPr>
            <w:r>
              <w:t>0.257</w:t>
            </w:r>
          </w:p>
        </w:tc>
        <w:tc>
          <w:tcPr>
            <w:tcW w:w="1170" w:type="dxa"/>
            <w:vAlign w:val="center"/>
          </w:tcPr>
          <w:p>
            <w:pPr>
              <w:pStyle w:val="8"/>
              <w:ind w:firstLine="0" w:firstLineChars="0"/>
            </w:pPr>
            <w:r>
              <w:t>0.349</w:t>
            </w:r>
          </w:p>
        </w:tc>
        <w:tc>
          <w:tcPr>
            <w:tcW w:w="1169" w:type="dxa"/>
            <w:vAlign w:val="center"/>
          </w:tcPr>
          <w:p>
            <w:pPr>
              <w:pStyle w:val="8"/>
              <w:ind w:firstLine="0" w:firstLineChars="0"/>
            </w:pPr>
            <w:r>
              <w:t>0.433</w:t>
            </w:r>
          </w:p>
        </w:tc>
        <w:tc>
          <w:tcPr>
            <w:tcW w:w="1169" w:type="dxa"/>
            <w:vAlign w:val="center"/>
          </w:tcPr>
          <w:p>
            <w:pPr>
              <w:pStyle w:val="8"/>
              <w:ind w:firstLine="0" w:firstLineChars="0"/>
            </w:pPr>
            <w:r>
              <w:t>0.512</w:t>
            </w:r>
          </w:p>
        </w:tc>
        <w:tc>
          <w:tcPr>
            <w:tcW w:w="1170" w:type="dxa"/>
            <w:vAlign w:val="center"/>
          </w:tcPr>
          <w:p>
            <w:pPr>
              <w:pStyle w:val="8"/>
              <w:ind w:firstLine="0" w:firstLineChars="0"/>
            </w:pPr>
            <w:r>
              <w:t>0.861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1723" w:type="dxa"/>
          </w:tcPr>
          <w:p>
            <w:pPr>
              <w:pStyle w:val="8"/>
              <w:ind w:firstLine="0" w:firstLineChars="0"/>
            </w:pPr>
            <w:r>
              <w:t>20(km/h)</w:t>
            </w:r>
          </w:p>
        </w:tc>
        <w:tc>
          <w:tcPr>
            <w:tcW w:w="1169" w:type="dxa"/>
            <w:vAlign w:val="center"/>
          </w:tcPr>
          <w:p>
            <w:pPr>
              <w:pStyle w:val="8"/>
              <w:ind w:firstLine="0" w:firstLineChars="0"/>
            </w:pPr>
            <w:r>
              <w:t>0.255</w:t>
            </w:r>
          </w:p>
        </w:tc>
        <w:tc>
          <w:tcPr>
            <w:tcW w:w="1169" w:type="dxa"/>
            <w:vAlign w:val="center"/>
          </w:tcPr>
          <w:p>
            <w:pPr>
              <w:pStyle w:val="8"/>
              <w:ind w:firstLine="0" w:firstLineChars="0"/>
            </w:pPr>
            <w:r>
              <w:t>0.429</w:t>
            </w:r>
          </w:p>
        </w:tc>
        <w:tc>
          <w:tcPr>
            <w:tcW w:w="1170" w:type="dxa"/>
            <w:vAlign w:val="center"/>
          </w:tcPr>
          <w:p>
            <w:pPr>
              <w:pStyle w:val="8"/>
              <w:ind w:firstLine="0" w:firstLineChars="0"/>
            </w:pPr>
            <w:r>
              <w:t>0.582</w:t>
            </w:r>
          </w:p>
        </w:tc>
        <w:tc>
          <w:tcPr>
            <w:tcW w:w="1169" w:type="dxa"/>
            <w:vAlign w:val="center"/>
          </w:tcPr>
          <w:p>
            <w:pPr>
              <w:pStyle w:val="8"/>
              <w:ind w:firstLine="0" w:firstLineChars="0"/>
            </w:pPr>
            <w:r>
              <w:t>0.722</w:t>
            </w:r>
          </w:p>
        </w:tc>
        <w:tc>
          <w:tcPr>
            <w:tcW w:w="1169" w:type="dxa"/>
            <w:vAlign w:val="center"/>
          </w:tcPr>
          <w:p>
            <w:pPr>
              <w:pStyle w:val="8"/>
              <w:ind w:firstLine="0" w:firstLineChars="0"/>
            </w:pPr>
            <w:r>
              <w:t>0.853</w:t>
            </w:r>
          </w:p>
        </w:tc>
        <w:tc>
          <w:tcPr>
            <w:tcW w:w="1170" w:type="dxa"/>
            <w:vAlign w:val="center"/>
          </w:tcPr>
          <w:p>
            <w:pPr>
              <w:pStyle w:val="8"/>
              <w:ind w:firstLine="0" w:firstLineChars="0"/>
            </w:pPr>
            <w:r>
              <w:t>1.435</w:t>
            </w:r>
          </w:p>
        </w:tc>
      </w:tr>
    </w:tbl>
    <w:p>
      <w:pPr>
        <w:ind w:firstLine="480"/>
      </w:pPr>
      <w:r>
        <w:t>（</w:t>
      </w:r>
      <w:r>
        <w:rPr>
          <w:rFonts w:hint="eastAsia"/>
        </w:rPr>
        <w:t>2</w:t>
      </w:r>
      <w:r>
        <w:t>）</w:t>
      </w:r>
      <w:r>
        <w:rPr>
          <w:rFonts w:hint="eastAsia"/>
        </w:rPr>
        <w:t>车辆运输尾气</w:t>
      </w:r>
    </w:p>
    <w:p>
      <w:pPr>
        <w:ind w:firstLine="480"/>
      </w:pPr>
      <w:r>
        <w:t>施工车辆、挖土机等因燃油产生的二氧化硫、氮氧化物、一氧化碳、烃类等污染物。这种污染源较分散且为流动性，污染物排放量不大，表现为间歇性特征，根据类似项目施工现场监测结果，在距离现场污染源100m处CO、NO</w:t>
      </w:r>
      <w:r>
        <w:rPr>
          <w:vertAlign w:val="subscript"/>
        </w:rPr>
        <w:t>2</w:t>
      </w:r>
      <w:r>
        <w:t>小时平均浓度分别为0.2mg/m</w:t>
      </w:r>
      <w:r>
        <w:rPr>
          <w:vertAlign w:val="superscript"/>
        </w:rPr>
        <w:t>3</w:t>
      </w:r>
      <w:r>
        <w:t>和0.11mg/m</w:t>
      </w:r>
      <w:r>
        <w:rPr>
          <w:vertAlign w:val="superscript"/>
        </w:rPr>
        <w:t>3</w:t>
      </w:r>
      <w:r>
        <w:t>；日平均浓度分别为0.13mg/m</w:t>
      </w:r>
      <w:r>
        <w:rPr>
          <w:vertAlign w:val="superscript"/>
        </w:rPr>
        <w:t>3</w:t>
      </w:r>
      <w:r>
        <w:t>和0.062mg/m</w:t>
      </w:r>
      <w:r>
        <w:rPr>
          <w:vertAlign w:val="superscript"/>
        </w:rPr>
        <w:t>3</w:t>
      </w:r>
      <w:r>
        <w:t>。</w:t>
      </w:r>
    </w:p>
    <w:p>
      <w:pPr>
        <w:ind w:firstLine="480"/>
      </w:pPr>
      <w:r>
        <w:t>（</w:t>
      </w:r>
      <w:r>
        <w:rPr>
          <w:rFonts w:hint="eastAsia"/>
        </w:rPr>
        <w:t>3</w:t>
      </w:r>
      <w:r>
        <w:t>）</w:t>
      </w:r>
      <w:r>
        <w:rPr>
          <w:rFonts w:hint="eastAsia"/>
        </w:rPr>
        <w:t>装修废气</w:t>
      </w:r>
    </w:p>
    <w:p>
      <w:pPr>
        <w:ind w:firstLine="480"/>
      </w:pPr>
      <w:r>
        <w:t>装修废气主要来自于房屋装修阶段，该废气的排放属无组织排放，其主要污染因子为二甲苯、甲苯、氨气和甲醛等，此外还有极少量的汽油、丁醇和丙醇等。</w:t>
      </w:r>
      <w:r>
        <w:rPr>
          <w:rFonts w:hint="eastAsia"/>
        </w:rPr>
        <w:t>本项目办公综合楼需进行简单</w:t>
      </w:r>
      <w:r>
        <w:t>装修，</w:t>
      </w:r>
      <w:r>
        <w:rPr>
          <w:rFonts w:hint="eastAsia"/>
        </w:rPr>
        <w:t>装修面积较小，</w:t>
      </w:r>
      <w:r>
        <w:t>因此，对周围环境的影响较</w:t>
      </w:r>
      <w:r>
        <w:rPr>
          <w:rFonts w:hint="eastAsia"/>
        </w:rPr>
        <w:t>小</w:t>
      </w:r>
      <w:r>
        <w:t>。本次评价只对该废气作一般性分析。</w:t>
      </w:r>
    </w:p>
    <w:p>
      <w:pPr>
        <w:ind w:firstLine="480"/>
      </w:pPr>
      <w:r>
        <w:t>（三）噪声污染源</w:t>
      </w:r>
    </w:p>
    <w:p>
      <w:pPr>
        <w:ind w:firstLine="480"/>
      </w:pPr>
      <w:r>
        <w:t>建设期噪声主要来自施工机械噪声、施工作业噪声和运输车辆噪声。施工机械噪声由施工机械造成，如挖土机械、打桩机械、混泥土搅拌机、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w:t>
      </w:r>
    </w:p>
    <w:p>
      <w:pPr>
        <w:ind w:firstLine="480"/>
      </w:pPr>
      <w:r>
        <w:t>建设期主要施工机械设备的噪声源强见表</w:t>
      </w:r>
      <w:r>
        <w:rPr>
          <w:rFonts w:hint="eastAsia"/>
        </w:rPr>
        <w:t>2.4-3</w:t>
      </w:r>
      <w:r>
        <w:t>，当多台机械设备同时作业时，产生噪声叠加，根据类比调查，叠加后的噪声增加3~8dB，一般不会超过10dB。物料运输车辆类型及其声级值见表</w:t>
      </w:r>
      <w:r>
        <w:rPr>
          <w:rFonts w:hint="eastAsia"/>
        </w:rPr>
        <w:t>2.4-4</w:t>
      </w:r>
      <w:r>
        <w:t>。</w:t>
      </w:r>
    </w:p>
    <w:p>
      <w:pPr>
        <w:pStyle w:val="11"/>
      </w:pPr>
      <w:r>
        <w:t xml:space="preserve">表2.4- </w:t>
      </w:r>
      <w:r>
        <w:fldChar w:fldCharType="begin"/>
      </w:r>
      <w:r>
        <w:instrText xml:space="preserve"> SEQ 表2.4- \* ARABIC </w:instrText>
      </w:r>
      <w:r>
        <w:fldChar w:fldCharType="separate"/>
      </w:r>
      <w:r>
        <w:t>3</w:t>
      </w:r>
      <w:r>
        <w:fldChar w:fldCharType="end"/>
      </w:r>
      <w:r>
        <w:rPr>
          <w:rFonts w:hint="eastAsia"/>
        </w:rPr>
        <w:t xml:space="preserve">  </w:t>
      </w:r>
      <w:r>
        <w:t>施工期噪声声源强度表</w:t>
      </w:r>
    </w:p>
    <w:tbl>
      <w:tblPr>
        <w:tblStyle w:val="21"/>
        <w:tblW w:w="87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31"/>
        <w:gridCol w:w="3781"/>
        <w:gridCol w:w="25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Align w:val="center"/>
          </w:tcPr>
          <w:p>
            <w:pPr>
              <w:pStyle w:val="8"/>
              <w:ind w:firstLine="0" w:firstLineChars="0"/>
            </w:pPr>
            <w:r>
              <w:t>施工阶段</w:t>
            </w:r>
          </w:p>
        </w:tc>
        <w:tc>
          <w:tcPr>
            <w:tcW w:w="3781" w:type="dxa"/>
            <w:vAlign w:val="center"/>
          </w:tcPr>
          <w:p>
            <w:pPr>
              <w:pStyle w:val="8"/>
              <w:ind w:firstLine="0" w:firstLineChars="0"/>
            </w:pPr>
            <w:r>
              <w:t>声源</w:t>
            </w:r>
          </w:p>
        </w:tc>
        <w:tc>
          <w:tcPr>
            <w:tcW w:w="2547" w:type="dxa"/>
            <w:vAlign w:val="center"/>
          </w:tcPr>
          <w:p>
            <w:pPr>
              <w:pStyle w:val="8"/>
              <w:ind w:firstLine="0" w:firstLineChars="0"/>
            </w:pPr>
            <w:r>
              <w:t>声源强度[dB]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restart"/>
            <w:vAlign w:val="center"/>
          </w:tcPr>
          <w:p>
            <w:pPr>
              <w:pStyle w:val="8"/>
              <w:ind w:firstLine="0" w:firstLineChars="0"/>
            </w:pPr>
            <w:r>
              <w:t>土石方阶段</w:t>
            </w:r>
          </w:p>
        </w:tc>
        <w:tc>
          <w:tcPr>
            <w:tcW w:w="3781" w:type="dxa"/>
          </w:tcPr>
          <w:p>
            <w:pPr>
              <w:pStyle w:val="8"/>
              <w:ind w:firstLine="0" w:firstLineChars="0"/>
            </w:pPr>
            <w:r>
              <w:t>挖土机</w:t>
            </w:r>
          </w:p>
        </w:tc>
        <w:tc>
          <w:tcPr>
            <w:tcW w:w="2547" w:type="dxa"/>
          </w:tcPr>
          <w:p>
            <w:pPr>
              <w:pStyle w:val="8"/>
              <w:ind w:firstLine="0" w:firstLineChars="0"/>
            </w:pPr>
            <w:r>
              <w:t>78~96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ind w:firstLine="0" w:firstLineChars="0"/>
            </w:pPr>
          </w:p>
        </w:tc>
        <w:tc>
          <w:tcPr>
            <w:tcW w:w="3781" w:type="dxa"/>
          </w:tcPr>
          <w:p>
            <w:pPr>
              <w:pStyle w:val="8"/>
              <w:ind w:firstLine="0" w:firstLineChars="0"/>
            </w:pPr>
            <w:r>
              <w:t>装卸机</w:t>
            </w:r>
          </w:p>
        </w:tc>
        <w:tc>
          <w:tcPr>
            <w:tcW w:w="2547" w:type="dxa"/>
          </w:tcPr>
          <w:p>
            <w:pPr>
              <w:pStyle w:val="8"/>
              <w:ind w:firstLine="0" w:firstLineChars="0"/>
            </w:pPr>
            <w:r>
              <w:t>75~90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ind w:firstLine="0" w:firstLineChars="0"/>
            </w:pPr>
          </w:p>
        </w:tc>
        <w:tc>
          <w:tcPr>
            <w:tcW w:w="3781" w:type="dxa"/>
          </w:tcPr>
          <w:p>
            <w:pPr>
              <w:pStyle w:val="8"/>
              <w:ind w:firstLine="0" w:firstLineChars="0"/>
            </w:pPr>
            <w:r>
              <w:t>挖掘机</w:t>
            </w:r>
          </w:p>
        </w:tc>
        <w:tc>
          <w:tcPr>
            <w:tcW w:w="2547" w:type="dxa"/>
          </w:tcPr>
          <w:p>
            <w:pPr>
              <w:pStyle w:val="8"/>
              <w:ind w:firstLine="0" w:firstLineChars="0"/>
            </w:pPr>
            <w:r>
              <w:t>75~85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ind w:firstLine="0" w:firstLineChars="0"/>
            </w:pPr>
          </w:p>
        </w:tc>
        <w:tc>
          <w:tcPr>
            <w:tcW w:w="3781" w:type="dxa"/>
          </w:tcPr>
          <w:p>
            <w:pPr>
              <w:pStyle w:val="8"/>
              <w:ind w:firstLine="0" w:firstLineChars="0"/>
            </w:pPr>
            <w:r>
              <w:t>压缩机</w:t>
            </w:r>
          </w:p>
        </w:tc>
        <w:tc>
          <w:tcPr>
            <w:tcW w:w="2547" w:type="dxa"/>
          </w:tcPr>
          <w:p>
            <w:pPr>
              <w:pStyle w:val="8"/>
              <w:ind w:firstLine="0" w:firstLineChars="0"/>
            </w:pPr>
            <w:r>
              <w:t>75~88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restart"/>
            <w:vAlign w:val="center"/>
          </w:tcPr>
          <w:p>
            <w:pPr>
              <w:pStyle w:val="8"/>
              <w:ind w:firstLine="0" w:firstLineChars="0"/>
            </w:pPr>
            <w:r>
              <w:t>底板与结构阶段</w:t>
            </w:r>
          </w:p>
        </w:tc>
        <w:tc>
          <w:tcPr>
            <w:tcW w:w="3781" w:type="dxa"/>
          </w:tcPr>
          <w:p>
            <w:pPr>
              <w:pStyle w:val="8"/>
              <w:ind w:firstLine="0" w:firstLineChars="0"/>
            </w:pPr>
            <w:r>
              <w:t>混凝土输送泵</w:t>
            </w:r>
          </w:p>
        </w:tc>
        <w:tc>
          <w:tcPr>
            <w:tcW w:w="2547" w:type="dxa"/>
          </w:tcPr>
          <w:p>
            <w:pPr>
              <w:pStyle w:val="8"/>
              <w:ind w:firstLine="0" w:firstLineChars="0"/>
            </w:pPr>
            <w:r>
              <w:t>90~100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ind w:firstLine="0" w:firstLineChars="0"/>
            </w:pPr>
          </w:p>
        </w:tc>
        <w:tc>
          <w:tcPr>
            <w:tcW w:w="3781" w:type="dxa"/>
          </w:tcPr>
          <w:p>
            <w:pPr>
              <w:pStyle w:val="8"/>
              <w:ind w:firstLine="0" w:firstLineChars="0"/>
            </w:pPr>
            <w:r>
              <w:t>振捣器</w:t>
            </w:r>
          </w:p>
        </w:tc>
        <w:tc>
          <w:tcPr>
            <w:tcW w:w="2547" w:type="dxa"/>
          </w:tcPr>
          <w:p>
            <w:pPr>
              <w:pStyle w:val="8"/>
              <w:ind w:firstLine="0" w:firstLineChars="0"/>
            </w:pPr>
            <w:r>
              <w:t>100~105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ind w:firstLine="0" w:firstLineChars="0"/>
            </w:pPr>
          </w:p>
        </w:tc>
        <w:tc>
          <w:tcPr>
            <w:tcW w:w="3781" w:type="dxa"/>
          </w:tcPr>
          <w:p>
            <w:pPr>
              <w:pStyle w:val="8"/>
              <w:ind w:firstLine="0" w:firstLineChars="0"/>
            </w:pPr>
            <w:r>
              <w:t>电焊机</w:t>
            </w:r>
          </w:p>
        </w:tc>
        <w:tc>
          <w:tcPr>
            <w:tcW w:w="2547" w:type="dxa"/>
          </w:tcPr>
          <w:p>
            <w:pPr>
              <w:pStyle w:val="8"/>
              <w:ind w:firstLine="0" w:firstLineChars="0"/>
            </w:pPr>
            <w:r>
              <w:t>90~95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ind w:firstLine="0" w:firstLineChars="0"/>
            </w:pPr>
          </w:p>
        </w:tc>
        <w:tc>
          <w:tcPr>
            <w:tcW w:w="3781" w:type="dxa"/>
          </w:tcPr>
          <w:p>
            <w:pPr>
              <w:pStyle w:val="8"/>
              <w:ind w:firstLine="0" w:firstLineChars="0"/>
            </w:pPr>
            <w:r>
              <w:t>空压机</w:t>
            </w:r>
          </w:p>
        </w:tc>
        <w:tc>
          <w:tcPr>
            <w:tcW w:w="2547" w:type="dxa"/>
          </w:tcPr>
          <w:p>
            <w:pPr>
              <w:pStyle w:val="8"/>
              <w:ind w:firstLine="0" w:firstLineChars="0"/>
            </w:pPr>
            <w:r>
              <w:t>75~85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restart"/>
            <w:vAlign w:val="center"/>
          </w:tcPr>
          <w:p>
            <w:pPr>
              <w:pStyle w:val="8"/>
              <w:ind w:firstLine="0" w:firstLineChars="0"/>
            </w:pPr>
            <w:r>
              <w:t>装修、安装</w:t>
            </w:r>
          </w:p>
          <w:p>
            <w:pPr>
              <w:pStyle w:val="8"/>
              <w:ind w:firstLine="0" w:firstLineChars="0"/>
            </w:pPr>
            <w:r>
              <w:t>阶段</w:t>
            </w:r>
          </w:p>
        </w:tc>
        <w:tc>
          <w:tcPr>
            <w:tcW w:w="3781" w:type="dxa"/>
          </w:tcPr>
          <w:p>
            <w:pPr>
              <w:pStyle w:val="8"/>
              <w:ind w:firstLine="0" w:firstLineChars="0"/>
            </w:pPr>
            <w:r>
              <w:t>电钻</w:t>
            </w:r>
          </w:p>
        </w:tc>
        <w:tc>
          <w:tcPr>
            <w:tcW w:w="2547" w:type="dxa"/>
          </w:tcPr>
          <w:p>
            <w:pPr>
              <w:pStyle w:val="8"/>
              <w:ind w:firstLine="0" w:firstLineChars="0"/>
            </w:pPr>
            <w:r>
              <w:t>100~105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ind w:firstLine="0" w:firstLineChars="0"/>
            </w:pPr>
          </w:p>
        </w:tc>
        <w:tc>
          <w:tcPr>
            <w:tcW w:w="3781" w:type="dxa"/>
          </w:tcPr>
          <w:p>
            <w:pPr>
              <w:pStyle w:val="8"/>
              <w:ind w:firstLine="0" w:firstLineChars="0"/>
            </w:pPr>
            <w:r>
              <w:t>无齿锯</w:t>
            </w:r>
          </w:p>
        </w:tc>
        <w:tc>
          <w:tcPr>
            <w:tcW w:w="2547" w:type="dxa"/>
          </w:tcPr>
          <w:p>
            <w:pPr>
              <w:pStyle w:val="8"/>
              <w:ind w:firstLine="0" w:firstLineChars="0"/>
            </w:pPr>
            <w:r>
              <w:t>105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21" w:hRule="atLeast"/>
          <w:jc w:val="center"/>
        </w:trPr>
        <w:tc>
          <w:tcPr>
            <w:tcW w:w="2431" w:type="dxa"/>
            <w:vMerge w:val="continue"/>
          </w:tcPr>
          <w:p>
            <w:pPr>
              <w:pStyle w:val="8"/>
              <w:ind w:firstLine="0" w:firstLineChars="0"/>
            </w:pPr>
          </w:p>
        </w:tc>
        <w:tc>
          <w:tcPr>
            <w:tcW w:w="3781" w:type="dxa"/>
          </w:tcPr>
          <w:p>
            <w:pPr>
              <w:pStyle w:val="8"/>
              <w:ind w:firstLine="0" w:firstLineChars="0"/>
            </w:pPr>
            <w:r>
              <w:t>混凝土搅拌机（沙浆混合用）</w:t>
            </w:r>
          </w:p>
        </w:tc>
        <w:tc>
          <w:tcPr>
            <w:tcW w:w="2547" w:type="dxa"/>
          </w:tcPr>
          <w:p>
            <w:pPr>
              <w:pStyle w:val="8"/>
              <w:ind w:firstLine="0" w:firstLineChars="0"/>
            </w:pPr>
            <w:r>
              <w:t>100~110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3" w:hRule="atLeast"/>
          <w:jc w:val="center"/>
        </w:trPr>
        <w:tc>
          <w:tcPr>
            <w:tcW w:w="2431" w:type="dxa"/>
            <w:vMerge w:val="continue"/>
          </w:tcPr>
          <w:p>
            <w:pPr>
              <w:pStyle w:val="8"/>
              <w:ind w:firstLine="0" w:firstLineChars="0"/>
            </w:pPr>
          </w:p>
        </w:tc>
        <w:tc>
          <w:tcPr>
            <w:tcW w:w="3781" w:type="dxa"/>
          </w:tcPr>
          <w:p>
            <w:pPr>
              <w:pStyle w:val="8"/>
              <w:ind w:firstLine="0" w:firstLineChars="0"/>
            </w:pPr>
            <w:r>
              <w:t>角向磨光机</w:t>
            </w:r>
          </w:p>
        </w:tc>
        <w:tc>
          <w:tcPr>
            <w:tcW w:w="2547" w:type="dxa"/>
          </w:tcPr>
          <w:p>
            <w:pPr>
              <w:pStyle w:val="8"/>
              <w:ind w:firstLine="0" w:firstLineChars="0"/>
            </w:pPr>
            <w:r>
              <w:t>100~115</w:t>
            </w:r>
          </w:p>
        </w:tc>
      </w:tr>
    </w:tbl>
    <w:p>
      <w:pPr>
        <w:pStyle w:val="11"/>
      </w:pPr>
      <w:r>
        <w:t xml:space="preserve">表2.4- </w:t>
      </w:r>
      <w:r>
        <w:fldChar w:fldCharType="begin"/>
      </w:r>
      <w:r>
        <w:instrText xml:space="preserve"> SEQ 表2.4- \* ARABIC </w:instrText>
      </w:r>
      <w:r>
        <w:fldChar w:fldCharType="separate"/>
      </w:r>
      <w:r>
        <w:t>4</w:t>
      </w:r>
      <w:r>
        <w:fldChar w:fldCharType="end"/>
      </w:r>
      <w:r>
        <w:rPr>
          <w:rFonts w:hint="eastAsia"/>
        </w:rPr>
        <w:t xml:space="preserve">  </w:t>
      </w:r>
      <w:r>
        <w:t>交通运输车辆噪声</w:t>
      </w:r>
    </w:p>
    <w:tbl>
      <w:tblPr>
        <w:tblStyle w:val="21"/>
        <w:tblW w:w="87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84"/>
        <w:gridCol w:w="2664"/>
        <w:gridCol w:w="2400"/>
        <w:gridCol w:w="1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884" w:type="dxa"/>
            <w:vAlign w:val="center"/>
          </w:tcPr>
          <w:p>
            <w:pPr>
              <w:pStyle w:val="8"/>
              <w:ind w:firstLine="0" w:firstLineChars="0"/>
            </w:pPr>
            <w:r>
              <w:t>施工阶段</w:t>
            </w:r>
          </w:p>
        </w:tc>
        <w:tc>
          <w:tcPr>
            <w:tcW w:w="2664" w:type="dxa"/>
            <w:vAlign w:val="center"/>
          </w:tcPr>
          <w:p>
            <w:pPr>
              <w:pStyle w:val="8"/>
              <w:ind w:firstLine="0" w:firstLineChars="0"/>
            </w:pPr>
            <w:r>
              <w:t>运输内容</w:t>
            </w:r>
          </w:p>
        </w:tc>
        <w:tc>
          <w:tcPr>
            <w:tcW w:w="2400" w:type="dxa"/>
            <w:vAlign w:val="center"/>
          </w:tcPr>
          <w:p>
            <w:pPr>
              <w:pStyle w:val="8"/>
              <w:ind w:firstLine="0" w:firstLineChars="0"/>
            </w:pPr>
            <w:r>
              <w:t>车辆类型</w:t>
            </w:r>
          </w:p>
        </w:tc>
        <w:tc>
          <w:tcPr>
            <w:tcW w:w="1851" w:type="dxa"/>
            <w:vAlign w:val="center"/>
          </w:tcPr>
          <w:p>
            <w:pPr>
              <w:pStyle w:val="8"/>
              <w:ind w:firstLine="0" w:firstLineChars="0"/>
            </w:pPr>
            <w:r>
              <w:t>声源强度（dB）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884" w:type="dxa"/>
            <w:vAlign w:val="center"/>
          </w:tcPr>
          <w:p>
            <w:pPr>
              <w:pStyle w:val="8"/>
              <w:ind w:firstLine="0" w:firstLineChars="0"/>
            </w:pPr>
            <w:r>
              <w:t>土方阶段</w:t>
            </w:r>
          </w:p>
        </w:tc>
        <w:tc>
          <w:tcPr>
            <w:tcW w:w="2664" w:type="dxa"/>
            <w:vAlign w:val="center"/>
          </w:tcPr>
          <w:p>
            <w:pPr>
              <w:pStyle w:val="8"/>
              <w:ind w:firstLine="0" w:firstLineChars="0"/>
            </w:pPr>
            <w:r>
              <w:t>弃土外运</w:t>
            </w:r>
          </w:p>
        </w:tc>
        <w:tc>
          <w:tcPr>
            <w:tcW w:w="2400" w:type="dxa"/>
            <w:vAlign w:val="center"/>
          </w:tcPr>
          <w:p>
            <w:pPr>
              <w:pStyle w:val="8"/>
              <w:ind w:firstLine="0" w:firstLineChars="0"/>
            </w:pPr>
            <w:r>
              <w:t>大型载重车</w:t>
            </w:r>
          </w:p>
        </w:tc>
        <w:tc>
          <w:tcPr>
            <w:tcW w:w="1851" w:type="dxa"/>
            <w:vAlign w:val="center"/>
          </w:tcPr>
          <w:p>
            <w:pPr>
              <w:pStyle w:val="8"/>
              <w:ind w:firstLine="0" w:firstLineChars="0"/>
            </w:pPr>
            <w:r>
              <w:t>84~89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1884" w:type="dxa"/>
            <w:vAlign w:val="center"/>
          </w:tcPr>
          <w:p>
            <w:pPr>
              <w:pStyle w:val="8"/>
              <w:ind w:firstLine="0" w:firstLineChars="0"/>
            </w:pPr>
            <w:r>
              <w:t>底板及结构阶段</w:t>
            </w:r>
          </w:p>
        </w:tc>
        <w:tc>
          <w:tcPr>
            <w:tcW w:w="2664" w:type="dxa"/>
            <w:vAlign w:val="center"/>
          </w:tcPr>
          <w:p>
            <w:pPr>
              <w:pStyle w:val="8"/>
              <w:ind w:firstLine="0" w:firstLineChars="0"/>
            </w:pPr>
            <w:r>
              <w:t>钢筋、商品混凝土</w:t>
            </w:r>
          </w:p>
        </w:tc>
        <w:tc>
          <w:tcPr>
            <w:tcW w:w="2400" w:type="dxa"/>
            <w:vAlign w:val="center"/>
          </w:tcPr>
          <w:p>
            <w:pPr>
              <w:pStyle w:val="8"/>
              <w:ind w:firstLine="0" w:firstLineChars="0"/>
            </w:pPr>
            <w:r>
              <w:t>混凝土罐车、载重车</w:t>
            </w:r>
          </w:p>
        </w:tc>
        <w:tc>
          <w:tcPr>
            <w:tcW w:w="1851" w:type="dxa"/>
            <w:vAlign w:val="center"/>
          </w:tcPr>
          <w:p>
            <w:pPr>
              <w:pStyle w:val="8"/>
              <w:ind w:firstLine="0" w:firstLineChars="0"/>
            </w:pPr>
            <w:r>
              <w:t>80~85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884" w:type="dxa"/>
            <w:vAlign w:val="center"/>
          </w:tcPr>
          <w:p>
            <w:pPr>
              <w:pStyle w:val="8"/>
              <w:ind w:firstLine="0" w:firstLineChars="0"/>
            </w:pPr>
            <w:r>
              <w:t>装修阶段</w:t>
            </w:r>
          </w:p>
        </w:tc>
        <w:tc>
          <w:tcPr>
            <w:tcW w:w="2664" w:type="dxa"/>
            <w:vAlign w:val="center"/>
          </w:tcPr>
          <w:p>
            <w:pPr>
              <w:pStyle w:val="8"/>
              <w:ind w:firstLine="0" w:firstLineChars="0"/>
            </w:pPr>
            <w:r>
              <w:t>各种装修材料及必备设备</w:t>
            </w:r>
          </w:p>
        </w:tc>
        <w:tc>
          <w:tcPr>
            <w:tcW w:w="2400" w:type="dxa"/>
            <w:vAlign w:val="center"/>
          </w:tcPr>
          <w:p>
            <w:pPr>
              <w:pStyle w:val="8"/>
              <w:ind w:firstLine="0" w:firstLineChars="0"/>
            </w:pPr>
            <w:r>
              <w:t>轻型载重卡车</w:t>
            </w:r>
          </w:p>
        </w:tc>
        <w:tc>
          <w:tcPr>
            <w:tcW w:w="1851" w:type="dxa"/>
            <w:vAlign w:val="center"/>
          </w:tcPr>
          <w:p>
            <w:pPr>
              <w:pStyle w:val="8"/>
              <w:ind w:firstLine="0" w:firstLineChars="0"/>
            </w:pPr>
            <w:r>
              <w:t>75~80</w:t>
            </w:r>
          </w:p>
        </w:tc>
      </w:tr>
    </w:tbl>
    <w:p>
      <w:pPr>
        <w:spacing w:before="120" w:beforeLines="50"/>
        <w:ind w:firstLine="480"/>
      </w:pPr>
      <w:r>
        <w:t>（四）固体废物污染源</w:t>
      </w:r>
    </w:p>
    <w:p>
      <w:pPr>
        <w:ind w:firstLine="480"/>
      </w:pPr>
      <w:r>
        <w:t>施工期的固废主要为</w:t>
      </w:r>
      <w:r>
        <w:rPr>
          <w:rFonts w:hint="eastAsia"/>
        </w:rPr>
        <w:t>施工场地土方开挖产生废弃土方、建筑物的修筑产生</w:t>
      </w:r>
      <w:r>
        <w:t>各种建筑垃圾和施工人员产生的生活垃圾等。</w:t>
      </w:r>
    </w:p>
    <w:p>
      <w:pPr>
        <w:ind w:firstLine="480"/>
      </w:pPr>
      <w:r>
        <w:rPr>
          <w:rFonts w:hint="eastAsia"/>
        </w:rPr>
        <w:t>（1）土石方量</w:t>
      </w:r>
    </w:p>
    <w:p>
      <w:pPr>
        <w:ind w:firstLine="480"/>
      </w:pPr>
      <w:r>
        <w:rPr>
          <w:rFonts w:hint="eastAsia"/>
        </w:rPr>
        <w:t>本项目由于猪舍、办公楼等构筑物的修筑，产生一定量的挖方，约为14999m</w:t>
      </w:r>
      <w:r>
        <w:rPr>
          <w:rFonts w:hint="eastAsia"/>
          <w:vertAlign w:val="superscript"/>
        </w:rPr>
        <w:t>3</w:t>
      </w:r>
      <w:r>
        <w:rPr>
          <w:rFonts w:hint="eastAsia"/>
        </w:rPr>
        <w:t>，由于项目建设场地均为丘陵地区，产生的挖方量均用于场地平整，以及进场道路的修筑，无弃方产生。</w:t>
      </w:r>
    </w:p>
    <w:p>
      <w:pPr>
        <w:ind w:firstLine="480"/>
      </w:pPr>
      <w:r>
        <w:rPr>
          <w:rFonts w:hint="eastAsia"/>
        </w:rPr>
        <w:t>（2）建筑垃圾</w:t>
      </w:r>
    </w:p>
    <w:p>
      <w:pPr>
        <w:ind w:firstLine="480"/>
        <w:rPr>
          <w:highlight w:val="yellow"/>
        </w:rPr>
      </w:pPr>
      <w:r>
        <w:t>本项目施工过程中建材损耗产生垃圾、装修产生建筑垃圾等，包括砂土、石块、水泥、碎木料、锯木屑、废金属、钢筋、铁丝等杂物。根据类比调查，每m</w:t>
      </w:r>
      <w:r>
        <w:rPr>
          <w:vertAlign w:val="superscript"/>
        </w:rPr>
        <w:t>2</w:t>
      </w:r>
      <w:r>
        <w:t>建筑面积产生建筑垃圾按0.0</w:t>
      </w:r>
      <w:r>
        <w:rPr>
          <w:rFonts w:hint="eastAsia"/>
        </w:rPr>
        <w:t>2t</w:t>
      </w:r>
      <w:r>
        <w:t>，预计本</w:t>
      </w:r>
      <w:r>
        <w:rPr>
          <w:rFonts w:hint="eastAsia"/>
        </w:rPr>
        <w:t>项目工程建筑面积为8700</w:t>
      </w:r>
      <w:r>
        <w:t>m</w:t>
      </w:r>
      <w:r>
        <w:rPr>
          <w:vertAlign w:val="superscript"/>
        </w:rPr>
        <w:t>2</w:t>
      </w:r>
      <w:r>
        <w:rPr>
          <w:rFonts w:hint="eastAsia"/>
        </w:rPr>
        <w:t>，则产生的建筑垃圾为174t</w:t>
      </w:r>
      <w:r>
        <w:t>。</w:t>
      </w:r>
    </w:p>
    <w:p>
      <w:pPr>
        <w:ind w:firstLine="480"/>
      </w:pPr>
      <w:r>
        <w:rPr>
          <w:rFonts w:hint="eastAsia"/>
        </w:rPr>
        <w:t>（3）生活垃圾</w:t>
      </w:r>
    </w:p>
    <w:p>
      <w:pPr>
        <w:ind w:firstLine="480"/>
      </w:pPr>
      <w:r>
        <w:t>生活垃圾以人均每天产生</w:t>
      </w:r>
      <w:r>
        <w:rPr>
          <w:rFonts w:hint="eastAsia"/>
        </w:rPr>
        <w:t>0.5</w:t>
      </w:r>
      <w:r>
        <w:t>kg计算，</w:t>
      </w:r>
      <w:r>
        <w:rPr>
          <w:rFonts w:hint="eastAsia"/>
        </w:rPr>
        <w:t>工程</w:t>
      </w:r>
      <w:r>
        <w:t>施工人数按</w:t>
      </w:r>
      <w:r>
        <w:rPr>
          <w:rFonts w:hint="eastAsia"/>
        </w:rPr>
        <w:t>20</w:t>
      </w:r>
      <w:r>
        <w:t>人计，施工期以</w:t>
      </w:r>
      <w:r>
        <w:rPr>
          <w:rFonts w:hint="eastAsia"/>
        </w:rPr>
        <w:t>6</w:t>
      </w:r>
      <w:r>
        <w:t>个月计，则产生的生活垃圾约</w:t>
      </w:r>
      <w:r>
        <w:rPr>
          <w:rFonts w:hint="eastAsia"/>
        </w:rPr>
        <w:t>1.8</w:t>
      </w:r>
      <w:r>
        <w:t>t。</w:t>
      </w:r>
    </w:p>
    <w:p>
      <w:pPr>
        <w:ind w:firstLine="480"/>
      </w:pPr>
      <w:r>
        <w:rPr>
          <w:rFonts w:hint="eastAsia"/>
        </w:rPr>
        <w:t>（五）生态影响源</w:t>
      </w:r>
    </w:p>
    <w:p>
      <w:pPr>
        <w:ind w:firstLine="480"/>
      </w:pPr>
      <w:r>
        <w:rPr>
          <w:rFonts w:hint="eastAsia"/>
        </w:rPr>
        <w:t>项目建设地原为山地，主要指被为茶树、樟树、杉树以及杂草等，</w:t>
      </w:r>
      <w:r>
        <w:t>无珍稀类、濒危</w:t>
      </w:r>
      <w:r>
        <w:rPr>
          <w:rFonts w:hint="eastAsia"/>
        </w:rPr>
        <w:t>野生</w:t>
      </w:r>
      <w:r>
        <w:t>动植物</w:t>
      </w:r>
      <w:r>
        <w:rPr>
          <w:rFonts w:hint="eastAsia"/>
        </w:rPr>
        <w:t>。在场地开挖及土地平整过程会破坏现有植被。</w:t>
      </w:r>
      <w:r>
        <w:t>土地平整、开挖土临时堆放以及开挖面土壤抗蚀能力降低，会产生水土流失，受暴雨冲击时会更严重。</w:t>
      </w:r>
    </w:p>
    <w:p>
      <w:pPr>
        <w:pStyle w:val="5"/>
        <w:spacing w:before="48" w:after="48"/>
      </w:pPr>
      <w:r>
        <w:rPr>
          <w:rFonts w:hint="eastAsia"/>
        </w:rPr>
        <w:t>2.4.2</w:t>
      </w:r>
      <w:r>
        <w:t>营运期污染源分析</w:t>
      </w:r>
    </w:p>
    <w:p>
      <w:pPr>
        <w:pStyle w:val="6"/>
      </w:pPr>
      <w:r>
        <w:rPr>
          <w:rFonts w:hint="eastAsia"/>
        </w:rPr>
        <w:t>2.4.2.1</w:t>
      </w:r>
      <w:r>
        <w:t>废水污染源</w:t>
      </w:r>
    </w:p>
    <w:p>
      <w:pPr>
        <w:ind w:firstLine="480"/>
      </w:pPr>
      <w:r>
        <w:rPr>
          <w:rFonts w:hint="eastAsia"/>
        </w:rPr>
        <w:t>项目营运期间用水主要为养殖用水、猪舍消毒用水、员工生活用水以及夏季水帘降温用水，其中水帘降温用水循环使用，只定期补充，不产生废水。猪只消毒采用喷雾形式，地面不形成径流，不产生废水。本项目废水主要为养殖废水、猪舍消毒冲洗废水、员工生活污水。由于各养殖场因生产方式和管理水平不同，用水量和废水排放量均存在较大差异。评价在走访踏勘、实地监测的基础上，查阅了大量文献资料来确定本项目的水污染源强。</w:t>
      </w:r>
    </w:p>
    <w:p>
      <w:pPr>
        <w:ind w:firstLine="480"/>
      </w:pPr>
      <w:r>
        <w:t>（1）养殖废水</w:t>
      </w:r>
    </w:p>
    <w:p>
      <w:pPr>
        <w:ind w:firstLine="480"/>
        <w:rPr>
          <w:highlight w:val="yellow"/>
        </w:rPr>
      </w:pPr>
      <w:r>
        <w:t>生猪养殖的</w:t>
      </w:r>
      <w:r>
        <w:rPr>
          <w:rFonts w:hint="eastAsia"/>
        </w:rPr>
        <w:t>废水</w:t>
      </w:r>
      <w:r>
        <w:t>主要污染来源于生猪产生的尿液。此部分废水有机物浓度高、悬浮物多、氨氮含量高、臭味大</w:t>
      </w:r>
      <w:r>
        <w:rPr>
          <w:rFonts w:hint="eastAsia"/>
        </w:rPr>
        <w:t>。本项目产生的猪粪尿从水泥漏缝直接落入猪舍下面的集污池，不采用水冲粪，项目属于干清粪情形，根据《第一次全国污染源普查畜禽养殖业产排污系数与排污系数手册》中南地区生长猪和育肥猪尿的产生量系数取3.3 L</w:t>
      </w:r>
      <w:r>
        <w:t>/头·d</w:t>
      </w:r>
      <w:r>
        <w:rPr>
          <w:rFonts w:hint="eastAsia"/>
        </w:rPr>
        <w:t>，保育猪猪尿的产生量系数取1.88L</w:t>
      </w:r>
      <w:r>
        <w:t>/头·d，</w:t>
      </w:r>
      <w:r>
        <w:rPr>
          <w:rFonts w:hint="eastAsia"/>
        </w:rPr>
        <w:t>项目猪尿的产生情况见下表。</w:t>
      </w:r>
    </w:p>
    <w:p>
      <w:pPr>
        <w:pStyle w:val="11"/>
      </w:pPr>
    </w:p>
    <w:p>
      <w:pPr>
        <w:pStyle w:val="11"/>
      </w:pPr>
    </w:p>
    <w:p>
      <w:pPr>
        <w:ind w:firstLine="480"/>
      </w:pPr>
    </w:p>
    <w:p>
      <w:pPr>
        <w:pStyle w:val="11"/>
      </w:pPr>
      <w:r>
        <w:t xml:space="preserve">表2.4- </w:t>
      </w:r>
      <w:r>
        <w:fldChar w:fldCharType="begin"/>
      </w:r>
      <w:r>
        <w:instrText xml:space="preserve"> SEQ 表2.4- \* ARABIC </w:instrText>
      </w:r>
      <w:r>
        <w:fldChar w:fldCharType="separate"/>
      </w:r>
      <w:r>
        <w:t>5</w:t>
      </w:r>
      <w:r>
        <w:fldChar w:fldCharType="end"/>
      </w:r>
      <w:r>
        <w:rPr>
          <w:rFonts w:hint="eastAsia"/>
        </w:rPr>
        <w:t xml:space="preserve">  </w:t>
      </w:r>
      <w:r>
        <w:t>猪群</w:t>
      </w:r>
      <w:r>
        <w:rPr>
          <w:rFonts w:hint="eastAsia"/>
        </w:rPr>
        <w:t>猪尿</w:t>
      </w:r>
      <w:r>
        <w:t>的产生</w:t>
      </w:r>
      <w:r>
        <w:rPr>
          <w:rFonts w:hint="eastAsia"/>
        </w:rPr>
        <w:t>量</w:t>
      </w:r>
    </w:p>
    <w:tbl>
      <w:tblPr>
        <w:tblStyle w:val="21"/>
        <w:tblW w:w="86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7"/>
        <w:gridCol w:w="1559"/>
        <w:gridCol w:w="2230"/>
        <w:gridCol w:w="1757"/>
        <w:gridCol w:w="1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97" w:type="dxa"/>
            <w:vAlign w:val="center"/>
          </w:tcPr>
          <w:p>
            <w:pPr>
              <w:pStyle w:val="8"/>
              <w:spacing w:line="240" w:lineRule="atLeast"/>
              <w:ind w:firstLine="0" w:firstLineChars="0"/>
            </w:pPr>
            <w:r>
              <w:t>猪群结构</w:t>
            </w:r>
          </w:p>
        </w:tc>
        <w:tc>
          <w:tcPr>
            <w:tcW w:w="1559" w:type="dxa"/>
            <w:vAlign w:val="center"/>
          </w:tcPr>
          <w:p>
            <w:pPr>
              <w:pStyle w:val="8"/>
              <w:spacing w:line="240" w:lineRule="atLeast"/>
              <w:ind w:firstLine="0" w:firstLineChars="0"/>
            </w:pPr>
            <w:r>
              <w:rPr>
                <w:rFonts w:hint="eastAsia"/>
              </w:rPr>
              <w:t>存栏</w:t>
            </w:r>
            <w:r>
              <w:t>数量（头）</w:t>
            </w:r>
          </w:p>
        </w:tc>
        <w:tc>
          <w:tcPr>
            <w:tcW w:w="2230" w:type="dxa"/>
            <w:vAlign w:val="center"/>
          </w:tcPr>
          <w:p>
            <w:pPr>
              <w:pStyle w:val="8"/>
              <w:spacing w:line="240" w:lineRule="atLeast"/>
              <w:ind w:firstLine="0" w:firstLineChars="0"/>
            </w:pPr>
            <w:r>
              <w:t>猪排</w:t>
            </w:r>
            <w:r>
              <w:rPr>
                <w:rFonts w:hint="eastAsia"/>
              </w:rPr>
              <w:t>尿系数</w:t>
            </w:r>
            <w:r>
              <w:t>（</w:t>
            </w:r>
            <w:r>
              <w:rPr>
                <w:rFonts w:hint="eastAsia"/>
              </w:rPr>
              <w:t>L</w:t>
            </w:r>
            <w:r>
              <w:t>/头·d）</w:t>
            </w:r>
          </w:p>
        </w:tc>
        <w:tc>
          <w:tcPr>
            <w:tcW w:w="1757" w:type="dxa"/>
            <w:vAlign w:val="center"/>
          </w:tcPr>
          <w:p>
            <w:pPr>
              <w:pStyle w:val="8"/>
              <w:spacing w:line="240" w:lineRule="atLeast"/>
              <w:ind w:firstLine="0" w:firstLineChars="0"/>
            </w:pPr>
            <w:r>
              <w:t>日排</w:t>
            </w:r>
            <w:r>
              <w:rPr>
                <w:rFonts w:hint="eastAsia"/>
              </w:rPr>
              <w:t>尿</w:t>
            </w:r>
            <w:r>
              <w:t>量（m</w:t>
            </w:r>
            <w:r>
              <w:rPr>
                <w:vertAlign w:val="superscript"/>
              </w:rPr>
              <w:t>3</w:t>
            </w:r>
            <w:r>
              <w:t>/d）</w:t>
            </w:r>
          </w:p>
        </w:tc>
        <w:tc>
          <w:tcPr>
            <w:tcW w:w="1759" w:type="dxa"/>
            <w:vAlign w:val="center"/>
          </w:tcPr>
          <w:p>
            <w:pPr>
              <w:pStyle w:val="8"/>
              <w:spacing w:line="240" w:lineRule="atLeast"/>
              <w:ind w:firstLine="0" w:firstLineChars="0"/>
            </w:pPr>
            <w:r>
              <w:t>年排</w:t>
            </w:r>
            <w:r>
              <w:rPr>
                <w:rFonts w:hint="eastAsia"/>
              </w:rPr>
              <w:t>尿</w:t>
            </w:r>
            <w:r>
              <w:t>量（m</w:t>
            </w:r>
            <w:r>
              <w:rPr>
                <w:vertAlign w:val="superscript"/>
              </w:rPr>
              <w:t>3</w:t>
            </w:r>
            <w: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97" w:type="dxa"/>
            <w:vAlign w:val="center"/>
          </w:tcPr>
          <w:p>
            <w:pPr>
              <w:pStyle w:val="8"/>
              <w:spacing w:line="240" w:lineRule="atLeast"/>
              <w:ind w:firstLine="0" w:firstLineChars="0"/>
            </w:pPr>
            <w:r>
              <w:rPr>
                <w:rFonts w:hint="eastAsia"/>
              </w:rPr>
              <w:t>保育猪</w:t>
            </w:r>
          </w:p>
        </w:tc>
        <w:tc>
          <w:tcPr>
            <w:tcW w:w="1559" w:type="dxa"/>
            <w:vAlign w:val="center"/>
          </w:tcPr>
          <w:p>
            <w:pPr>
              <w:pStyle w:val="8"/>
              <w:spacing w:line="240" w:lineRule="atLeast"/>
              <w:ind w:firstLine="0" w:firstLineChars="0"/>
            </w:pPr>
            <w:r>
              <w:rPr>
                <w:rFonts w:hint="eastAsia"/>
              </w:rPr>
              <w:t>1000</w:t>
            </w:r>
          </w:p>
        </w:tc>
        <w:tc>
          <w:tcPr>
            <w:tcW w:w="2230" w:type="dxa"/>
            <w:vAlign w:val="center"/>
          </w:tcPr>
          <w:p>
            <w:pPr>
              <w:pStyle w:val="8"/>
              <w:spacing w:line="240" w:lineRule="atLeast"/>
              <w:ind w:firstLine="0" w:firstLineChars="0"/>
            </w:pPr>
            <w:r>
              <w:rPr>
                <w:rFonts w:hint="eastAsia"/>
              </w:rPr>
              <w:t>1.88</w:t>
            </w:r>
          </w:p>
        </w:tc>
        <w:tc>
          <w:tcPr>
            <w:tcW w:w="1757" w:type="dxa"/>
            <w:vAlign w:val="center"/>
          </w:tcPr>
          <w:p>
            <w:pPr>
              <w:pStyle w:val="8"/>
              <w:spacing w:line="240" w:lineRule="atLeast"/>
              <w:ind w:firstLine="0" w:firstLineChars="0"/>
            </w:pPr>
            <w:r>
              <w:rPr>
                <w:rFonts w:hint="eastAsia"/>
              </w:rPr>
              <w:t xml:space="preserve">1.88 </w:t>
            </w:r>
          </w:p>
        </w:tc>
        <w:tc>
          <w:tcPr>
            <w:tcW w:w="1759" w:type="dxa"/>
            <w:vAlign w:val="center"/>
          </w:tcPr>
          <w:p>
            <w:pPr>
              <w:pStyle w:val="8"/>
              <w:spacing w:line="240" w:lineRule="atLeast"/>
              <w:ind w:firstLine="0" w:firstLineChars="0"/>
            </w:pPr>
            <w:r>
              <w:rPr>
                <w:rFonts w:hint="eastAsia"/>
              </w:rPr>
              <w:t>686.2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97" w:type="dxa"/>
            <w:vAlign w:val="center"/>
          </w:tcPr>
          <w:p>
            <w:pPr>
              <w:pStyle w:val="8"/>
              <w:spacing w:line="240" w:lineRule="atLeast"/>
              <w:ind w:firstLine="0" w:firstLineChars="0"/>
            </w:pPr>
            <w:r>
              <w:rPr>
                <w:rFonts w:hint="eastAsia"/>
              </w:rPr>
              <w:t>生长猪</w:t>
            </w:r>
          </w:p>
        </w:tc>
        <w:tc>
          <w:tcPr>
            <w:tcW w:w="1559" w:type="dxa"/>
            <w:vAlign w:val="center"/>
          </w:tcPr>
          <w:p>
            <w:pPr>
              <w:pStyle w:val="8"/>
              <w:spacing w:line="240" w:lineRule="atLeast"/>
              <w:ind w:firstLine="0" w:firstLineChars="0"/>
            </w:pPr>
            <w:r>
              <w:rPr>
                <w:rFonts w:hint="eastAsia"/>
              </w:rPr>
              <w:t>2340</w:t>
            </w:r>
          </w:p>
        </w:tc>
        <w:tc>
          <w:tcPr>
            <w:tcW w:w="2230" w:type="dxa"/>
            <w:vAlign w:val="center"/>
          </w:tcPr>
          <w:p>
            <w:pPr>
              <w:pStyle w:val="8"/>
              <w:spacing w:line="240" w:lineRule="atLeast"/>
              <w:ind w:firstLine="0" w:firstLineChars="0"/>
            </w:pPr>
            <w:r>
              <w:rPr>
                <w:rFonts w:hint="eastAsia"/>
              </w:rPr>
              <w:t>3.3</w:t>
            </w:r>
          </w:p>
        </w:tc>
        <w:tc>
          <w:tcPr>
            <w:tcW w:w="1757" w:type="dxa"/>
            <w:vAlign w:val="center"/>
          </w:tcPr>
          <w:p>
            <w:pPr>
              <w:pStyle w:val="8"/>
              <w:spacing w:line="240" w:lineRule="atLeast"/>
              <w:ind w:firstLine="0" w:firstLineChars="0"/>
            </w:pPr>
            <w:r>
              <w:rPr>
                <w:rFonts w:hint="eastAsia"/>
              </w:rPr>
              <w:t xml:space="preserve">7.72 </w:t>
            </w:r>
          </w:p>
        </w:tc>
        <w:tc>
          <w:tcPr>
            <w:tcW w:w="1759" w:type="dxa"/>
            <w:vAlign w:val="center"/>
          </w:tcPr>
          <w:p>
            <w:pPr>
              <w:pStyle w:val="8"/>
              <w:spacing w:line="240" w:lineRule="atLeast"/>
              <w:ind w:firstLine="0" w:firstLineChars="0"/>
            </w:pPr>
            <w:r>
              <w:rPr>
                <w:rFonts w:hint="eastAsia"/>
              </w:rPr>
              <w:t>2817.8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97" w:type="dxa"/>
            <w:vAlign w:val="center"/>
          </w:tcPr>
          <w:p>
            <w:pPr>
              <w:pStyle w:val="8"/>
              <w:spacing w:line="240" w:lineRule="atLeast"/>
              <w:ind w:firstLine="0" w:firstLineChars="0"/>
            </w:pPr>
            <w:r>
              <w:rPr>
                <w:rFonts w:hint="eastAsia"/>
              </w:rPr>
              <w:t>育肥猪</w:t>
            </w:r>
          </w:p>
        </w:tc>
        <w:tc>
          <w:tcPr>
            <w:tcW w:w="1559" w:type="dxa"/>
            <w:vAlign w:val="center"/>
          </w:tcPr>
          <w:p>
            <w:pPr>
              <w:pStyle w:val="8"/>
              <w:spacing w:line="240" w:lineRule="atLeast"/>
              <w:ind w:firstLine="0" w:firstLineChars="0"/>
            </w:pPr>
            <w:r>
              <w:rPr>
                <w:rFonts w:hint="eastAsia"/>
              </w:rPr>
              <w:t>1660</w:t>
            </w:r>
          </w:p>
        </w:tc>
        <w:tc>
          <w:tcPr>
            <w:tcW w:w="2230" w:type="dxa"/>
            <w:vAlign w:val="center"/>
          </w:tcPr>
          <w:p>
            <w:pPr>
              <w:pStyle w:val="8"/>
              <w:spacing w:line="240" w:lineRule="atLeast"/>
              <w:ind w:firstLine="0" w:firstLineChars="0"/>
            </w:pPr>
            <w:r>
              <w:rPr>
                <w:rFonts w:hint="eastAsia"/>
              </w:rPr>
              <w:t>3.3</w:t>
            </w:r>
          </w:p>
        </w:tc>
        <w:tc>
          <w:tcPr>
            <w:tcW w:w="1757" w:type="dxa"/>
            <w:vAlign w:val="center"/>
          </w:tcPr>
          <w:p>
            <w:pPr>
              <w:pStyle w:val="8"/>
              <w:spacing w:line="240" w:lineRule="atLeast"/>
              <w:ind w:firstLine="0" w:firstLineChars="0"/>
            </w:pPr>
            <w:r>
              <w:rPr>
                <w:rFonts w:hint="eastAsia"/>
              </w:rPr>
              <w:t xml:space="preserve">5.48 </w:t>
            </w:r>
          </w:p>
        </w:tc>
        <w:tc>
          <w:tcPr>
            <w:tcW w:w="1759" w:type="dxa"/>
            <w:vAlign w:val="center"/>
          </w:tcPr>
          <w:p>
            <w:pPr>
              <w:pStyle w:val="8"/>
              <w:spacing w:line="240" w:lineRule="atLeast"/>
              <w:ind w:firstLine="0" w:firstLineChars="0"/>
            </w:pPr>
            <w:r>
              <w:rPr>
                <w:rFonts w:hint="eastAsia"/>
              </w:rPr>
              <w:t>2000.2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97" w:type="dxa"/>
            <w:vAlign w:val="center"/>
          </w:tcPr>
          <w:p>
            <w:pPr>
              <w:pStyle w:val="8"/>
              <w:spacing w:line="240" w:lineRule="atLeast"/>
              <w:ind w:firstLine="0" w:firstLineChars="0"/>
            </w:pPr>
            <w:r>
              <w:rPr>
                <w:rFonts w:hint="eastAsia"/>
              </w:rPr>
              <w:t>合计</w:t>
            </w:r>
          </w:p>
        </w:tc>
        <w:tc>
          <w:tcPr>
            <w:tcW w:w="1559" w:type="dxa"/>
            <w:vAlign w:val="center"/>
          </w:tcPr>
          <w:p>
            <w:pPr>
              <w:pStyle w:val="8"/>
              <w:spacing w:line="240" w:lineRule="atLeast"/>
              <w:ind w:firstLine="0" w:firstLineChars="0"/>
            </w:pPr>
          </w:p>
        </w:tc>
        <w:tc>
          <w:tcPr>
            <w:tcW w:w="2230" w:type="dxa"/>
            <w:vAlign w:val="center"/>
          </w:tcPr>
          <w:p>
            <w:pPr>
              <w:pStyle w:val="8"/>
              <w:spacing w:line="240" w:lineRule="atLeast"/>
              <w:ind w:firstLine="0" w:firstLineChars="0"/>
            </w:pPr>
          </w:p>
        </w:tc>
        <w:tc>
          <w:tcPr>
            <w:tcW w:w="1757" w:type="dxa"/>
            <w:vAlign w:val="center"/>
          </w:tcPr>
          <w:p>
            <w:pPr>
              <w:pStyle w:val="8"/>
              <w:spacing w:line="240" w:lineRule="atLeast"/>
              <w:ind w:firstLine="0" w:firstLineChars="0"/>
            </w:pPr>
            <w:r>
              <w:rPr>
                <w:rFonts w:hint="eastAsia"/>
              </w:rPr>
              <w:t>15.08</w:t>
            </w:r>
          </w:p>
        </w:tc>
        <w:tc>
          <w:tcPr>
            <w:tcW w:w="1759" w:type="dxa"/>
            <w:vAlign w:val="center"/>
          </w:tcPr>
          <w:p>
            <w:pPr>
              <w:pStyle w:val="8"/>
              <w:spacing w:line="240" w:lineRule="atLeast"/>
              <w:ind w:firstLine="0" w:firstLineChars="0"/>
            </w:pPr>
            <w:r>
              <w:rPr>
                <w:rFonts w:hint="eastAsia"/>
              </w:rPr>
              <w:t>5504.2</w:t>
            </w:r>
          </w:p>
        </w:tc>
      </w:tr>
    </w:tbl>
    <w:p>
      <w:pPr>
        <w:spacing w:before="120" w:beforeLines="50"/>
        <w:ind w:firstLine="480"/>
        <w:rPr>
          <w:highlight w:val="yellow"/>
        </w:rPr>
      </w:pPr>
      <w:r>
        <w:t>根据</w:t>
      </w:r>
      <w:r>
        <w:rPr>
          <w:rFonts w:hint="eastAsia"/>
        </w:rPr>
        <w:t>上表计算结果可知：项目猪尿产生量5504.2</w:t>
      </w:r>
      <w:r>
        <w:t>m</w:t>
      </w:r>
      <w:r>
        <w:rPr>
          <w:vertAlign w:val="superscript"/>
        </w:rPr>
        <w:t>3</w:t>
      </w:r>
      <w:r>
        <w:t>/a；参照《畜禽养殖业污染治理工程技术导则》（HJ497-2009）中附录A，</w:t>
      </w:r>
      <w:r>
        <w:rPr>
          <w:rFonts w:hint="eastAsia"/>
        </w:rPr>
        <w:t>以及</w:t>
      </w:r>
      <w:r>
        <w:t>参照</w:t>
      </w:r>
      <w:r>
        <w:rPr>
          <w:rFonts w:hint="eastAsia"/>
        </w:rPr>
        <w:t>《规模畜禽养殖场污染防治最佳可行性技术指南（试行）》</w:t>
      </w:r>
      <w:r>
        <w:t>（HJ-BAT-10）</w:t>
      </w:r>
      <w:r>
        <w:rPr>
          <w:rFonts w:hint="eastAsia"/>
        </w:rPr>
        <w:t>表2和类比同类工程，本项目</w:t>
      </w:r>
      <w:r>
        <w:t>猪尿</w:t>
      </w:r>
      <w:r>
        <w:rPr>
          <w:rFonts w:hint="eastAsia"/>
        </w:rPr>
        <w:t>废水中主要污染物为</w:t>
      </w:r>
      <w:r>
        <w:t>CODcr、氨氮、TN、TP，产生浓度分别取为：</w:t>
      </w:r>
      <w:r>
        <w:rPr>
          <w:rFonts w:hint="eastAsia"/>
        </w:rPr>
        <w:t>2640</w:t>
      </w:r>
      <w:r>
        <w:t>mg/L、</w:t>
      </w:r>
      <w:r>
        <w:rPr>
          <w:rFonts w:hint="eastAsia"/>
        </w:rPr>
        <w:t>590</w:t>
      </w:r>
      <w:r>
        <w:t>mg/L、</w:t>
      </w:r>
      <w:r>
        <w:rPr>
          <w:rFonts w:hint="eastAsia"/>
        </w:rPr>
        <w:t>8</w:t>
      </w:r>
      <w:r>
        <w:t>70mg/L、</w:t>
      </w:r>
      <w:r>
        <w:rPr>
          <w:rFonts w:hint="eastAsia"/>
        </w:rPr>
        <w:t>127</w:t>
      </w:r>
      <w:r>
        <w:t>mg/L，</w:t>
      </w:r>
      <w:r>
        <w:rPr>
          <w:rFonts w:hint="eastAsia"/>
        </w:rPr>
        <w:t>则项目</w:t>
      </w:r>
      <w:r>
        <w:t>CODcr、氨氮、TN、TP</w:t>
      </w:r>
      <w:r>
        <w:rPr>
          <w:rFonts w:hint="eastAsia"/>
        </w:rPr>
        <w:t>产生量分别为：14.53t/a、3.25t/a、4.79t/a、0.70t/a。</w:t>
      </w:r>
    </w:p>
    <w:p>
      <w:pPr>
        <w:ind w:firstLine="480"/>
      </w:pPr>
      <w:r>
        <w:rPr>
          <w:rFonts w:hint="eastAsia"/>
        </w:rPr>
        <w:t>猪尿与猪粪通过水泥漏缝直接落入猪舍下面的集污池中，集污池内的粪尿经过潜污泵泵入异位发酵床的垫料上，被微生物菌群进行好氧发酵，由于生物发酵过程产生一定的热量，猪尿中的水分大部分随热量挥发损失，少量滞留在垫料层中，维持垫料的湿度，以满足微生物发酵所需湿度条件。因此，猪舍无养殖废水产生与外排。</w:t>
      </w:r>
    </w:p>
    <w:p>
      <w:pPr>
        <w:ind w:firstLine="480"/>
      </w:pPr>
      <w:r>
        <w:t>（2）</w:t>
      </w:r>
      <w:r>
        <w:rPr>
          <w:rFonts w:hint="eastAsia"/>
        </w:rPr>
        <w:t>猪舍消毒废水</w:t>
      </w:r>
    </w:p>
    <w:p>
      <w:pPr>
        <w:ind w:firstLine="480"/>
      </w:pPr>
      <w:r>
        <w:t>建设单位定期对猪舍进行消毒以防止病变，</w:t>
      </w:r>
      <w:r>
        <w:rPr>
          <w:rFonts w:hint="eastAsia"/>
        </w:rPr>
        <w:t>带猪消毒一般采用喷嘴向猪舍喷雾，单次喷雾消毒的用水量较少，在消毒过程中水份直接挥发，在地面不会形成径流，基本上没有废水产生。</w:t>
      </w:r>
    </w:p>
    <w:p>
      <w:pPr>
        <w:ind w:firstLine="480"/>
      </w:pPr>
      <w:r>
        <w:t>空舍消毒是指整栋猪舍的猪全部出栏后，采用消毒液对整栋猪舍进行冲洗。本环评按</w:t>
      </w:r>
      <w:r>
        <w:rPr>
          <w:rFonts w:hint="eastAsia"/>
        </w:rPr>
        <w:t>育肥舍</w:t>
      </w:r>
      <w:r>
        <w:t>每栋猪舍一年平均空舍消毒</w:t>
      </w:r>
      <w:r>
        <w:rPr>
          <w:rFonts w:hint="eastAsia"/>
        </w:rPr>
        <w:t>2</w:t>
      </w:r>
      <w:r>
        <w:t>次计</w:t>
      </w:r>
      <w:r>
        <w:rPr>
          <w:rFonts w:hint="eastAsia"/>
        </w:rPr>
        <w:t>，</w:t>
      </w:r>
      <w:r>
        <w:t>类比同类项目，冲洗用水量按2m</w:t>
      </w:r>
      <w:r>
        <w:rPr>
          <w:vertAlign w:val="superscript"/>
        </w:rPr>
        <w:t>3</w:t>
      </w:r>
      <w:r>
        <w:t>/100m</w:t>
      </w:r>
      <w:r>
        <w:rPr>
          <w:vertAlign w:val="superscript"/>
        </w:rPr>
        <w:t>2</w:t>
      </w:r>
      <w:r>
        <w:t>·次计，项目</w:t>
      </w:r>
      <w:r>
        <w:rPr>
          <w:rFonts w:hint="eastAsia"/>
        </w:rPr>
        <w:t>育肥舍</w:t>
      </w:r>
      <w:r>
        <w:t>面积为</w:t>
      </w:r>
      <w:r>
        <w:rPr>
          <w:rFonts w:hint="eastAsia"/>
        </w:rPr>
        <w:t>4722</w:t>
      </w:r>
      <w:r>
        <w:t>m</w:t>
      </w:r>
      <w:r>
        <w:rPr>
          <w:vertAlign w:val="superscript"/>
        </w:rPr>
        <w:t>2</w:t>
      </w:r>
      <w:r>
        <w:t>，猪舍出栏全部冲洗一次用水量为</w:t>
      </w:r>
      <w:r>
        <w:rPr>
          <w:rFonts w:hint="eastAsia"/>
        </w:rPr>
        <w:t>94.4</w:t>
      </w:r>
      <w:r>
        <w:t>m</w:t>
      </w:r>
      <w:r>
        <w:rPr>
          <w:vertAlign w:val="superscript"/>
        </w:rPr>
        <w:t>3</w:t>
      </w:r>
      <w:r>
        <w:t>/次，年用水量为</w:t>
      </w:r>
      <w:r>
        <w:rPr>
          <w:rFonts w:hint="eastAsia"/>
        </w:rPr>
        <w:t>188.8</w:t>
      </w:r>
      <w:r>
        <w:t>m</w:t>
      </w:r>
      <w:r>
        <w:rPr>
          <w:vertAlign w:val="superscript"/>
        </w:rPr>
        <w:t>3</w:t>
      </w:r>
      <w:r>
        <w:t>/a，废水产生系数取0.</w:t>
      </w:r>
      <w:r>
        <w:rPr>
          <w:rFonts w:hint="eastAsia"/>
        </w:rPr>
        <w:t>9</w:t>
      </w:r>
      <w:r>
        <w:t>，则项目冲洗废水产生量为</w:t>
      </w:r>
      <w:r>
        <w:rPr>
          <w:rFonts w:hint="eastAsia"/>
        </w:rPr>
        <w:t>170m</w:t>
      </w:r>
      <w:r>
        <w:rPr>
          <w:vertAlign w:val="superscript"/>
        </w:rPr>
        <w:t>3</w:t>
      </w:r>
      <w:r>
        <w:t>/a</w:t>
      </w:r>
      <w:r>
        <w:rPr>
          <w:rFonts w:hint="eastAsia"/>
        </w:rPr>
        <w:t>。</w:t>
      </w:r>
    </w:p>
    <w:p>
      <w:pPr>
        <w:ind w:firstLine="480"/>
      </w:pPr>
      <w:r>
        <w:t>参照《畜禽养殖业污染治理工程技术导则》（HJ497-2009）附录A</w:t>
      </w:r>
      <w:r>
        <w:rPr>
          <w:rFonts w:hint="eastAsia"/>
        </w:rPr>
        <w:t>中干清粪工艺</w:t>
      </w:r>
      <w:r>
        <w:t>，猪舍消毒冲洗废水主要污染物为CODcr、氨氮、TN、TP，产生浓度分别为：2640mg/L、261mg/L、370mg/L、43.5mg/L，则</w:t>
      </w:r>
      <w:r>
        <w:rPr>
          <w:rFonts w:hint="eastAsia"/>
        </w:rPr>
        <w:t>项目消毒废水</w:t>
      </w:r>
      <w:r>
        <w:t>CODcr、氨氮、TN、TP</w:t>
      </w:r>
      <w:r>
        <w:rPr>
          <w:rFonts w:hint="eastAsia"/>
        </w:rPr>
        <w:t>产生量分别为：0.45</w:t>
      </w:r>
      <w:r>
        <w:t>t/a</w:t>
      </w:r>
      <w:r>
        <w:rPr>
          <w:rFonts w:hint="eastAsia"/>
        </w:rPr>
        <w:t>、0.04</w:t>
      </w:r>
      <w:r>
        <w:t>t/a</w:t>
      </w:r>
      <w:r>
        <w:rPr>
          <w:rFonts w:hint="eastAsia"/>
        </w:rPr>
        <w:t>、0.06</w:t>
      </w:r>
      <w:r>
        <w:t>t/a</w:t>
      </w:r>
      <w:r>
        <w:rPr>
          <w:rFonts w:hint="eastAsia"/>
        </w:rPr>
        <w:t>、0.007</w:t>
      </w:r>
      <w:r>
        <w:t>t/a</w:t>
      </w:r>
      <w:r>
        <w:rPr>
          <w:rFonts w:hint="eastAsia"/>
        </w:rPr>
        <w:t>。</w:t>
      </w:r>
    </w:p>
    <w:p>
      <w:pPr>
        <w:ind w:firstLine="480"/>
      </w:pPr>
      <w:r>
        <w:rPr>
          <w:rFonts w:hint="eastAsia"/>
        </w:rPr>
        <w:t>猪舍空栏冲洗水直接进入各自猪舍下面的集污池中，再经过潜污泵泵入异位发酵床的垫料上，被微生物菌群进行好氧发酵。</w:t>
      </w:r>
    </w:p>
    <w:p>
      <w:pPr>
        <w:ind w:firstLine="480"/>
      </w:pPr>
      <w:r>
        <w:t>（3）生活废水</w:t>
      </w:r>
    </w:p>
    <w:p>
      <w:pPr>
        <w:ind w:firstLine="480"/>
      </w:pPr>
      <w:r>
        <w:t>项目建成后劳动定员</w:t>
      </w:r>
      <w:r>
        <w:rPr>
          <w:rFonts w:hint="eastAsia"/>
        </w:rPr>
        <w:t>分布为6人</w:t>
      </w:r>
      <w:r>
        <w:t>，均在场内食宿，用水量按每人每天100L计算，员工生活用水量为</w:t>
      </w:r>
      <w:r>
        <w:rPr>
          <w:rFonts w:hint="eastAsia"/>
        </w:rPr>
        <w:t>219</w:t>
      </w:r>
      <w:r>
        <w:t>m</w:t>
      </w:r>
      <w:r>
        <w:rPr>
          <w:vertAlign w:val="superscript"/>
        </w:rPr>
        <w:t>3</w:t>
      </w:r>
      <w:r>
        <w:t>/</w:t>
      </w:r>
      <w:r>
        <w:rPr>
          <w:rFonts w:hint="eastAsia"/>
        </w:rPr>
        <w:t>a（0.6</w:t>
      </w:r>
      <w:r>
        <w:t>m</w:t>
      </w:r>
      <w:r>
        <w:rPr>
          <w:vertAlign w:val="superscript"/>
        </w:rPr>
        <w:t>3</w:t>
      </w:r>
      <w:r>
        <w:t>/</w:t>
      </w:r>
      <w:r>
        <w:rPr>
          <w:rFonts w:hint="eastAsia"/>
        </w:rPr>
        <w:t>d）</w:t>
      </w:r>
      <w:r>
        <w:t>，废水排放系数取0.8，废水排放量为</w:t>
      </w:r>
      <w:r>
        <w:rPr>
          <w:rFonts w:hint="eastAsia"/>
        </w:rPr>
        <w:t>175.2</w:t>
      </w:r>
      <w:r>
        <w:t>m</w:t>
      </w:r>
      <w:r>
        <w:rPr>
          <w:vertAlign w:val="superscript"/>
        </w:rPr>
        <w:t>3</w:t>
      </w:r>
      <w:r>
        <w:t>/d。</w:t>
      </w:r>
    </w:p>
    <w:p>
      <w:pPr>
        <w:ind w:firstLine="480"/>
      </w:pPr>
      <w:r>
        <w:t>生活废水中主要污染物为COD</w:t>
      </w:r>
      <w:r>
        <w:rPr>
          <w:vertAlign w:val="subscript"/>
        </w:rPr>
        <w:t>Cr</w:t>
      </w:r>
      <w:r>
        <w:t>、氨氮</w:t>
      </w:r>
      <w:r>
        <w:rPr>
          <w:rFonts w:hint="eastAsia"/>
        </w:rPr>
        <w:t>、总氮、总磷</w:t>
      </w:r>
      <w:r>
        <w:t>等，类比同类生活污水水质，COD</w:t>
      </w:r>
      <w:r>
        <w:rPr>
          <w:vertAlign w:val="subscript"/>
        </w:rPr>
        <w:t>Cr</w:t>
      </w:r>
      <w:r>
        <w:t>、氨氮</w:t>
      </w:r>
      <w:r>
        <w:rPr>
          <w:rFonts w:hint="eastAsia"/>
        </w:rPr>
        <w:t>、总氮、总磷</w:t>
      </w:r>
      <w:r>
        <w:t>初始浓度分别为250mg/L、</w:t>
      </w:r>
      <w:r>
        <w:rPr>
          <w:rFonts w:hint="eastAsia"/>
        </w:rPr>
        <w:t>3</w:t>
      </w:r>
      <w:r>
        <w:t>0mg/L、</w:t>
      </w:r>
      <w:r>
        <w:rPr>
          <w:rFonts w:hint="eastAsia"/>
        </w:rPr>
        <w:t>5</w:t>
      </w:r>
      <w:r>
        <w:t>0mg/L、</w:t>
      </w:r>
      <w:r>
        <w:rPr>
          <w:rFonts w:hint="eastAsia"/>
        </w:rPr>
        <w:t>5</w:t>
      </w:r>
      <w:r>
        <w:t>mg/L，废水中COD</w:t>
      </w:r>
      <w:r>
        <w:rPr>
          <w:vertAlign w:val="subscript"/>
        </w:rPr>
        <w:t>Cr</w:t>
      </w:r>
      <w:r>
        <w:t>、氨氮</w:t>
      </w:r>
      <w:r>
        <w:rPr>
          <w:rFonts w:hint="eastAsia"/>
        </w:rPr>
        <w:t>、总氮、总磷</w:t>
      </w:r>
      <w:r>
        <w:t>产生量为</w:t>
      </w:r>
      <w:r>
        <w:rPr>
          <w:rFonts w:hint="eastAsia"/>
        </w:rPr>
        <w:t>分别为：0.04</w:t>
      </w:r>
      <w:r>
        <w:t>t/a</w:t>
      </w:r>
      <w:r>
        <w:rPr>
          <w:rFonts w:hint="eastAsia"/>
        </w:rPr>
        <w:t>、0.005</w:t>
      </w:r>
      <w:r>
        <w:t>t/a</w:t>
      </w:r>
      <w:r>
        <w:rPr>
          <w:rFonts w:hint="eastAsia"/>
        </w:rPr>
        <w:t>、0.008</w:t>
      </w:r>
      <w:r>
        <w:t>t/a</w:t>
      </w:r>
      <w:r>
        <w:rPr>
          <w:rFonts w:hint="eastAsia"/>
        </w:rPr>
        <w:t>、0.0008</w:t>
      </w:r>
      <w:r>
        <w:t>t/a</w:t>
      </w:r>
      <w:r>
        <w:rPr>
          <w:rFonts w:hint="eastAsia"/>
        </w:rPr>
        <w:t>。</w:t>
      </w:r>
    </w:p>
    <w:p>
      <w:pPr>
        <w:ind w:firstLine="480"/>
      </w:pPr>
      <w:r>
        <w:rPr>
          <w:rFonts w:hint="eastAsia"/>
        </w:rPr>
        <w:t>生活废水经化粪池处理后，经过潜污泵泵入异位发酵床的垫料上，被微生物菌群进行好氧发酵。</w:t>
      </w:r>
    </w:p>
    <w:p>
      <w:pPr>
        <w:ind w:firstLine="480"/>
      </w:pPr>
      <w:r>
        <w:rPr>
          <w:rFonts w:hint="eastAsia"/>
        </w:rPr>
        <w:t>综上所述，项目废水产生量</w:t>
      </w:r>
      <w:r>
        <w:t>为</w:t>
      </w:r>
      <w:r>
        <w:rPr>
          <w:rFonts w:hint="eastAsia"/>
        </w:rPr>
        <w:t>5849.4</w:t>
      </w:r>
      <w:r>
        <w:t>m</w:t>
      </w:r>
      <w:r>
        <w:rPr>
          <w:vertAlign w:val="superscript"/>
        </w:rPr>
        <w:t>3</w:t>
      </w:r>
      <w:r>
        <w:t>/a，</w:t>
      </w:r>
      <w:r>
        <w:rPr>
          <w:rFonts w:hint="eastAsia"/>
        </w:rPr>
        <w:t>项目废水进入发酵床进行处理，无废水外排水环境，本工程不设废水排放口。</w:t>
      </w:r>
    </w:p>
    <w:p>
      <w:pPr>
        <w:pStyle w:val="6"/>
      </w:pPr>
      <w:r>
        <w:rPr>
          <w:rFonts w:hint="eastAsia"/>
        </w:rPr>
        <w:t>2.4.2.2</w:t>
      </w:r>
      <w:r>
        <w:t>废气污染源</w:t>
      </w:r>
    </w:p>
    <w:p>
      <w:pPr>
        <w:spacing w:before="120" w:beforeLines="50"/>
        <w:ind w:firstLine="480"/>
      </w:pPr>
      <w:r>
        <w:rPr>
          <w:rFonts w:hint="eastAsia"/>
        </w:rPr>
        <w:t>本工程所需饲料均外购成品饲料，无需在厂内进行饲料加工，则不会产生饲料加工废气。</w:t>
      </w:r>
      <w:r>
        <w:t>项目养殖过程产生的</w:t>
      </w:r>
      <w:r>
        <w:rPr>
          <w:rFonts w:hint="eastAsia"/>
        </w:rPr>
        <w:t>废气有猪舍及其集污池、发酵床产生的恶臭气体，备用发电机烟气以及食堂产生的油烟废气</w:t>
      </w:r>
      <w:r>
        <w:t>。</w:t>
      </w:r>
    </w:p>
    <w:p>
      <w:pPr>
        <w:ind w:firstLine="480"/>
      </w:pPr>
      <w:r>
        <w:t>（1）恶臭</w:t>
      </w:r>
      <w:r>
        <w:rPr>
          <w:rFonts w:hint="eastAsia"/>
        </w:rPr>
        <w:t>气体</w:t>
      </w:r>
    </w:p>
    <w:p>
      <w:pPr>
        <w:ind w:firstLine="480"/>
      </w:pPr>
      <w:r>
        <w:rPr>
          <w:rFonts w:hint="eastAsia"/>
        </w:rPr>
        <w:t>①猪舍臭气</w:t>
      </w:r>
    </w:p>
    <w:p>
      <w:pPr>
        <w:ind w:firstLine="480"/>
      </w:pPr>
      <w:r>
        <w:rPr>
          <w:rFonts w:hint="eastAsia"/>
        </w:rPr>
        <w:t>养殖场</w:t>
      </w:r>
      <w:r>
        <w:t>恶臭主要来源于猪场中含蛋白质的废弃物（包括粪、尿、皮肤、毛、饲料）的厌氧分解存所产生的臭气，</w:t>
      </w:r>
      <w:r>
        <w:rPr>
          <w:rFonts w:hint="eastAsia"/>
        </w:rPr>
        <w:t>此外，猪只消化道排出气体、皮脂腺和汗腺的分泌物、粘附在体表的污物、畜体外激素也会散发出猪特有的难闻气味。</w:t>
      </w:r>
      <w:r>
        <w:t>根据有关资料介绍，引起猪场恶臭的物质经鉴定有160种以上化合物。包括多种挥发性有机酸类、醇类、醛类、碳酰类、酯类、胺类、硫化物、硫醇、氨、二氧化氮、二氧化硫以及含氮杂环类物质。其中主要有四大类化合物：挥发性脂肪酸，酚类化合物，吲哚，沼气。</w:t>
      </w:r>
      <w:r>
        <w:rPr>
          <w:rFonts w:hint="eastAsia"/>
        </w:rPr>
        <w:t>相关研究表明，</w:t>
      </w:r>
      <w:r>
        <w:t>养殖场</w:t>
      </w:r>
      <w:r>
        <w:rPr>
          <w:rFonts w:hint="eastAsia"/>
        </w:rPr>
        <w:t>恶臭气体主要成份为</w:t>
      </w:r>
      <w:r>
        <w:t>NH</w:t>
      </w:r>
      <w:r>
        <w:rPr>
          <w:vertAlign w:val="subscript"/>
        </w:rPr>
        <w:t>3</w:t>
      </w:r>
      <w:r>
        <w:t>和H</w:t>
      </w:r>
      <w:r>
        <w:rPr>
          <w:vertAlign w:val="subscript"/>
        </w:rPr>
        <w:t>2</w:t>
      </w:r>
      <w:r>
        <w:t>S。由于NH</w:t>
      </w:r>
      <w:r>
        <w:rPr>
          <w:vertAlign w:val="subscript"/>
        </w:rPr>
        <w:t>3</w:t>
      </w:r>
      <w:r>
        <w:t>、H</w:t>
      </w:r>
      <w:r>
        <w:rPr>
          <w:vertAlign w:val="subscript"/>
        </w:rPr>
        <w:t>2</w:t>
      </w:r>
      <w:r>
        <w:t>S属于无组织排放源，难以进行准确定量分析，因此采用类比方法或采用经验系数对NH</w:t>
      </w:r>
      <w:r>
        <w:rPr>
          <w:vertAlign w:val="subscript"/>
        </w:rPr>
        <w:t>3</w:t>
      </w:r>
      <w:r>
        <w:t>、H</w:t>
      </w:r>
      <w:r>
        <w:rPr>
          <w:vertAlign w:val="subscript"/>
        </w:rPr>
        <w:t>2</w:t>
      </w:r>
      <w:r>
        <w:t>S的产生量进行估算具有较强的实用性和推广价值。</w:t>
      </w:r>
    </w:p>
    <w:p>
      <w:pPr>
        <w:ind w:firstLine="480"/>
      </w:pPr>
      <w:r>
        <w:t>根据孙艳青，张潞，李万庆等发布在《环境污染防治技术研究与开发：中国环境科学学会学术年会论文集》（2010: 3237－3238）上的《养猪场恶臭影响量化分析及控制对策研究》论文中发布的研究结论：仔猪NH</w:t>
      </w:r>
      <w:r>
        <w:rPr>
          <w:vertAlign w:val="subscript"/>
        </w:rPr>
        <w:t>3</w:t>
      </w:r>
      <w:r>
        <w:t>排放量为0.6~0.8g/头·d、H</w:t>
      </w:r>
      <w:r>
        <w:rPr>
          <w:vertAlign w:val="subscript"/>
        </w:rPr>
        <w:t>2</w:t>
      </w:r>
      <w:r>
        <w:t>S为0.2g/头·d；中猪NH</w:t>
      </w:r>
      <w:r>
        <w:rPr>
          <w:vertAlign w:val="subscript"/>
        </w:rPr>
        <w:t>3</w:t>
      </w:r>
      <w:r>
        <w:t>排放量为1.9～2.1 g /头·d，H</w:t>
      </w:r>
      <w:r>
        <w:rPr>
          <w:vertAlign w:val="subscript"/>
        </w:rPr>
        <w:t>2</w:t>
      </w:r>
      <w:r>
        <w:t>S0.3 g /头·d，大猪的NH</w:t>
      </w:r>
      <w:r>
        <w:rPr>
          <w:vertAlign w:val="subscript"/>
        </w:rPr>
        <w:t>3</w:t>
      </w:r>
      <w:r>
        <w:t>排放量为5.</w:t>
      </w:r>
      <w:r>
        <w:rPr>
          <w:rFonts w:hint="eastAsia"/>
        </w:rPr>
        <w:t>3</w:t>
      </w:r>
      <w:r>
        <w:t>～5.7 g /头·d、H</w:t>
      </w:r>
      <w:r>
        <w:rPr>
          <w:vertAlign w:val="subscript"/>
        </w:rPr>
        <w:t>2</w:t>
      </w:r>
      <w:r>
        <w:t>S氢0.5g /头·d，母猪NH</w:t>
      </w:r>
      <w:r>
        <w:rPr>
          <w:vertAlign w:val="subscript"/>
        </w:rPr>
        <w:t>3</w:t>
      </w:r>
      <w:r>
        <w:t>5.3 g/头·d、H</w:t>
      </w:r>
      <w:r>
        <w:rPr>
          <w:vertAlign w:val="subscript"/>
        </w:rPr>
        <w:t>2</w:t>
      </w:r>
      <w:r>
        <w:t>S0.8 g/头·d。本项目猪舍散发的恶臭情况见表</w:t>
      </w:r>
      <w:r>
        <w:rPr>
          <w:rFonts w:hint="eastAsia"/>
        </w:rPr>
        <w:t>2.4-6</w:t>
      </w:r>
      <w:r>
        <w:t>。</w:t>
      </w:r>
    </w:p>
    <w:p>
      <w:pPr>
        <w:pStyle w:val="11"/>
      </w:pPr>
      <w:r>
        <w:t xml:space="preserve">表2.4- </w:t>
      </w:r>
      <w:r>
        <w:fldChar w:fldCharType="begin"/>
      </w:r>
      <w:r>
        <w:instrText xml:space="preserve"> SEQ 表2.4- \* ARABIC </w:instrText>
      </w:r>
      <w:r>
        <w:fldChar w:fldCharType="separate"/>
      </w:r>
      <w:r>
        <w:t>6</w:t>
      </w:r>
      <w:r>
        <w:fldChar w:fldCharType="end"/>
      </w:r>
      <w:r>
        <w:rPr>
          <w:rFonts w:hint="eastAsia"/>
        </w:rPr>
        <w:t xml:space="preserve">  猪场恶臭产生情况一览表 </w:t>
      </w:r>
    </w:p>
    <w:tbl>
      <w:tblPr>
        <w:tblStyle w:val="21"/>
        <w:tblW w:w="90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12"/>
        <w:gridCol w:w="1136"/>
        <w:gridCol w:w="1421"/>
        <w:gridCol w:w="1315"/>
        <w:gridCol w:w="957"/>
        <w:gridCol w:w="836"/>
        <w:gridCol w:w="889"/>
        <w:gridCol w:w="10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1512" w:type="dxa"/>
            <w:vMerge w:val="restart"/>
            <w:vAlign w:val="center"/>
          </w:tcPr>
          <w:p>
            <w:pPr>
              <w:pStyle w:val="8"/>
              <w:ind w:firstLine="0" w:firstLineChars="0"/>
            </w:pPr>
            <w:r>
              <w:t>项目</w:t>
            </w:r>
          </w:p>
        </w:tc>
        <w:tc>
          <w:tcPr>
            <w:tcW w:w="2557" w:type="dxa"/>
            <w:gridSpan w:val="2"/>
            <w:vAlign w:val="center"/>
          </w:tcPr>
          <w:p>
            <w:pPr>
              <w:pStyle w:val="8"/>
              <w:ind w:firstLine="0" w:firstLineChars="0"/>
            </w:pPr>
            <w:r>
              <w:t>恶臭产生系数（g/头·d）</w:t>
            </w:r>
          </w:p>
        </w:tc>
        <w:tc>
          <w:tcPr>
            <w:tcW w:w="1315" w:type="dxa"/>
            <w:vMerge w:val="restart"/>
            <w:vAlign w:val="center"/>
          </w:tcPr>
          <w:p>
            <w:pPr>
              <w:pStyle w:val="8"/>
              <w:ind w:firstLine="0" w:firstLineChars="0"/>
            </w:pPr>
            <w:r>
              <w:t>存栏量（头）</w:t>
            </w:r>
          </w:p>
        </w:tc>
        <w:tc>
          <w:tcPr>
            <w:tcW w:w="1793" w:type="dxa"/>
            <w:gridSpan w:val="2"/>
            <w:vAlign w:val="center"/>
          </w:tcPr>
          <w:p>
            <w:pPr>
              <w:pStyle w:val="8"/>
              <w:ind w:firstLine="0" w:firstLineChars="0"/>
            </w:pPr>
            <w:r>
              <w:t>日产生量（kg/d）</w:t>
            </w:r>
          </w:p>
        </w:tc>
        <w:tc>
          <w:tcPr>
            <w:tcW w:w="1900" w:type="dxa"/>
            <w:gridSpan w:val="2"/>
            <w:vAlign w:val="center"/>
          </w:tcPr>
          <w:p>
            <w:pPr>
              <w:pStyle w:val="8"/>
              <w:ind w:firstLine="0" w:firstLineChars="0"/>
            </w:pPr>
            <w:r>
              <w:t>年产生量（t/a）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1512" w:type="dxa"/>
            <w:vMerge w:val="continue"/>
            <w:vAlign w:val="center"/>
          </w:tcPr>
          <w:p>
            <w:pPr>
              <w:pStyle w:val="8"/>
              <w:ind w:firstLine="0" w:firstLineChars="0"/>
            </w:pPr>
          </w:p>
        </w:tc>
        <w:tc>
          <w:tcPr>
            <w:tcW w:w="1136" w:type="dxa"/>
            <w:vAlign w:val="center"/>
          </w:tcPr>
          <w:p>
            <w:pPr>
              <w:pStyle w:val="8"/>
              <w:ind w:firstLine="0" w:firstLineChars="0"/>
            </w:pPr>
            <w:r>
              <w:t>NH</w:t>
            </w:r>
            <w:r>
              <w:rPr>
                <w:vertAlign w:val="subscript"/>
              </w:rPr>
              <w:t>3</w:t>
            </w:r>
          </w:p>
        </w:tc>
        <w:tc>
          <w:tcPr>
            <w:tcW w:w="1421" w:type="dxa"/>
            <w:vAlign w:val="center"/>
          </w:tcPr>
          <w:p>
            <w:pPr>
              <w:pStyle w:val="8"/>
              <w:ind w:firstLine="0" w:firstLineChars="0"/>
            </w:pPr>
            <w:r>
              <w:t>H</w:t>
            </w:r>
            <w:r>
              <w:rPr>
                <w:vertAlign w:val="subscript"/>
              </w:rPr>
              <w:t>2</w:t>
            </w:r>
            <w:r>
              <w:t>S</w:t>
            </w:r>
          </w:p>
        </w:tc>
        <w:tc>
          <w:tcPr>
            <w:tcW w:w="1315" w:type="dxa"/>
            <w:vMerge w:val="continue"/>
            <w:vAlign w:val="center"/>
          </w:tcPr>
          <w:p>
            <w:pPr>
              <w:pStyle w:val="8"/>
              <w:ind w:firstLine="0" w:firstLineChars="0"/>
            </w:pPr>
          </w:p>
        </w:tc>
        <w:tc>
          <w:tcPr>
            <w:tcW w:w="957" w:type="dxa"/>
            <w:vAlign w:val="center"/>
          </w:tcPr>
          <w:p>
            <w:pPr>
              <w:pStyle w:val="8"/>
              <w:ind w:firstLine="0" w:firstLineChars="0"/>
            </w:pPr>
            <w:r>
              <w:t>NH</w:t>
            </w:r>
            <w:r>
              <w:rPr>
                <w:vertAlign w:val="subscript"/>
              </w:rPr>
              <w:t>3</w:t>
            </w:r>
          </w:p>
        </w:tc>
        <w:tc>
          <w:tcPr>
            <w:tcW w:w="836" w:type="dxa"/>
            <w:vAlign w:val="center"/>
          </w:tcPr>
          <w:p>
            <w:pPr>
              <w:pStyle w:val="8"/>
              <w:ind w:firstLine="0" w:firstLineChars="0"/>
            </w:pPr>
            <w:r>
              <w:t>H</w:t>
            </w:r>
            <w:r>
              <w:rPr>
                <w:vertAlign w:val="subscript"/>
              </w:rPr>
              <w:t>2</w:t>
            </w:r>
            <w:r>
              <w:t>S</w:t>
            </w:r>
          </w:p>
        </w:tc>
        <w:tc>
          <w:tcPr>
            <w:tcW w:w="889" w:type="dxa"/>
            <w:vAlign w:val="center"/>
          </w:tcPr>
          <w:p>
            <w:pPr>
              <w:pStyle w:val="8"/>
              <w:ind w:firstLine="0" w:firstLineChars="0"/>
            </w:pPr>
            <w:r>
              <w:t>NH</w:t>
            </w:r>
            <w:r>
              <w:rPr>
                <w:vertAlign w:val="subscript"/>
              </w:rPr>
              <w:t>3</w:t>
            </w:r>
          </w:p>
        </w:tc>
        <w:tc>
          <w:tcPr>
            <w:tcW w:w="1011" w:type="dxa"/>
            <w:vAlign w:val="center"/>
          </w:tcPr>
          <w:p>
            <w:pPr>
              <w:pStyle w:val="8"/>
              <w:ind w:firstLine="0" w:firstLineChars="0"/>
            </w:pPr>
            <w:r>
              <w:t>H</w:t>
            </w:r>
            <w:r>
              <w:rPr>
                <w:vertAlign w:val="subscript"/>
              </w:rPr>
              <w:t>2</w:t>
            </w:r>
            <w: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1512" w:type="dxa"/>
            <w:vAlign w:val="center"/>
          </w:tcPr>
          <w:p>
            <w:pPr>
              <w:pStyle w:val="8"/>
              <w:ind w:firstLine="0" w:firstLineChars="0"/>
            </w:pPr>
            <w:r>
              <w:rPr>
                <w:rFonts w:hint="eastAsia"/>
              </w:rPr>
              <w:t>保育猪</w:t>
            </w:r>
          </w:p>
        </w:tc>
        <w:tc>
          <w:tcPr>
            <w:tcW w:w="1136" w:type="dxa"/>
            <w:vAlign w:val="center"/>
          </w:tcPr>
          <w:p>
            <w:pPr>
              <w:pStyle w:val="8"/>
              <w:ind w:firstLine="0" w:firstLineChars="0"/>
            </w:pPr>
            <w:r>
              <w:rPr>
                <w:rFonts w:hint="eastAsia"/>
              </w:rPr>
              <w:t>0.8</w:t>
            </w:r>
          </w:p>
        </w:tc>
        <w:tc>
          <w:tcPr>
            <w:tcW w:w="1421" w:type="dxa"/>
            <w:vAlign w:val="center"/>
          </w:tcPr>
          <w:p>
            <w:pPr>
              <w:pStyle w:val="8"/>
              <w:ind w:firstLine="0" w:firstLineChars="0"/>
            </w:pPr>
            <w:r>
              <w:rPr>
                <w:rFonts w:hint="eastAsia"/>
              </w:rPr>
              <w:t>0.2</w:t>
            </w:r>
          </w:p>
        </w:tc>
        <w:tc>
          <w:tcPr>
            <w:tcW w:w="1315" w:type="dxa"/>
            <w:vAlign w:val="center"/>
          </w:tcPr>
          <w:p>
            <w:pPr>
              <w:pStyle w:val="8"/>
              <w:ind w:firstLine="0" w:firstLineChars="0"/>
            </w:pPr>
            <w:r>
              <w:rPr>
                <w:rFonts w:hint="eastAsia"/>
              </w:rPr>
              <w:t>1000</w:t>
            </w:r>
          </w:p>
        </w:tc>
        <w:tc>
          <w:tcPr>
            <w:tcW w:w="957" w:type="dxa"/>
            <w:vAlign w:val="center"/>
          </w:tcPr>
          <w:p>
            <w:pPr>
              <w:pStyle w:val="8"/>
              <w:ind w:firstLine="0" w:firstLineChars="0"/>
            </w:pPr>
            <w:r>
              <w:rPr>
                <w:rFonts w:hint="eastAsia"/>
              </w:rPr>
              <w:t>0.8</w:t>
            </w:r>
          </w:p>
        </w:tc>
        <w:tc>
          <w:tcPr>
            <w:tcW w:w="836" w:type="dxa"/>
            <w:vAlign w:val="center"/>
          </w:tcPr>
          <w:p>
            <w:pPr>
              <w:pStyle w:val="8"/>
              <w:ind w:firstLine="0" w:firstLineChars="0"/>
            </w:pPr>
            <w:r>
              <w:rPr>
                <w:rFonts w:hint="eastAsia"/>
              </w:rPr>
              <w:t>0.2</w:t>
            </w:r>
          </w:p>
        </w:tc>
        <w:tc>
          <w:tcPr>
            <w:tcW w:w="889" w:type="dxa"/>
            <w:vAlign w:val="center"/>
          </w:tcPr>
          <w:p>
            <w:pPr>
              <w:pStyle w:val="8"/>
              <w:ind w:firstLine="0" w:firstLineChars="0"/>
            </w:pPr>
            <w:r>
              <w:rPr>
                <w:rFonts w:hint="eastAsia"/>
              </w:rPr>
              <w:t xml:space="preserve">0.292 </w:t>
            </w:r>
          </w:p>
        </w:tc>
        <w:tc>
          <w:tcPr>
            <w:tcW w:w="1011" w:type="dxa"/>
            <w:vAlign w:val="center"/>
          </w:tcPr>
          <w:p>
            <w:pPr>
              <w:pStyle w:val="8"/>
              <w:ind w:firstLine="0" w:firstLineChars="0"/>
            </w:pPr>
            <w:r>
              <w:rPr>
                <w:rFonts w:hint="eastAsia"/>
              </w:rPr>
              <w:t>0.073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1512" w:type="dxa"/>
            <w:vAlign w:val="center"/>
          </w:tcPr>
          <w:p>
            <w:pPr>
              <w:pStyle w:val="8"/>
              <w:ind w:firstLine="0" w:firstLineChars="0"/>
            </w:pPr>
            <w:r>
              <w:rPr>
                <w:rFonts w:hint="eastAsia"/>
              </w:rPr>
              <w:t>生长猪</w:t>
            </w:r>
          </w:p>
        </w:tc>
        <w:tc>
          <w:tcPr>
            <w:tcW w:w="1136" w:type="dxa"/>
            <w:vAlign w:val="center"/>
          </w:tcPr>
          <w:p>
            <w:pPr>
              <w:pStyle w:val="8"/>
              <w:ind w:firstLine="0" w:firstLineChars="0"/>
            </w:pPr>
            <w:r>
              <w:rPr>
                <w:rFonts w:hint="eastAsia"/>
              </w:rPr>
              <w:t>1.9</w:t>
            </w:r>
          </w:p>
        </w:tc>
        <w:tc>
          <w:tcPr>
            <w:tcW w:w="1421" w:type="dxa"/>
            <w:vAlign w:val="center"/>
          </w:tcPr>
          <w:p>
            <w:pPr>
              <w:pStyle w:val="8"/>
              <w:ind w:firstLine="0" w:firstLineChars="0"/>
            </w:pPr>
            <w:r>
              <w:rPr>
                <w:rFonts w:hint="eastAsia"/>
              </w:rPr>
              <w:t>0.3</w:t>
            </w:r>
          </w:p>
        </w:tc>
        <w:tc>
          <w:tcPr>
            <w:tcW w:w="1315" w:type="dxa"/>
            <w:vAlign w:val="center"/>
          </w:tcPr>
          <w:p>
            <w:pPr>
              <w:pStyle w:val="8"/>
              <w:ind w:firstLine="0" w:firstLineChars="0"/>
            </w:pPr>
            <w:r>
              <w:rPr>
                <w:rFonts w:hint="eastAsia"/>
              </w:rPr>
              <w:t>2340</w:t>
            </w:r>
          </w:p>
        </w:tc>
        <w:tc>
          <w:tcPr>
            <w:tcW w:w="957" w:type="dxa"/>
            <w:vAlign w:val="center"/>
          </w:tcPr>
          <w:p>
            <w:pPr>
              <w:pStyle w:val="8"/>
              <w:ind w:firstLine="0" w:firstLineChars="0"/>
            </w:pPr>
            <w:r>
              <w:rPr>
                <w:rFonts w:hint="eastAsia"/>
              </w:rPr>
              <w:t>4.914</w:t>
            </w:r>
          </w:p>
        </w:tc>
        <w:tc>
          <w:tcPr>
            <w:tcW w:w="836" w:type="dxa"/>
            <w:vAlign w:val="center"/>
          </w:tcPr>
          <w:p>
            <w:pPr>
              <w:pStyle w:val="8"/>
              <w:ind w:firstLine="0" w:firstLineChars="0"/>
            </w:pPr>
            <w:r>
              <w:rPr>
                <w:rFonts w:hint="eastAsia"/>
              </w:rPr>
              <w:t>0.702</w:t>
            </w:r>
          </w:p>
        </w:tc>
        <w:tc>
          <w:tcPr>
            <w:tcW w:w="889" w:type="dxa"/>
            <w:vAlign w:val="center"/>
          </w:tcPr>
          <w:p>
            <w:pPr>
              <w:pStyle w:val="8"/>
              <w:ind w:firstLine="0" w:firstLineChars="0"/>
            </w:pPr>
            <w:r>
              <w:rPr>
                <w:rFonts w:hint="eastAsia"/>
              </w:rPr>
              <w:t xml:space="preserve">1.794 </w:t>
            </w:r>
          </w:p>
        </w:tc>
        <w:tc>
          <w:tcPr>
            <w:tcW w:w="1011" w:type="dxa"/>
            <w:vAlign w:val="center"/>
          </w:tcPr>
          <w:p>
            <w:pPr>
              <w:pStyle w:val="8"/>
              <w:ind w:firstLine="0" w:firstLineChars="0"/>
            </w:pPr>
            <w:r>
              <w:rPr>
                <w:rFonts w:hint="eastAsia"/>
              </w:rPr>
              <w:t xml:space="preserve">0.256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1512" w:type="dxa"/>
            <w:vAlign w:val="center"/>
          </w:tcPr>
          <w:p>
            <w:pPr>
              <w:pStyle w:val="8"/>
              <w:ind w:firstLine="0" w:firstLineChars="0"/>
            </w:pPr>
            <w:r>
              <w:rPr>
                <w:rFonts w:hint="eastAsia"/>
              </w:rPr>
              <w:t>育肥猪</w:t>
            </w:r>
          </w:p>
        </w:tc>
        <w:tc>
          <w:tcPr>
            <w:tcW w:w="1136" w:type="dxa"/>
            <w:vAlign w:val="center"/>
          </w:tcPr>
          <w:p>
            <w:pPr>
              <w:pStyle w:val="8"/>
              <w:ind w:firstLine="0" w:firstLineChars="0"/>
            </w:pPr>
            <w:r>
              <w:rPr>
                <w:rFonts w:hint="eastAsia"/>
              </w:rPr>
              <w:t>5.3</w:t>
            </w:r>
          </w:p>
        </w:tc>
        <w:tc>
          <w:tcPr>
            <w:tcW w:w="1421" w:type="dxa"/>
            <w:vAlign w:val="center"/>
          </w:tcPr>
          <w:p>
            <w:pPr>
              <w:pStyle w:val="8"/>
              <w:ind w:firstLine="0" w:firstLineChars="0"/>
            </w:pPr>
            <w:r>
              <w:rPr>
                <w:rFonts w:hint="eastAsia"/>
              </w:rPr>
              <w:t>0.5</w:t>
            </w:r>
          </w:p>
        </w:tc>
        <w:tc>
          <w:tcPr>
            <w:tcW w:w="1315" w:type="dxa"/>
            <w:vAlign w:val="center"/>
          </w:tcPr>
          <w:p>
            <w:pPr>
              <w:pStyle w:val="8"/>
              <w:ind w:firstLine="0" w:firstLineChars="0"/>
            </w:pPr>
            <w:r>
              <w:rPr>
                <w:rFonts w:hint="eastAsia"/>
              </w:rPr>
              <w:t>1660</w:t>
            </w:r>
          </w:p>
        </w:tc>
        <w:tc>
          <w:tcPr>
            <w:tcW w:w="957" w:type="dxa"/>
            <w:vAlign w:val="center"/>
          </w:tcPr>
          <w:p>
            <w:pPr>
              <w:pStyle w:val="8"/>
              <w:ind w:firstLine="0" w:firstLineChars="0"/>
            </w:pPr>
            <w:r>
              <w:rPr>
                <w:rFonts w:hint="eastAsia"/>
              </w:rPr>
              <w:t>8.798</w:t>
            </w:r>
          </w:p>
        </w:tc>
        <w:tc>
          <w:tcPr>
            <w:tcW w:w="836" w:type="dxa"/>
            <w:vAlign w:val="center"/>
          </w:tcPr>
          <w:p>
            <w:pPr>
              <w:pStyle w:val="8"/>
              <w:ind w:firstLine="0" w:firstLineChars="0"/>
            </w:pPr>
            <w:r>
              <w:rPr>
                <w:rFonts w:hint="eastAsia"/>
              </w:rPr>
              <w:t>0.83</w:t>
            </w:r>
          </w:p>
        </w:tc>
        <w:tc>
          <w:tcPr>
            <w:tcW w:w="889" w:type="dxa"/>
            <w:vAlign w:val="center"/>
          </w:tcPr>
          <w:p>
            <w:pPr>
              <w:pStyle w:val="8"/>
              <w:ind w:firstLine="0" w:firstLineChars="0"/>
            </w:pPr>
            <w:r>
              <w:rPr>
                <w:rFonts w:hint="eastAsia"/>
              </w:rPr>
              <w:t xml:space="preserve">3.211 </w:t>
            </w:r>
          </w:p>
        </w:tc>
        <w:tc>
          <w:tcPr>
            <w:tcW w:w="1011" w:type="dxa"/>
            <w:vAlign w:val="center"/>
          </w:tcPr>
          <w:p>
            <w:pPr>
              <w:pStyle w:val="8"/>
              <w:ind w:firstLine="0" w:firstLineChars="0"/>
            </w:pPr>
            <w:r>
              <w:rPr>
                <w:rFonts w:hint="eastAsia"/>
              </w:rPr>
              <w:t xml:space="preserve">0.303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5384" w:type="dxa"/>
            <w:gridSpan w:val="4"/>
            <w:vAlign w:val="center"/>
          </w:tcPr>
          <w:p>
            <w:pPr>
              <w:pStyle w:val="8"/>
              <w:ind w:firstLine="0" w:firstLineChars="0"/>
            </w:pPr>
            <w:r>
              <w:rPr>
                <w:rFonts w:hint="eastAsia"/>
              </w:rPr>
              <w:t>总计</w:t>
            </w:r>
          </w:p>
        </w:tc>
        <w:tc>
          <w:tcPr>
            <w:tcW w:w="957" w:type="dxa"/>
            <w:vAlign w:val="center"/>
          </w:tcPr>
          <w:p>
            <w:pPr>
              <w:pStyle w:val="8"/>
              <w:ind w:firstLine="0" w:firstLineChars="0"/>
            </w:pPr>
            <w:r>
              <w:rPr>
                <w:rFonts w:hint="eastAsia"/>
              </w:rPr>
              <w:t>14.512</w:t>
            </w:r>
          </w:p>
        </w:tc>
        <w:tc>
          <w:tcPr>
            <w:tcW w:w="836" w:type="dxa"/>
            <w:vAlign w:val="center"/>
          </w:tcPr>
          <w:p>
            <w:pPr>
              <w:pStyle w:val="8"/>
              <w:ind w:firstLine="0" w:firstLineChars="0"/>
            </w:pPr>
            <w:r>
              <w:rPr>
                <w:rFonts w:hint="eastAsia"/>
              </w:rPr>
              <w:t>1.732</w:t>
            </w:r>
          </w:p>
        </w:tc>
        <w:tc>
          <w:tcPr>
            <w:tcW w:w="889" w:type="dxa"/>
            <w:vAlign w:val="center"/>
          </w:tcPr>
          <w:p>
            <w:pPr>
              <w:pStyle w:val="8"/>
              <w:ind w:firstLine="0" w:firstLineChars="0"/>
            </w:pPr>
            <w:r>
              <w:rPr>
                <w:rFonts w:hint="eastAsia"/>
              </w:rPr>
              <w:t>5.297</w:t>
            </w:r>
          </w:p>
        </w:tc>
        <w:tc>
          <w:tcPr>
            <w:tcW w:w="1011" w:type="dxa"/>
            <w:vAlign w:val="center"/>
          </w:tcPr>
          <w:p>
            <w:pPr>
              <w:pStyle w:val="8"/>
              <w:ind w:firstLine="0" w:firstLineChars="0"/>
            </w:pPr>
            <w:r>
              <w:rPr>
                <w:rFonts w:hint="eastAsia"/>
              </w:rPr>
              <w:t>0.632</w:t>
            </w:r>
          </w:p>
        </w:tc>
      </w:tr>
    </w:tbl>
    <w:p>
      <w:pPr>
        <w:ind w:firstLine="480"/>
      </w:pPr>
      <w:r>
        <w:rPr>
          <w:rFonts w:hint="eastAsia"/>
        </w:rPr>
        <w:t>②异位发酵床臭气</w:t>
      </w:r>
    </w:p>
    <w:p>
      <w:pPr>
        <w:ind w:firstLine="480"/>
      </w:pPr>
      <w:r>
        <w:rPr>
          <w:rFonts w:hint="eastAsia"/>
        </w:rPr>
        <w:t>项目建设一座异位发酵床处理产生的猪粪尿，占地面积约为1000m</w:t>
      </w:r>
      <w:r>
        <w:rPr>
          <w:rFonts w:hint="eastAsia"/>
          <w:vertAlign w:val="superscript"/>
        </w:rPr>
        <w:t>2</w:t>
      </w:r>
      <w:r>
        <w:rPr>
          <w:rFonts w:hint="eastAsia"/>
        </w:rPr>
        <w:t>，主要臭气污染物为</w:t>
      </w:r>
      <w:r>
        <w:t>NH</w:t>
      </w:r>
      <w:r>
        <w:rPr>
          <w:vertAlign w:val="subscript"/>
        </w:rPr>
        <w:t>3</w:t>
      </w:r>
      <w:r>
        <w:t>、H</w:t>
      </w:r>
      <w:r>
        <w:rPr>
          <w:vertAlign w:val="subscript"/>
        </w:rPr>
        <w:t>2</w:t>
      </w:r>
      <w:r>
        <w:t>S，垫料中会添加复合菌剂，通过发酵床的分解发酵，使猪粪、尿中的有机物得到分解和转化，微生物以尚未消化的猪粪为食饵，繁殖生长，可减少NH</w:t>
      </w:r>
      <w:r>
        <w:rPr>
          <w:vertAlign w:val="subscript"/>
        </w:rPr>
        <w:t>3</w:t>
      </w:r>
      <w:r>
        <w:t>、H</w:t>
      </w:r>
      <w:r>
        <w:rPr>
          <w:vertAlign w:val="subscript"/>
        </w:rPr>
        <w:t>2</w:t>
      </w:r>
      <w:r>
        <w:t>S的产生，粪便的降解过程以好氧发酵为主导，并伴有厌氧发酵和兼性厌氧发酵。</w:t>
      </w:r>
      <w:r>
        <w:rPr>
          <w:rFonts w:hint="eastAsia"/>
        </w:rPr>
        <w:t>类比同类养殖项目，</w:t>
      </w:r>
      <w:r>
        <w:t>NH</w:t>
      </w:r>
      <w:r>
        <w:rPr>
          <w:vertAlign w:val="subscript"/>
        </w:rPr>
        <w:t>3</w:t>
      </w:r>
      <w:r>
        <w:t>的平均产生源强一般为</w:t>
      </w:r>
      <w:r>
        <w:rPr>
          <w:rFonts w:hint="eastAsia"/>
        </w:rPr>
        <w:t>1mg/（m</w:t>
      </w:r>
      <w:r>
        <w:rPr>
          <w:rFonts w:hint="eastAsia"/>
          <w:vertAlign w:val="superscript"/>
        </w:rPr>
        <w:t>2</w:t>
      </w:r>
      <w:r>
        <w:rPr>
          <w:rFonts w:hint="eastAsia"/>
        </w:rPr>
        <w:t>·h），</w:t>
      </w:r>
      <w:r>
        <w:t>H</w:t>
      </w:r>
      <w:r>
        <w:rPr>
          <w:vertAlign w:val="subscript"/>
        </w:rPr>
        <w:t>2</w:t>
      </w:r>
      <w:r>
        <w:t>S的平均产生源强一般为</w:t>
      </w:r>
      <w:r>
        <w:rPr>
          <w:rFonts w:hint="eastAsia"/>
        </w:rPr>
        <w:t>0.18mg/（m</w:t>
      </w:r>
      <w:r>
        <w:rPr>
          <w:rFonts w:hint="eastAsia"/>
          <w:vertAlign w:val="superscript"/>
        </w:rPr>
        <w:t>2</w:t>
      </w:r>
      <w:r>
        <w:rPr>
          <w:rFonts w:hint="eastAsia"/>
        </w:rPr>
        <w:t>·h），则</w:t>
      </w:r>
      <w:r>
        <w:t>NH</w:t>
      </w:r>
      <w:r>
        <w:rPr>
          <w:vertAlign w:val="subscript"/>
        </w:rPr>
        <w:t>3</w:t>
      </w:r>
      <w:r>
        <w:t>、H</w:t>
      </w:r>
      <w:r>
        <w:rPr>
          <w:vertAlign w:val="subscript"/>
        </w:rPr>
        <w:t>2</w:t>
      </w:r>
      <w:r>
        <w:t>S</w:t>
      </w:r>
      <w:r>
        <w:rPr>
          <w:rFonts w:hint="eastAsia"/>
        </w:rPr>
        <w:t>产生量</w:t>
      </w:r>
      <w:r>
        <w:t>NH</w:t>
      </w:r>
      <w:r>
        <w:rPr>
          <w:vertAlign w:val="subscript"/>
        </w:rPr>
        <w:t>3</w:t>
      </w:r>
      <w:r>
        <w:rPr>
          <w:rFonts w:hint="eastAsia"/>
        </w:rPr>
        <w:t>8.76kg</w:t>
      </w:r>
      <w:r>
        <w:t>/a、H</w:t>
      </w:r>
      <w:r>
        <w:rPr>
          <w:vertAlign w:val="subscript"/>
        </w:rPr>
        <w:t>2</w:t>
      </w:r>
      <w:r>
        <w:t>S</w:t>
      </w:r>
      <w:r>
        <w:rPr>
          <w:rFonts w:hint="eastAsia"/>
        </w:rPr>
        <w:t>1.46kg</w:t>
      </w:r>
      <w:r>
        <w:t>/a</w:t>
      </w:r>
      <w:r>
        <w:rPr>
          <w:rFonts w:hint="eastAsia"/>
        </w:rPr>
        <w:t>，异位微生物发酵床为钢棚式结构，难以收集，微生物发酵产生的臭气均以无组织形式排放。</w:t>
      </w:r>
    </w:p>
    <w:p>
      <w:pPr>
        <w:pStyle w:val="11"/>
      </w:pPr>
      <w:r>
        <w:t xml:space="preserve">表2.4- </w:t>
      </w:r>
      <w:r>
        <w:fldChar w:fldCharType="begin"/>
      </w:r>
      <w:r>
        <w:instrText xml:space="preserve"> SEQ 表2.4- \* ARABIC </w:instrText>
      </w:r>
      <w:r>
        <w:fldChar w:fldCharType="separate"/>
      </w:r>
      <w:r>
        <w:t>7</w:t>
      </w:r>
      <w:r>
        <w:fldChar w:fldCharType="end"/>
      </w:r>
      <w:r>
        <w:rPr>
          <w:rFonts w:hint="eastAsia"/>
        </w:rPr>
        <w:t xml:space="preserve">   猪场恶臭源强产生情况统计表</w:t>
      </w:r>
    </w:p>
    <w:tbl>
      <w:tblPr>
        <w:tblStyle w:val="21"/>
        <w:tblW w:w="91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60"/>
        <w:gridCol w:w="1605"/>
        <w:gridCol w:w="1004"/>
        <w:gridCol w:w="1286"/>
        <w:gridCol w:w="1001"/>
        <w:gridCol w:w="858"/>
        <w:gridCol w:w="858"/>
        <w:gridCol w:w="11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1360" w:type="dxa"/>
            <w:vMerge w:val="restart"/>
            <w:vAlign w:val="center"/>
          </w:tcPr>
          <w:p>
            <w:pPr>
              <w:pStyle w:val="8"/>
              <w:ind w:firstLine="0" w:firstLineChars="0"/>
            </w:pPr>
            <w:r>
              <w:t>项目</w:t>
            </w:r>
          </w:p>
        </w:tc>
        <w:tc>
          <w:tcPr>
            <w:tcW w:w="2609" w:type="dxa"/>
            <w:gridSpan w:val="2"/>
            <w:vAlign w:val="center"/>
          </w:tcPr>
          <w:p>
            <w:pPr>
              <w:pStyle w:val="8"/>
              <w:ind w:firstLine="0" w:firstLineChars="0"/>
            </w:pPr>
            <w:r>
              <w:t>恶臭产生系数（g/d·</w:t>
            </w:r>
            <w:r>
              <w:rPr>
                <w:rFonts w:hint="eastAsia"/>
              </w:rPr>
              <w:t>m</w:t>
            </w:r>
            <w:r>
              <w:rPr>
                <w:rFonts w:hint="eastAsia"/>
                <w:vertAlign w:val="superscript"/>
              </w:rPr>
              <w:t>2</w:t>
            </w:r>
            <w:r>
              <w:t>）</w:t>
            </w:r>
          </w:p>
        </w:tc>
        <w:tc>
          <w:tcPr>
            <w:tcW w:w="1286" w:type="dxa"/>
            <w:vMerge w:val="restart"/>
            <w:vAlign w:val="center"/>
          </w:tcPr>
          <w:p>
            <w:pPr>
              <w:pStyle w:val="8"/>
              <w:ind w:firstLine="0" w:firstLineChars="0"/>
            </w:pPr>
            <w:r>
              <w:rPr>
                <w:rFonts w:hint="eastAsia"/>
              </w:rPr>
              <w:t>面积m</w:t>
            </w:r>
            <w:r>
              <w:rPr>
                <w:rFonts w:hint="eastAsia"/>
                <w:vertAlign w:val="superscript"/>
              </w:rPr>
              <w:t>2</w:t>
            </w:r>
          </w:p>
        </w:tc>
        <w:tc>
          <w:tcPr>
            <w:tcW w:w="1859" w:type="dxa"/>
            <w:gridSpan w:val="2"/>
            <w:vAlign w:val="center"/>
          </w:tcPr>
          <w:p>
            <w:pPr>
              <w:pStyle w:val="8"/>
              <w:ind w:firstLine="0" w:firstLineChars="0"/>
            </w:pPr>
            <w:r>
              <w:t>日产生量（g/d）</w:t>
            </w:r>
          </w:p>
        </w:tc>
        <w:tc>
          <w:tcPr>
            <w:tcW w:w="2024" w:type="dxa"/>
            <w:gridSpan w:val="2"/>
            <w:vAlign w:val="center"/>
          </w:tcPr>
          <w:p>
            <w:pPr>
              <w:pStyle w:val="8"/>
              <w:ind w:firstLine="0" w:firstLineChars="0"/>
            </w:pPr>
            <w:r>
              <w:t>年产生量（kg/a）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1360" w:type="dxa"/>
            <w:vMerge w:val="continue"/>
            <w:vAlign w:val="center"/>
          </w:tcPr>
          <w:p>
            <w:pPr>
              <w:pStyle w:val="8"/>
              <w:ind w:firstLine="0" w:firstLineChars="0"/>
            </w:pPr>
          </w:p>
        </w:tc>
        <w:tc>
          <w:tcPr>
            <w:tcW w:w="1605" w:type="dxa"/>
            <w:vAlign w:val="center"/>
          </w:tcPr>
          <w:p>
            <w:pPr>
              <w:pStyle w:val="8"/>
              <w:ind w:firstLine="0" w:firstLineChars="0"/>
            </w:pPr>
            <w:r>
              <w:t>NH</w:t>
            </w:r>
            <w:r>
              <w:rPr>
                <w:vertAlign w:val="subscript"/>
              </w:rPr>
              <w:t>3</w:t>
            </w:r>
          </w:p>
        </w:tc>
        <w:tc>
          <w:tcPr>
            <w:tcW w:w="1004" w:type="dxa"/>
            <w:vAlign w:val="center"/>
          </w:tcPr>
          <w:p>
            <w:pPr>
              <w:pStyle w:val="8"/>
              <w:ind w:firstLine="0" w:firstLineChars="0"/>
            </w:pPr>
            <w:r>
              <w:t>H</w:t>
            </w:r>
            <w:r>
              <w:rPr>
                <w:vertAlign w:val="subscript"/>
              </w:rPr>
              <w:t>2</w:t>
            </w:r>
            <w:r>
              <w:t>S</w:t>
            </w:r>
          </w:p>
        </w:tc>
        <w:tc>
          <w:tcPr>
            <w:tcW w:w="1286" w:type="dxa"/>
            <w:vMerge w:val="continue"/>
            <w:vAlign w:val="center"/>
          </w:tcPr>
          <w:p>
            <w:pPr>
              <w:pStyle w:val="8"/>
              <w:ind w:firstLine="0" w:firstLineChars="0"/>
            </w:pPr>
          </w:p>
        </w:tc>
        <w:tc>
          <w:tcPr>
            <w:tcW w:w="1001" w:type="dxa"/>
            <w:vAlign w:val="center"/>
          </w:tcPr>
          <w:p>
            <w:pPr>
              <w:pStyle w:val="8"/>
              <w:ind w:firstLine="0" w:firstLineChars="0"/>
            </w:pPr>
            <w:r>
              <w:t>NH</w:t>
            </w:r>
            <w:r>
              <w:rPr>
                <w:vertAlign w:val="subscript"/>
              </w:rPr>
              <w:t>3</w:t>
            </w:r>
          </w:p>
        </w:tc>
        <w:tc>
          <w:tcPr>
            <w:tcW w:w="858" w:type="dxa"/>
            <w:vAlign w:val="center"/>
          </w:tcPr>
          <w:p>
            <w:pPr>
              <w:pStyle w:val="8"/>
              <w:ind w:firstLine="0" w:firstLineChars="0"/>
            </w:pPr>
            <w:r>
              <w:t>H</w:t>
            </w:r>
            <w:r>
              <w:rPr>
                <w:vertAlign w:val="subscript"/>
              </w:rPr>
              <w:t>2</w:t>
            </w:r>
            <w:r>
              <w:t>S</w:t>
            </w:r>
          </w:p>
        </w:tc>
        <w:tc>
          <w:tcPr>
            <w:tcW w:w="858" w:type="dxa"/>
            <w:vAlign w:val="center"/>
          </w:tcPr>
          <w:p>
            <w:pPr>
              <w:pStyle w:val="8"/>
              <w:ind w:firstLine="0" w:firstLineChars="0"/>
            </w:pPr>
            <w:r>
              <w:t>NH</w:t>
            </w:r>
            <w:r>
              <w:rPr>
                <w:vertAlign w:val="subscript"/>
              </w:rPr>
              <w:t>3</w:t>
            </w:r>
          </w:p>
        </w:tc>
        <w:tc>
          <w:tcPr>
            <w:tcW w:w="1166" w:type="dxa"/>
            <w:vAlign w:val="center"/>
          </w:tcPr>
          <w:p>
            <w:pPr>
              <w:pStyle w:val="8"/>
              <w:ind w:firstLine="0" w:firstLineChars="0"/>
            </w:pPr>
            <w:r>
              <w:t>H</w:t>
            </w:r>
            <w:r>
              <w:rPr>
                <w:vertAlign w:val="subscript"/>
              </w:rPr>
              <w:t>2</w:t>
            </w:r>
            <w: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1360" w:type="dxa"/>
            <w:vAlign w:val="center"/>
          </w:tcPr>
          <w:p>
            <w:pPr>
              <w:pStyle w:val="8"/>
              <w:ind w:firstLine="0" w:firstLineChars="0"/>
              <w:rPr>
                <w:highlight w:val="yellow"/>
              </w:rPr>
            </w:pPr>
            <w:r>
              <w:rPr>
                <w:rFonts w:hint="eastAsia"/>
              </w:rPr>
              <w:t>发酵床</w:t>
            </w:r>
          </w:p>
        </w:tc>
        <w:tc>
          <w:tcPr>
            <w:tcW w:w="1605" w:type="dxa"/>
            <w:vAlign w:val="center"/>
          </w:tcPr>
          <w:p>
            <w:pPr>
              <w:pStyle w:val="8"/>
              <w:ind w:firstLine="0" w:firstLineChars="0"/>
            </w:pPr>
            <w:r>
              <w:rPr>
                <w:rFonts w:hint="eastAsia"/>
              </w:rPr>
              <w:t>0.024</w:t>
            </w:r>
          </w:p>
        </w:tc>
        <w:tc>
          <w:tcPr>
            <w:tcW w:w="1004" w:type="dxa"/>
            <w:vAlign w:val="center"/>
          </w:tcPr>
          <w:p>
            <w:pPr>
              <w:pStyle w:val="8"/>
              <w:ind w:firstLine="0" w:firstLineChars="0"/>
            </w:pPr>
            <w:r>
              <w:rPr>
                <w:rFonts w:hint="eastAsia"/>
              </w:rPr>
              <w:t>0.004</w:t>
            </w:r>
          </w:p>
        </w:tc>
        <w:tc>
          <w:tcPr>
            <w:tcW w:w="1286" w:type="dxa"/>
            <w:vAlign w:val="center"/>
          </w:tcPr>
          <w:p>
            <w:pPr>
              <w:pStyle w:val="8"/>
              <w:ind w:firstLine="0" w:firstLineChars="0"/>
            </w:pPr>
            <w:r>
              <w:rPr>
                <w:rFonts w:hint="eastAsia"/>
              </w:rPr>
              <w:t>1000</w:t>
            </w:r>
          </w:p>
        </w:tc>
        <w:tc>
          <w:tcPr>
            <w:tcW w:w="1001" w:type="dxa"/>
            <w:vAlign w:val="center"/>
          </w:tcPr>
          <w:p>
            <w:pPr>
              <w:pStyle w:val="8"/>
              <w:ind w:firstLine="0" w:firstLineChars="0"/>
            </w:pPr>
            <w:r>
              <w:rPr>
                <w:rFonts w:hint="eastAsia"/>
              </w:rPr>
              <w:t>24</w:t>
            </w:r>
          </w:p>
        </w:tc>
        <w:tc>
          <w:tcPr>
            <w:tcW w:w="858" w:type="dxa"/>
            <w:vAlign w:val="center"/>
          </w:tcPr>
          <w:p>
            <w:pPr>
              <w:pStyle w:val="8"/>
              <w:ind w:firstLine="0" w:firstLineChars="0"/>
            </w:pPr>
            <w:r>
              <w:rPr>
                <w:rFonts w:hint="eastAsia"/>
              </w:rPr>
              <w:t>4</w:t>
            </w:r>
          </w:p>
        </w:tc>
        <w:tc>
          <w:tcPr>
            <w:tcW w:w="858" w:type="dxa"/>
            <w:vAlign w:val="center"/>
          </w:tcPr>
          <w:p>
            <w:pPr>
              <w:pStyle w:val="8"/>
              <w:ind w:firstLine="0" w:firstLineChars="0"/>
              <w:rPr>
                <w:highlight w:val="yellow"/>
              </w:rPr>
            </w:pPr>
            <w:r>
              <w:rPr>
                <w:rFonts w:hint="eastAsia"/>
              </w:rPr>
              <w:t>8.76</w:t>
            </w:r>
          </w:p>
        </w:tc>
        <w:tc>
          <w:tcPr>
            <w:tcW w:w="1166" w:type="dxa"/>
            <w:vAlign w:val="center"/>
          </w:tcPr>
          <w:p>
            <w:pPr>
              <w:pStyle w:val="8"/>
              <w:ind w:firstLine="0" w:firstLineChars="0"/>
              <w:rPr>
                <w:highlight w:val="yellow"/>
              </w:rPr>
            </w:pPr>
            <w:r>
              <w:rPr>
                <w:rFonts w:hint="eastAsia"/>
              </w:rPr>
              <w:t>1.46</w:t>
            </w:r>
          </w:p>
        </w:tc>
      </w:tr>
    </w:tbl>
    <w:p>
      <w:pPr>
        <w:spacing w:before="120" w:beforeLines="50"/>
        <w:ind w:firstLine="480"/>
      </w:pPr>
      <w:r>
        <w:rPr>
          <w:rFonts w:hint="eastAsia"/>
        </w:rPr>
        <w:t>③集污池恶臭</w:t>
      </w:r>
    </w:p>
    <w:p>
      <w:pPr>
        <w:ind w:firstLine="480"/>
      </w:pPr>
      <w:r>
        <w:rPr>
          <w:rFonts w:hint="eastAsia"/>
        </w:rPr>
        <w:t>集污池建构筑物均采取地下式钢砼结构，根据2014年12月发行的《江西科学》上登录的黄贞岚等人编写的《养猪场项目环境影响评价中应关注的问题》中的研究结论，猪粪暂存场的NH</w:t>
      </w:r>
      <w:r>
        <w:rPr>
          <w:rFonts w:hint="eastAsia"/>
          <w:vertAlign w:val="subscript"/>
        </w:rPr>
        <w:t>3</w:t>
      </w:r>
      <w:r>
        <w:rPr>
          <w:rFonts w:hint="eastAsia"/>
        </w:rPr>
        <w:t>平均排放浓度约为4.35g/m</w:t>
      </w:r>
      <w:r>
        <w:rPr>
          <w:rFonts w:hint="eastAsia"/>
          <w:vertAlign w:val="superscript"/>
        </w:rPr>
        <w:t>2</w:t>
      </w:r>
      <w:r>
        <w:rPr>
          <w:rFonts w:hint="eastAsia"/>
        </w:rPr>
        <w:t>·d，本项目集污池恶臭参照猪粪暂存场源强进行分析。本项目设1个集污池，面积为200m</w:t>
      </w:r>
      <w:r>
        <w:rPr>
          <w:rFonts w:hint="eastAsia"/>
          <w:vertAlign w:val="superscript"/>
        </w:rPr>
        <w:t>2</w:t>
      </w:r>
      <w:r>
        <w:rPr>
          <w:rFonts w:hint="eastAsia"/>
        </w:rPr>
        <w:t>（容积1000m</w:t>
      </w:r>
      <w:r>
        <w:rPr>
          <w:rFonts w:hint="eastAsia"/>
          <w:vertAlign w:val="superscript"/>
        </w:rPr>
        <w:t>3</w:t>
      </w:r>
      <w:r>
        <w:rPr>
          <w:rFonts w:hint="eastAsia"/>
        </w:rPr>
        <w:t>，h=5m），则项目废气中NH</w:t>
      </w:r>
      <w:r>
        <w:rPr>
          <w:rFonts w:hint="eastAsia"/>
          <w:vertAlign w:val="subscript"/>
        </w:rPr>
        <w:t>3</w:t>
      </w:r>
      <w:r>
        <w:rPr>
          <w:rFonts w:hint="eastAsia"/>
        </w:rPr>
        <w:t>产生量为0.31t/a，H</w:t>
      </w:r>
      <w:r>
        <w:rPr>
          <w:rFonts w:hint="eastAsia"/>
          <w:vertAlign w:val="subscript"/>
        </w:rPr>
        <w:t>2</w:t>
      </w:r>
      <w:r>
        <w:rPr>
          <w:rFonts w:hint="eastAsia"/>
        </w:rPr>
        <w:t>S按NH</w:t>
      </w:r>
      <w:r>
        <w:rPr>
          <w:rFonts w:hint="eastAsia"/>
          <w:vertAlign w:val="subscript"/>
        </w:rPr>
        <w:t>3</w:t>
      </w:r>
      <w:r>
        <w:rPr>
          <w:rFonts w:hint="eastAsia"/>
        </w:rPr>
        <w:t>的二十五分之一计，则H</w:t>
      </w:r>
      <w:r>
        <w:rPr>
          <w:rFonts w:hint="eastAsia"/>
          <w:vertAlign w:val="subscript"/>
        </w:rPr>
        <w:t>2</w:t>
      </w:r>
      <w:r>
        <w:rPr>
          <w:rFonts w:hint="eastAsia"/>
        </w:rPr>
        <w:t>S产生量为0.013t/a。</w:t>
      </w:r>
    </w:p>
    <w:p>
      <w:pPr>
        <w:ind w:firstLine="480"/>
      </w:pPr>
      <w:r>
        <w:rPr>
          <w:rFonts w:hint="eastAsia"/>
        </w:rPr>
        <w:t>本项目采用综合除臭措施和管理措施予以控制臭气影响，对猪舍采用喷洒生物除臭剂（</w:t>
      </w:r>
      <w:r>
        <w:t>EM</w:t>
      </w:r>
      <w:r>
        <w:rPr>
          <w:rFonts w:hint="eastAsia"/>
        </w:rPr>
        <w:t>制剂）、将复合微生物饲料添加剂直接添加到饲料中合理调整饲料营养结构、通风等措施，可降低猪场这些有害气体挥发量，净化空气。并在猪舍周边大量种植绿化植物吸收有害气体，减轻恶臭异味的作用。根据中国养猪行业网上</w:t>
      </w:r>
      <w:r>
        <w:t>2015</w:t>
      </w:r>
      <w:r>
        <w:rPr>
          <w:rFonts w:hint="eastAsia"/>
        </w:rPr>
        <w:t>年发布的《养猪场中恶臭控制及其处理技术》，</w:t>
      </w:r>
      <w:r>
        <w:t>EM</w:t>
      </w:r>
      <w:r>
        <w:rPr>
          <w:rFonts w:hint="eastAsia"/>
        </w:rPr>
        <w:t>制剂是一种新型的复合微生物制剂，其可增加猪消化道内有益微生物的数量，调节体内的微生物生态平衡、防治仔猪下痢，促进生长发育，提高猪的饲料转化率，减少肠道内氨､吲哚等恶臭物质的产生｡据北京市环境保护监测中心对</w:t>
      </w:r>
      <w:r>
        <w:t>EM</w:t>
      </w:r>
      <w:r>
        <w:rPr>
          <w:rFonts w:hint="eastAsia"/>
        </w:rPr>
        <w:t>除臭效果进行测试的结果表明使用</w:t>
      </w:r>
      <w:r>
        <w:t>EM</w:t>
      </w:r>
      <w:r>
        <w:rPr>
          <w:rFonts w:hint="eastAsia"/>
        </w:rPr>
        <w:t>一个月后，恶臭浓度下降了</w:t>
      </w:r>
      <w:r>
        <w:t>97.7%</w:t>
      </w:r>
      <w:r>
        <w:rPr>
          <w:rFonts w:hint="eastAsia"/>
        </w:rPr>
        <w:t>。</w:t>
      </w:r>
    </w:p>
    <w:p>
      <w:pPr>
        <w:ind w:firstLine="480"/>
      </w:pPr>
      <w:r>
        <w:rPr>
          <w:rFonts w:hint="eastAsia"/>
        </w:rPr>
        <w:t>项目猪舍臭气主要通过对栏舍地面以下进行抽风收集并进入猪舍两端的水帘风机、合理搭配饲料、及时清理栏舍、喷洒除臭剂、加强通风等措施进行控制，本项目保守估计，在采取以上措施后，猪舍恶臭源强下降量按97</w:t>
      </w:r>
      <w:r>
        <w:t>%</w:t>
      </w:r>
      <w:r>
        <w:rPr>
          <w:rFonts w:hint="eastAsia"/>
        </w:rPr>
        <w:t>计算，集污池和堆粪棚恶臭采用封闭结构，喷洒除臭剂，恶臭源下降按60%计。则猪场恶臭排放情况统计见下表2.4-8。</w:t>
      </w:r>
    </w:p>
    <w:p>
      <w:pPr>
        <w:pStyle w:val="11"/>
        <w:ind w:firstLine="480"/>
      </w:pPr>
      <w:r>
        <w:t xml:space="preserve">表2.4- </w:t>
      </w:r>
      <w:r>
        <w:fldChar w:fldCharType="begin"/>
      </w:r>
      <w:r>
        <w:instrText xml:space="preserve"> SEQ 表2.4- \* ARABIC </w:instrText>
      </w:r>
      <w:r>
        <w:fldChar w:fldCharType="separate"/>
      </w:r>
      <w:r>
        <w:t>8</w:t>
      </w:r>
      <w:r>
        <w:fldChar w:fldCharType="end"/>
      </w:r>
      <w:r>
        <w:rPr>
          <w:rFonts w:hint="eastAsia"/>
        </w:rPr>
        <w:t xml:space="preserve">   猪场恶臭气体排放情况统计表</w:t>
      </w:r>
    </w:p>
    <w:tbl>
      <w:tblPr>
        <w:tblStyle w:val="21"/>
        <w:tblW w:w="87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9"/>
        <w:gridCol w:w="2513"/>
        <w:gridCol w:w="1294"/>
        <w:gridCol w:w="1213"/>
        <w:gridCol w:w="1325"/>
        <w:gridCol w:w="13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3642" w:type="dxa"/>
            <w:gridSpan w:val="2"/>
            <w:vMerge w:val="restart"/>
            <w:vAlign w:val="center"/>
          </w:tcPr>
          <w:p>
            <w:pPr>
              <w:pStyle w:val="8"/>
              <w:ind w:firstLine="0" w:firstLineChars="0"/>
            </w:pPr>
            <w:r>
              <w:t>项目</w:t>
            </w:r>
          </w:p>
        </w:tc>
        <w:tc>
          <w:tcPr>
            <w:tcW w:w="2507" w:type="dxa"/>
            <w:gridSpan w:val="2"/>
            <w:vAlign w:val="center"/>
          </w:tcPr>
          <w:p>
            <w:pPr>
              <w:pStyle w:val="8"/>
              <w:ind w:firstLine="0" w:firstLineChars="0"/>
            </w:pPr>
            <w:r>
              <w:t>日排放量（kg/d）</w:t>
            </w:r>
          </w:p>
        </w:tc>
        <w:tc>
          <w:tcPr>
            <w:tcW w:w="2629" w:type="dxa"/>
            <w:gridSpan w:val="2"/>
            <w:vAlign w:val="center"/>
          </w:tcPr>
          <w:p>
            <w:pPr>
              <w:pStyle w:val="8"/>
              <w:ind w:firstLine="0" w:firstLineChars="0"/>
            </w:pPr>
            <w: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3642" w:type="dxa"/>
            <w:gridSpan w:val="2"/>
            <w:vMerge w:val="continue"/>
            <w:vAlign w:val="center"/>
          </w:tcPr>
          <w:p>
            <w:pPr>
              <w:pStyle w:val="8"/>
              <w:ind w:firstLine="0" w:firstLineChars="0"/>
            </w:pPr>
          </w:p>
        </w:tc>
        <w:tc>
          <w:tcPr>
            <w:tcW w:w="1294" w:type="dxa"/>
            <w:vAlign w:val="center"/>
          </w:tcPr>
          <w:p>
            <w:pPr>
              <w:pStyle w:val="8"/>
              <w:ind w:firstLine="0" w:firstLineChars="0"/>
            </w:pPr>
            <w:r>
              <w:t>NH</w:t>
            </w:r>
            <w:r>
              <w:rPr>
                <w:vertAlign w:val="subscript"/>
              </w:rPr>
              <w:t>3</w:t>
            </w:r>
          </w:p>
        </w:tc>
        <w:tc>
          <w:tcPr>
            <w:tcW w:w="1213" w:type="dxa"/>
            <w:vAlign w:val="center"/>
          </w:tcPr>
          <w:p>
            <w:pPr>
              <w:pStyle w:val="8"/>
              <w:ind w:firstLine="0" w:firstLineChars="0"/>
            </w:pPr>
            <w:r>
              <w:t>H</w:t>
            </w:r>
            <w:r>
              <w:rPr>
                <w:vertAlign w:val="subscript"/>
              </w:rPr>
              <w:t>2</w:t>
            </w:r>
            <w:r>
              <w:t>S</w:t>
            </w:r>
          </w:p>
        </w:tc>
        <w:tc>
          <w:tcPr>
            <w:tcW w:w="1325" w:type="dxa"/>
            <w:vAlign w:val="center"/>
          </w:tcPr>
          <w:p>
            <w:pPr>
              <w:pStyle w:val="8"/>
              <w:ind w:firstLine="0" w:firstLineChars="0"/>
            </w:pPr>
            <w:r>
              <w:t>NH</w:t>
            </w:r>
            <w:r>
              <w:rPr>
                <w:vertAlign w:val="subscript"/>
              </w:rPr>
              <w:t>3</w:t>
            </w:r>
          </w:p>
        </w:tc>
        <w:tc>
          <w:tcPr>
            <w:tcW w:w="1304" w:type="dxa"/>
            <w:vAlign w:val="center"/>
          </w:tcPr>
          <w:p>
            <w:pPr>
              <w:pStyle w:val="8"/>
              <w:ind w:firstLine="0" w:firstLineChars="0"/>
            </w:pPr>
            <w:r>
              <w:t>H</w:t>
            </w:r>
            <w:r>
              <w:rPr>
                <w:vertAlign w:val="subscript"/>
              </w:rPr>
              <w:t>2</w:t>
            </w:r>
            <w: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129" w:type="dxa"/>
            <w:vMerge w:val="restart"/>
            <w:vAlign w:val="center"/>
          </w:tcPr>
          <w:p>
            <w:pPr>
              <w:pStyle w:val="8"/>
              <w:ind w:firstLine="0" w:firstLineChars="0"/>
            </w:pPr>
            <w:r>
              <w:t>面源</w:t>
            </w:r>
          </w:p>
        </w:tc>
        <w:tc>
          <w:tcPr>
            <w:tcW w:w="2513" w:type="dxa"/>
            <w:vAlign w:val="center"/>
          </w:tcPr>
          <w:p>
            <w:pPr>
              <w:pStyle w:val="8"/>
              <w:ind w:firstLine="0" w:firstLineChars="0"/>
            </w:pPr>
            <w:r>
              <w:rPr>
                <w:rFonts w:hint="eastAsia"/>
              </w:rPr>
              <w:t>猪舍</w:t>
            </w:r>
          </w:p>
        </w:tc>
        <w:tc>
          <w:tcPr>
            <w:tcW w:w="1294" w:type="dxa"/>
            <w:vAlign w:val="center"/>
          </w:tcPr>
          <w:p>
            <w:pPr>
              <w:pStyle w:val="8"/>
              <w:ind w:firstLine="0" w:firstLineChars="0"/>
              <w:rPr>
                <w:highlight w:val="yellow"/>
              </w:rPr>
            </w:pPr>
            <w:r>
              <w:rPr>
                <w:rFonts w:hint="eastAsia"/>
              </w:rPr>
              <w:t>0.47</w:t>
            </w:r>
          </w:p>
        </w:tc>
        <w:tc>
          <w:tcPr>
            <w:tcW w:w="1213" w:type="dxa"/>
            <w:vAlign w:val="center"/>
          </w:tcPr>
          <w:p>
            <w:pPr>
              <w:pStyle w:val="8"/>
              <w:ind w:firstLine="0" w:firstLineChars="0"/>
              <w:rPr>
                <w:highlight w:val="yellow"/>
              </w:rPr>
            </w:pPr>
            <w:r>
              <w:rPr>
                <w:rFonts w:hint="eastAsia"/>
              </w:rPr>
              <w:t>0.055</w:t>
            </w:r>
          </w:p>
        </w:tc>
        <w:tc>
          <w:tcPr>
            <w:tcW w:w="1325" w:type="dxa"/>
            <w:vAlign w:val="center"/>
          </w:tcPr>
          <w:p>
            <w:pPr>
              <w:pStyle w:val="8"/>
              <w:ind w:firstLine="0" w:firstLineChars="0"/>
            </w:pPr>
            <w:r>
              <w:rPr>
                <w:rFonts w:hint="eastAsia"/>
              </w:rPr>
              <w:t>0.16</w:t>
            </w:r>
          </w:p>
        </w:tc>
        <w:tc>
          <w:tcPr>
            <w:tcW w:w="1304" w:type="dxa"/>
            <w:vAlign w:val="center"/>
          </w:tcPr>
          <w:p>
            <w:pPr>
              <w:pStyle w:val="8"/>
              <w:ind w:firstLine="0" w:firstLineChars="0"/>
            </w:pPr>
            <w:r>
              <w:rPr>
                <w:rFonts w:hint="eastAsia"/>
              </w:rPr>
              <w:t>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1129" w:type="dxa"/>
            <w:vMerge w:val="continue"/>
            <w:vAlign w:val="center"/>
          </w:tcPr>
          <w:p>
            <w:pPr>
              <w:pStyle w:val="8"/>
              <w:ind w:firstLine="0" w:firstLineChars="0"/>
            </w:pPr>
          </w:p>
        </w:tc>
        <w:tc>
          <w:tcPr>
            <w:tcW w:w="2513" w:type="dxa"/>
            <w:vAlign w:val="center"/>
          </w:tcPr>
          <w:p>
            <w:pPr>
              <w:pStyle w:val="8"/>
              <w:ind w:firstLine="0" w:firstLineChars="0"/>
            </w:pPr>
            <w:r>
              <w:rPr>
                <w:rFonts w:hint="eastAsia"/>
              </w:rPr>
              <w:t>异位发酵床</w:t>
            </w:r>
          </w:p>
        </w:tc>
        <w:tc>
          <w:tcPr>
            <w:tcW w:w="1294" w:type="dxa"/>
            <w:vAlign w:val="center"/>
          </w:tcPr>
          <w:p>
            <w:pPr>
              <w:pStyle w:val="8"/>
              <w:ind w:firstLine="0" w:firstLineChars="0"/>
              <w:rPr>
                <w:highlight w:val="yellow"/>
              </w:rPr>
            </w:pPr>
            <w:r>
              <w:rPr>
                <w:rFonts w:hint="eastAsia"/>
              </w:rPr>
              <w:t>0.0096</w:t>
            </w:r>
          </w:p>
        </w:tc>
        <w:tc>
          <w:tcPr>
            <w:tcW w:w="1213" w:type="dxa"/>
            <w:vAlign w:val="center"/>
          </w:tcPr>
          <w:p>
            <w:pPr>
              <w:pStyle w:val="8"/>
              <w:ind w:firstLine="0" w:firstLineChars="0"/>
            </w:pPr>
            <w:r>
              <w:rPr>
                <w:rFonts w:hint="eastAsia"/>
              </w:rPr>
              <w:t>0.0016</w:t>
            </w:r>
          </w:p>
        </w:tc>
        <w:tc>
          <w:tcPr>
            <w:tcW w:w="1325" w:type="dxa"/>
            <w:vAlign w:val="center"/>
          </w:tcPr>
          <w:p>
            <w:pPr>
              <w:pStyle w:val="8"/>
              <w:ind w:firstLine="0" w:firstLineChars="0"/>
            </w:pPr>
            <w:r>
              <w:rPr>
                <w:rFonts w:hint="eastAsia"/>
              </w:rPr>
              <w:t>0.0035</w:t>
            </w:r>
          </w:p>
        </w:tc>
        <w:tc>
          <w:tcPr>
            <w:tcW w:w="1304" w:type="dxa"/>
            <w:vAlign w:val="center"/>
          </w:tcPr>
          <w:p>
            <w:pPr>
              <w:pStyle w:val="8"/>
              <w:ind w:firstLine="0" w:firstLineChars="0"/>
              <w:rPr>
                <w:highlight w:val="yellow"/>
              </w:rPr>
            </w:pPr>
            <w:r>
              <w:rPr>
                <w:rFonts w:hint="eastAsia"/>
              </w:rPr>
              <w:t>0.0006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1129" w:type="dxa"/>
            <w:vMerge w:val="continue"/>
            <w:vAlign w:val="center"/>
          </w:tcPr>
          <w:p>
            <w:pPr>
              <w:pStyle w:val="8"/>
              <w:ind w:firstLine="0" w:firstLineChars="0"/>
            </w:pPr>
          </w:p>
        </w:tc>
        <w:tc>
          <w:tcPr>
            <w:tcW w:w="2513" w:type="dxa"/>
            <w:vAlign w:val="center"/>
          </w:tcPr>
          <w:p>
            <w:pPr>
              <w:pStyle w:val="8"/>
              <w:ind w:firstLine="0" w:firstLineChars="0"/>
            </w:pPr>
            <w:r>
              <w:rPr>
                <w:rFonts w:hint="eastAsia"/>
              </w:rPr>
              <w:t>集污池</w:t>
            </w:r>
          </w:p>
        </w:tc>
        <w:tc>
          <w:tcPr>
            <w:tcW w:w="1294" w:type="dxa"/>
            <w:vAlign w:val="center"/>
          </w:tcPr>
          <w:p>
            <w:pPr>
              <w:pStyle w:val="8"/>
              <w:ind w:firstLine="0" w:firstLineChars="0"/>
              <w:rPr>
                <w:highlight w:val="yellow"/>
              </w:rPr>
            </w:pPr>
            <w:r>
              <w:rPr>
                <w:rFonts w:hint="eastAsia"/>
              </w:rPr>
              <w:t>0.87</w:t>
            </w:r>
          </w:p>
        </w:tc>
        <w:tc>
          <w:tcPr>
            <w:tcW w:w="1213" w:type="dxa"/>
            <w:vAlign w:val="center"/>
          </w:tcPr>
          <w:p>
            <w:pPr>
              <w:pStyle w:val="8"/>
              <w:ind w:firstLine="0" w:firstLineChars="0"/>
              <w:rPr>
                <w:highlight w:val="yellow"/>
              </w:rPr>
            </w:pPr>
            <w:r>
              <w:rPr>
                <w:rFonts w:hint="eastAsia"/>
              </w:rPr>
              <w:t>0.034</w:t>
            </w:r>
          </w:p>
        </w:tc>
        <w:tc>
          <w:tcPr>
            <w:tcW w:w="1325" w:type="dxa"/>
            <w:vAlign w:val="center"/>
          </w:tcPr>
          <w:p>
            <w:pPr>
              <w:pStyle w:val="8"/>
              <w:ind w:firstLine="0" w:firstLineChars="0"/>
              <w:rPr>
                <w:highlight w:val="yellow"/>
              </w:rPr>
            </w:pPr>
            <w:r>
              <w:rPr>
                <w:rFonts w:hint="eastAsia"/>
              </w:rPr>
              <w:t>0.127</w:t>
            </w:r>
          </w:p>
        </w:tc>
        <w:tc>
          <w:tcPr>
            <w:tcW w:w="1304" w:type="dxa"/>
            <w:vAlign w:val="center"/>
          </w:tcPr>
          <w:p>
            <w:pPr>
              <w:pStyle w:val="8"/>
              <w:ind w:firstLine="0" w:firstLineChars="0"/>
              <w:rPr>
                <w:highlight w:val="yellow"/>
              </w:rPr>
            </w:pPr>
            <w:r>
              <w:rPr>
                <w:rFonts w:hint="eastAsia"/>
              </w:rPr>
              <w:t>0.005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atLeast"/>
          <w:jc w:val="center"/>
        </w:trPr>
        <w:tc>
          <w:tcPr>
            <w:tcW w:w="1129" w:type="dxa"/>
            <w:vMerge w:val="continue"/>
            <w:vAlign w:val="center"/>
          </w:tcPr>
          <w:p>
            <w:pPr>
              <w:pStyle w:val="8"/>
              <w:ind w:firstLine="0" w:firstLineChars="0"/>
            </w:pPr>
          </w:p>
        </w:tc>
        <w:tc>
          <w:tcPr>
            <w:tcW w:w="2513" w:type="dxa"/>
            <w:vAlign w:val="center"/>
          </w:tcPr>
          <w:p>
            <w:pPr>
              <w:pStyle w:val="8"/>
              <w:ind w:firstLine="0" w:firstLineChars="0"/>
            </w:pPr>
            <w:r>
              <w:rPr>
                <w:rFonts w:hint="eastAsia"/>
              </w:rPr>
              <w:t>合</w:t>
            </w:r>
            <w:r>
              <w:t>计</w:t>
            </w:r>
          </w:p>
        </w:tc>
        <w:tc>
          <w:tcPr>
            <w:tcW w:w="1294" w:type="dxa"/>
            <w:vAlign w:val="center"/>
          </w:tcPr>
          <w:p>
            <w:pPr>
              <w:pStyle w:val="8"/>
              <w:ind w:firstLine="0" w:firstLineChars="0"/>
              <w:rPr>
                <w:highlight w:val="yellow"/>
              </w:rPr>
            </w:pPr>
          </w:p>
        </w:tc>
        <w:tc>
          <w:tcPr>
            <w:tcW w:w="1213" w:type="dxa"/>
            <w:vAlign w:val="center"/>
          </w:tcPr>
          <w:p>
            <w:pPr>
              <w:pStyle w:val="8"/>
              <w:ind w:firstLine="0" w:firstLineChars="0"/>
              <w:rPr>
                <w:highlight w:val="yellow"/>
              </w:rPr>
            </w:pPr>
          </w:p>
        </w:tc>
        <w:tc>
          <w:tcPr>
            <w:tcW w:w="1325" w:type="dxa"/>
            <w:vAlign w:val="center"/>
          </w:tcPr>
          <w:p>
            <w:pPr>
              <w:pStyle w:val="8"/>
              <w:ind w:firstLine="0" w:firstLineChars="0"/>
            </w:pPr>
            <w:r>
              <w:rPr>
                <w:rFonts w:hint="eastAsia"/>
              </w:rPr>
              <w:t>0.2905</w:t>
            </w:r>
          </w:p>
        </w:tc>
        <w:tc>
          <w:tcPr>
            <w:tcW w:w="1304" w:type="dxa"/>
            <w:vAlign w:val="center"/>
          </w:tcPr>
          <w:p>
            <w:pPr>
              <w:pStyle w:val="8"/>
              <w:ind w:firstLine="0" w:firstLineChars="0"/>
            </w:pPr>
            <w:r>
              <w:rPr>
                <w:rFonts w:hint="eastAsia"/>
              </w:rPr>
              <w:t>0.0236</w:t>
            </w:r>
          </w:p>
        </w:tc>
      </w:tr>
    </w:tbl>
    <w:p>
      <w:pPr>
        <w:ind w:firstLine="480"/>
      </w:pPr>
      <w:r>
        <w:t>（2）</w:t>
      </w:r>
      <w:r>
        <w:rPr>
          <w:rFonts w:hint="eastAsia"/>
        </w:rPr>
        <w:t>发电机烟气</w:t>
      </w:r>
    </w:p>
    <w:p>
      <w:pPr>
        <w:ind w:firstLine="480"/>
      </w:pPr>
      <w:r>
        <w:t>项目建成后，</w:t>
      </w:r>
      <w:r>
        <w:rPr>
          <w:rFonts w:hint="eastAsia"/>
        </w:rPr>
        <w:t>各</w:t>
      </w:r>
      <w:r>
        <w:t>采用1台功率为200KW的备用柴油发电机作为备用电源供电，澧县</w:t>
      </w:r>
      <w:r>
        <w:rPr>
          <w:rFonts w:hint="eastAsia"/>
        </w:rPr>
        <w:t>大堰垱镇</w:t>
      </w:r>
      <w:r>
        <w:t>供电比较正常，备用发电机使用次数不多，</w:t>
      </w:r>
      <w:r>
        <w:rPr>
          <w:rFonts w:hint="eastAsia"/>
        </w:rPr>
        <w:t>柴油发电机工作时，排放的污染物主要为：烟尘、</w:t>
      </w:r>
      <w:r>
        <w:t>NO</w:t>
      </w:r>
      <w:r>
        <w:rPr>
          <w:vertAlign w:val="subscript"/>
        </w:rPr>
        <w:t>X</w:t>
      </w:r>
      <w:r>
        <w:t>、CO及SO</w:t>
      </w:r>
      <w:r>
        <w:rPr>
          <w:vertAlign w:val="subscript"/>
        </w:rPr>
        <w:t>2</w:t>
      </w:r>
      <w:r>
        <w:t>。项目发电机使用时间不</w:t>
      </w:r>
      <w:r>
        <w:rPr>
          <w:rFonts w:hint="eastAsia"/>
        </w:rPr>
        <w:t>确</w:t>
      </w:r>
      <w:r>
        <w:t>定，本次评价将不进行定量分析。</w:t>
      </w:r>
    </w:p>
    <w:p>
      <w:pPr>
        <w:ind w:firstLine="480"/>
      </w:pPr>
      <w:r>
        <w:rPr>
          <w:rFonts w:hint="eastAsia"/>
        </w:rPr>
        <w:t>（3）食堂油烟</w:t>
      </w:r>
    </w:p>
    <w:p>
      <w:pPr>
        <w:ind w:firstLine="480"/>
      </w:pPr>
      <w:r>
        <w:rPr>
          <w:rFonts w:hint="eastAsia"/>
        </w:rPr>
        <w:t>本项目厨房采用液化石油气为燃料，为清洁能源，厨房废气主要为厨房油烟。食物在烹饪、加工过程中将挥发出油脂、有机质及热分解或裂解产物，产生油烟废气。</w:t>
      </w:r>
      <w:r>
        <w:t>人均食用油用量约30g/人•d。本项目每天就餐人数约</w:t>
      </w:r>
      <w:r>
        <w:rPr>
          <w:rFonts w:hint="eastAsia"/>
        </w:rPr>
        <w:t>6人</w:t>
      </w:r>
      <w:r>
        <w:t>，则项目日耗油量为0.</w:t>
      </w:r>
      <w:r>
        <w:rPr>
          <w:rFonts w:hint="eastAsia"/>
        </w:rPr>
        <w:t>18</w:t>
      </w:r>
      <w:r>
        <w:t>kg/d，年耗油为</w:t>
      </w:r>
      <w:r>
        <w:rPr>
          <w:rFonts w:hint="eastAsia"/>
        </w:rPr>
        <w:t>65.7kg</w:t>
      </w:r>
      <w:r>
        <w:t>，油烟挥发量</w:t>
      </w:r>
      <w:r>
        <w:rPr>
          <w:rFonts w:hint="eastAsia"/>
        </w:rPr>
        <w:t>一般为食用油用量的2%-4%，本项目取最大值4</w:t>
      </w:r>
      <w:r>
        <w:t>%，经估算，项目日产生油烟量为</w:t>
      </w:r>
      <w:r>
        <w:rPr>
          <w:rFonts w:hint="eastAsia"/>
        </w:rPr>
        <w:t>7.2</w:t>
      </w:r>
      <w:r>
        <w:t>g/d，年产生油烟量为</w:t>
      </w:r>
      <w:r>
        <w:rPr>
          <w:rFonts w:hint="eastAsia"/>
        </w:rPr>
        <w:t>2.63</w:t>
      </w:r>
      <w:r>
        <w:t>kg/a</w:t>
      </w:r>
      <w:r>
        <w:rPr>
          <w:rFonts w:hint="eastAsia"/>
        </w:rPr>
        <w:t>，</w:t>
      </w:r>
      <w:r>
        <w:t>抽烟机风量以2000m</w:t>
      </w:r>
      <w:r>
        <w:rPr>
          <w:vertAlign w:val="superscript"/>
        </w:rPr>
        <w:t>3</w:t>
      </w:r>
      <w:r>
        <w:t>/h计，</w:t>
      </w:r>
      <w:r>
        <w:rPr>
          <w:rFonts w:hint="eastAsia"/>
        </w:rPr>
        <w:t>每天工作2</w:t>
      </w:r>
      <w:r>
        <w:t>h</w:t>
      </w:r>
      <w:r>
        <w:rPr>
          <w:rFonts w:hint="eastAsia"/>
        </w:rPr>
        <w:t>，年工作365天，则油烟的产生浓度为1.8</w:t>
      </w:r>
      <w:r>
        <w:t>mg/m</w:t>
      </w:r>
      <w:r>
        <w:rPr>
          <w:vertAlign w:val="superscript"/>
        </w:rPr>
        <w:t>3</w:t>
      </w:r>
      <w:r>
        <w:t>。</w:t>
      </w:r>
    </w:p>
    <w:p>
      <w:pPr>
        <w:ind w:firstLine="480"/>
      </w:pPr>
      <w:r>
        <w:t>治理措施：安装油烟去除率不低于85%的油烟净化器，</w:t>
      </w:r>
      <w:r>
        <w:rPr>
          <w:rFonts w:hint="eastAsia"/>
        </w:rPr>
        <w:t>则项目油烟</w:t>
      </w:r>
      <w:r>
        <w:t>排放浓度</w:t>
      </w:r>
      <w:r>
        <w:rPr>
          <w:rFonts w:hint="eastAsia"/>
        </w:rPr>
        <w:t>为：0.27</w:t>
      </w:r>
      <w:r>
        <w:t>mg/m</w:t>
      </w:r>
      <w:r>
        <w:rPr>
          <w:vertAlign w:val="superscript"/>
        </w:rPr>
        <w:t>3</w:t>
      </w:r>
      <w:r>
        <w:rPr>
          <w:rFonts w:hint="eastAsia"/>
        </w:rPr>
        <w:t>，排放量为：0.0003t/a。</w:t>
      </w:r>
      <w:r>
        <w:t>经净化后的食堂烟气从专用烟道排出。</w:t>
      </w:r>
    </w:p>
    <w:p>
      <w:pPr>
        <w:ind w:firstLine="480"/>
      </w:pPr>
      <w:r>
        <w:t>（</w:t>
      </w:r>
      <w:r>
        <w:rPr>
          <w:rFonts w:hint="eastAsia"/>
        </w:rPr>
        <w:t>4</w:t>
      </w:r>
      <w:r>
        <w:t>）</w:t>
      </w:r>
      <w:r>
        <w:rPr>
          <w:rFonts w:hint="eastAsia"/>
        </w:rPr>
        <w:t>废气污染源汇总</w:t>
      </w:r>
    </w:p>
    <w:p>
      <w:pPr>
        <w:ind w:firstLine="480"/>
      </w:pPr>
      <w:r>
        <w:rPr>
          <w:rFonts w:hint="eastAsia"/>
        </w:rPr>
        <w:t>项目主要废气污染源汇总情况见表2.4</w:t>
      </w:r>
      <w:r>
        <w:t>-</w:t>
      </w:r>
      <w:r>
        <w:rPr>
          <w:rFonts w:hint="eastAsia"/>
        </w:rPr>
        <w:t>11：</w:t>
      </w:r>
    </w:p>
    <w:p>
      <w:pPr>
        <w:pStyle w:val="11"/>
      </w:pPr>
      <w:r>
        <w:t xml:space="preserve">表2.4- </w:t>
      </w:r>
      <w:r>
        <w:fldChar w:fldCharType="begin"/>
      </w:r>
      <w:r>
        <w:instrText xml:space="preserve"> SEQ 表2.4- \* ARABIC </w:instrText>
      </w:r>
      <w:r>
        <w:fldChar w:fldCharType="separate"/>
      </w:r>
      <w:r>
        <w:t>9</w:t>
      </w:r>
      <w:r>
        <w:fldChar w:fldCharType="end"/>
      </w:r>
      <w:r>
        <w:rPr>
          <w:rFonts w:hint="eastAsia"/>
        </w:rPr>
        <w:t xml:space="preserve">  项目废气污染源汇总</w:t>
      </w:r>
    </w:p>
    <w:tbl>
      <w:tblPr>
        <w:tblStyle w:val="21"/>
        <w:tblW w:w="87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4"/>
        <w:gridCol w:w="1366"/>
        <w:gridCol w:w="987"/>
        <w:gridCol w:w="1005"/>
        <w:gridCol w:w="980"/>
        <w:gridCol w:w="1135"/>
        <w:gridCol w:w="22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3" w:hRule="atLeast"/>
          <w:jc w:val="center"/>
        </w:trPr>
        <w:tc>
          <w:tcPr>
            <w:tcW w:w="994" w:type="dxa"/>
            <w:vAlign w:val="center"/>
          </w:tcPr>
          <w:p>
            <w:pPr>
              <w:pStyle w:val="8"/>
              <w:ind w:firstLine="0" w:firstLineChars="0"/>
            </w:pPr>
            <w:r>
              <w:rPr>
                <w:rFonts w:hint="eastAsia"/>
              </w:rPr>
              <w:t>污染源</w:t>
            </w:r>
          </w:p>
        </w:tc>
        <w:tc>
          <w:tcPr>
            <w:tcW w:w="1366" w:type="dxa"/>
            <w:vAlign w:val="center"/>
          </w:tcPr>
          <w:p>
            <w:pPr>
              <w:pStyle w:val="8"/>
              <w:ind w:firstLine="0" w:firstLineChars="0"/>
            </w:pPr>
            <w:r>
              <w:rPr>
                <w:rFonts w:hint="eastAsia"/>
              </w:rPr>
              <w:t>污染物名称</w:t>
            </w:r>
          </w:p>
        </w:tc>
        <w:tc>
          <w:tcPr>
            <w:tcW w:w="987" w:type="dxa"/>
            <w:vAlign w:val="center"/>
          </w:tcPr>
          <w:p>
            <w:pPr>
              <w:pStyle w:val="8"/>
              <w:ind w:firstLine="0" w:firstLineChars="0"/>
            </w:pPr>
            <w:r>
              <w:rPr>
                <w:rFonts w:hint="eastAsia"/>
              </w:rPr>
              <w:t>产生量</w:t>
            </w:r>
            <w:r>
              <w:t>t/a</w:t>
            </w:r>
          </w:p>
        </w:tc>
        <w:tc>
          <w:tcPr>
            <w:tcW w:w="1005" w:type="dxa"/>
            <w:vAlign w:val="center"/>
          </w:tcPr>
          <w:p>
            <w:pPr>
              <w:pStyle w:val="8"/>
              <w:ind w:firstLine="0" w:firstLineChars="0"/>
            </w:pPr>
            <w:r>
              <w:rPr>
                <w:rFonts w:hint="eastAsia"/>
              </w:rPr>
              <w:t>产生浓度</w:t>
            </w:r>
          </w:p>
          <w:p>
            <w:pPr>
              <w:pStyle w:val="8"/>
              <w:ind w:firstLine="0" w:firstLineChars="0"/>
            </w:pPr>
            <w:r>
              <w:t>mg/m</w:t>
            </w:r>
            <w:r>
              <w:rPr>
                <w:vertAlign w:val="superscript"/>
              </w:rPr>
              <w:t>3</w:t>
            </w:r>
          </w:p>
        </w:tc>
        <w:tc>
          <w:tcPr>
            <w:tcW w:w="980" w:type="dxa"/>
            <w:vAlign w:val="center"/>
          </w:tcPr>
          <w:p>
            <w:pPr>
              <w:pStyle w:val="8"/>
              <w:ind w:firstLine="0" w:firstLineChars="0"/>
            </w:pPr>
            <w:r>
              <w:rPr>
                <w:rFonts w:hint="eastAsia"/>
              </w:rPr>
              <w:t>排放量</w:t>
            </w:r>
          </w:p>
          <w:p>
            <w:pPr>
              <w:pStyle w:val="8"/>
              <w:ind w:firstLine="0" w:firstLineChars="0"/>
            </w:pPr>
            <w:r>
              <w:t>t/a</w:t>
            </w:r>
          </w:p>
        </w:tc>
        <w:tc>
          <w:tcPr>
            <w:tcW w:w="1135" w:type="dxa"/>
            <w:vAlign w:val="center"/>
          </w:tcPr>
          <w:p>
            <w:pPr>
              <w:pStyle w:val="8"/>
              <w:ind w:firstLine="0" w:firstLineChars="0"/>
            </w:pPr>
            <w:r>
              <w:rPr>
                <w:rFonts w:hint="eastAsia"/>
              </w:rPr>
              <w:t>排放浓度</w:t>
            </w:r>
            <w:r>
              <w:t>mg/m</w:t>
            </w:r>
            <w:r>
              <w:rPr>
                <w:vertAlign w:val="superscript"/>
              </w:rPr>
              <w:t>3</w:t>
            </w:r>
          </w:p>
        </w:tc>
        <w:tc>
          <w:tcPr>
            <w:tcW w:w="2269" w:type="dxa"/>
            <w:vAlign w:val="center"/>
          </w:tcPr>
          <w:p>
            <w:pPr>
              <w:pStyle w:val="8"/>
              <w:ind w:firstLine="0" w:firstLineChars="0"/>
            </w:pPr>
            <w:r>
              <w:rPr>
                <w:rFonts w:hint="eastAsia"/>
              </w:rPr>
              <w:t>处理措施及去向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994" w:type="dxa"/>
            <w:vMerge w:val="restart"/>
            <w:vAlign w:val="center"/>
          </w:tcPr>
          <w:p>
            <w:pPr>
              <w:pStyle w:val="8"/>
              <w:ind w:firstLine="0" w:firstLineChars="0"/>
            </w:pPr>
            <w:r>
              <w:rPr>
                <w:rFonts w:hint="eastAsia"/>
              </w:rPr>
              <w:t>面源</w:t>
            </w:r>
          </w:p>
        </w:tc>
        <w:tc>
          <w:tcPr>
            <w:tcW w:w="1366" w:type="dxa"/>
            <w:vAlign w:val="center"/>
          </w:tcPr>
          <w:p>
            <w:pPr>
              <w:pStyle w:val="8"/>
              <w:ind w:firstLine="0" w:firstLineChars="0"/>
            </w:pPr>
            <w:r>
              <w:t>NH</w:t>
            </w:r>
            <w:r>
              <w:rPr>
                <w:vertAlign w:val="subscript"/>
              </w:rPr>
              <w:t>3</w:t>
            </w:r>
          </w:p>
        </w:tc>
        <w:tc>
          <w:tcPr>
            <w:tcW w:w="987" w:type="dxa"/>
            <w:vAlign w:val="center"/>
          </w:tcPr>
          <w:p>
            <w:pPr>
              <w:pStyle w:val="8"/>
              <w:ind w:firstLine="0" w:firstLineChars="0"/>
            </w:pPr>
            <w:r>
              <w:rPr>
                <w:rFonts w:hint="eastAsia"/>
              </w:rPr>
              <w:t>5.615</w:t>
            </w:r>
          </w:p>
        </w:tc>
        <w:tc>
          <w:tcPr>
            <w:tcW w:w="1005" w:type="dxa"/>
            <w:vAlign w:val="center"/>
          </w:tcPr>
          <w:p>
            <w:pPr>
              <w:pStyle w:val="8"/>
              <w:ind w:firstLine="0" w:firstLineChars="0"/>
            </w:pPr>
            <w:r>
              <w:t>/</w:t>
            </w:r>
          </w:p>
        </w:tc>
        <w:tc>
          <w:tcPr>
            <w:tcW w:w="980" w:type="dxa"/>
            <w:vAlign w:val="center"/>
          </w:tcPr>
          <w:p>
            <w:pPr>
              <w:pStyle w:val="8"/>
              <w:ind w:firstLine="0" w:firstLineChars="0"/>
              <w:rPr>
                <w:highlight w:val="yellow"/>
              </w:rPr>
            </w:pPr>
            <w:r>
              <w:rPr>
                <w:rFonts w:hint="eastAsia"/>
              </w:rPr>
              <w:t>0.2905</w:t>
            </w:r>
          </w:p>
        </w:tc>
        <w:tc>
          <w:tcPr>
            <w:tcW w:w="1135" w:type="dxa"/>
            <w:vAlign w:val="center"/>
          </w:tcPr>
          <w:p>
            <w:pPr>
              <w:pStyle w:val="8"/>
              <w:ind w:firstLine="0" w:firstLineChars="0"/>
            </w:pPr>
            <w:r>
              <w:t>/</w:t>
            </w:r>
          </w:p>
        </w:tc>
        <w:tc>
          <w:tcPr>
            <w:tcW w:w="2269" w:type="dxa"/>
            <w:vMerge w:val="restart"/>
            <w:vAlign w:val="center"/>
          </w:tcPr>
          <w:p>
            <w:pPr>
              <w:pStyle w:val="8"/>
              <w:ind w:firstLine="0" w:firstLineChars="0"/>
            </w:pPr>
            <w:r>
              <w:rPr>
                <w:rFonts w:hint="eastAsia"/>
              </w:rPr>
              <w:t>采取喷洒除臭剂、合理搭配使用饲料、堆粪棚和集污池通风、厂区绿化等抑臭措施后无组织排放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2" w:hRule="atLeast"/>
          <w:jc w:val="center"/>
        </w:trPr>
        <w:tc>
          <w:tcPr>
            <w:tcW w:w="994" w:type="dxa"/>
            <w:vMerge w:val="continue"/>
            <w:vAlign w:val="center"/>
          </w:tcPr>
          <w:p>
            <w:pPr>
              <w:pStyle w:val="8"/>
              <w:ind w:firstLine="0" w:firstLineChars="0"/>
            </w:pPr>
          </w:p>
        </w:tc>
        <w:tc>
          <w:tcPr>
            <w:tcW w:w="1366" w:type="dxa"/>
            <w:vAlign w:val="center"/>
          </w:tcPr>
          <w:p>
            <w:pPr>
              <w:pStyle w:val="8"/>
              <w:ind w:firstLine="0" w:firstLineChars="0"/>
            </w:pPr>
            <w:r>
              <w:t>H</w:t>
            </w:r>
            <w:r>
              <w:rPr>
                <w:vertAlign w:val="subscript"/>
              </w:rPr>
              <w:t>2</w:t>
            </w:r>
            <w:r>
              <w:t>S</w:t>
            </w:r>
          </w:p>
        </w:tc>
        <w:tc>
          <w:tcPr>
            <w:tcW w:w="987" w:type="dxa"/>
            <w:vAlign w:val="center"/>
          </w:tcPr>
          <w:p>
            <w:pPr>
              <w:pStyle w:val="8"/>
              <w:ind w:firstLine="0" w:firstLineChars="0"/>
            </w:pPr>
            <w:r>
              <w:rPr>
                <w:rFonts w:hint="eastAsia"/>
              </w:rPr>
              <w:t>0.646</w:t>
            </w:r>
          </w:p>
        </w:tc>
        <w:tc>
          <w:tcPr>
            <w:tcW w:w="1005" w:type="dxa"/>
            <w:vAlign w:val="center"/>
          </w:tcPr>
          <w:p>
            <w:pPr>
              <w:pStyle w:val="8"/>
              <w:ind w:firstLine="0" w:firstLineChars="0"/>
            </w:pPr>
            <w:r>
              <w:t>/</w:t>
            </w:r>
          </w:p>
        </w:tc>
        <w:tc>
          <w:tcPr>
            <w:tcW w:w="980" w:type="dxa"/>
            <w:vAlign w:val="center"/>
          </w:tcPr>
          <w:p>
            <w:pPr>
              <w:pStyle w:val="8"/>
              <w:ind w:firstLine="0" w:firstLineChars="0"/>
              <w:rPr>
                <w:highlight w:val="yellow"/>
              </w:rPr>
            </w:pPr>
            <w:r>
              <w:rPr>
                <w:rFonts w:hint="eastAsia"/>
              </w:rPr>
              <w:t>0.0236</w:t>
            </w:r>
          </w:p>
        </w:tc>
        <w:tc>
          <w:tcPr>
            <w:tcW w:w="1135" w:type="dxa"/>
            <w:vAlign w:val="center"/>
          </w:tcPr>
          <w:p>
            <w:pPr>
              <w:pStyle w:val="8"/>
              <w:ind w:firstLine="0" w:firstLineChars="0"/>
            </w:pPr>
            <w:r>
              <w:t>/</w:t>
            </w:r>
          </w:p>
        </w:tc>
        <w:tc>
          <w:tcPr>
            <w:tcW w:w="2269" w:type="dxa"/>
            <w:vMerge w:val="continue"/>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994" w:type="dxa"/>
            <w:vAlign w:val="center"/>
          </w:tcPr>
          <w:p>
            <w:pPr>
              <w:pStyle w:val="8"/>
              <w:ind w:firstLine="0" w:firstLineChars="0"/>
            </w:pPr>
            <w:r>
              <w:rPr>
                <w:rFonts w:hint="eastAsia"/>
              </w:rPr>
              <w:t>食堂</w:t>
            </w:r>
          </w:p>
        </w:tc>
        <w:tc>
          <w:tcPr>
            <w:tcW w:w="1366" w:type="dxa"/>
            <w:vAlign w:val="center"/>
          </w:tcPr>
          <w:p>
            <w:pPr>
              <w:pStyle w:val="8"/>
              <w:ind w:firstLine="0" w:firstLineChars="0"/>
            </w:pPr>
            <w:r>
              <w:rPr>
                <w:rFonts w:hint="eastAsia"/>
              </w:rPr>
              <w:t>油烟</w:t>
            </w:r>
          </w:p>
        </w:tc>
        <w:tc>
          <w:tcPr>
            <w:tcW w:w="987" w:type="dxa"/>
            <w:vAlign w:val="center"/>
          </w:tcPr>
          <w:p>
            <w:pPr>
              <w:pStyle w:val="8"/>
              <w:ind w:firstLine="0" w:firstLineChars="0"/>
            </w:pPr>
            <w:r>
              <w:t>0.0</w:t>
            </w:r>
            <w:r>
              <w:rPr>
                <w:rFonts w:hint="eastAsia"/>
              </w:rPr>
              <w:t>026</w:t>
            </w:r>
          </w:p>
        </w:tc>
        <w:tc>
          <w:tcPr>
            <w:tcW w:w="1005" w:type="dxa"/>
            <w:vAlign w:val="center"/>
          </w:tcPr>
          <w:p>
            <w:pPr>
              <w:pStyle w:val="8"/>
              <w:ind w:firstLine="0" w:firstLineChars="0"/>
            </w:pPr>
            <w:r>
              <w:rPr>
                <w:rFonts w:hint="eastAsia"/>
              </w:rPr>
              <w:t>1.8</w:t>
            </w:r>
          </w:p>
        </w:tc>
        <w:tc>
          <w:tcPr>
            <w:tcW w:w="980" w:type="dxa"/>
            <w:vAlign w:val="center"/>
          </w:tcPr>
          <w:p>
            <w:pPr>
              <w:pStyle w:val="8"/>
              <w:ind w:firstLine="0" w:firstLineChars="0"/>
            </w:pPr>
            <w:r>
              <w:t>0.00</w:t>
            </w:r>
            <w:r>
              <w:rPr>
                <w:rFonts w:hint="eastAsia"/>
              </w:rPr>
              <w:t>03</w:t>
            </w:r>
          </w:p>
        </w:tc>
        <w:tc>
          <w:tcPr>
            <w:tcW w:w="1135" w:type="dxa"/>
            <w:vAlign w:val="center"/>
          </w:tcPr>
          <w:p>
            <w:pPr>
              <w:pStyle w:val="8"/>
              <w:ind w:firstLine="0" w:firstLineChars="0"/>
            </w:pPr>
            <w:r>
              <w:rPr>
                <w:rFonts w:hint="eastAsia"/>
              </w:rPr>
              <w:t>0.27</w:t>
            </w:r>
          </w:p>
        </w:tc>
        <w:tc>
          <w:tcPr>
            <w:tcW w:w="2269" w:type="dxa"/>
            <w:vAlign w:val="center"/>
          </w:tcPr>
          <w:p>
            <w:pPr>
              <w:pStyle w:val="8"/>
              <w:ind w:firstLine="0" w:firstLineChars="0"/>
            </w:pPr>
            <w:r>
              <w:rPr>
                <w:rFonts w:hint="eastAsia"/>
              </w:rPr>
              <w:t>油烟净化，烟筒排放</w:t>
            </w:r>
          </w:p>
        </w:tc>
      </w:tr>
    </w:tbl>
    <w:p>
      <w:pPr>
        <w:pStyle w:val="6"/>
      </w:pPr>
      <w:r>
        <w:rPr>
          <w:rFonts w:hint="eastAsia"/>
        </w:rPr>
        <w:t>2.4.2.3噪声污染源强分析</w:t>
      </w:r>
    </w:p>
    <w:p>
      <w:pPr>
        <w:ind w:firstLine="480"/>
      </w:pPr>
      <w:r>
        <w:rPr>
          <w:rFonts w:hint="eastAsia"/>
        </w:rPr>
        <w:t>项目母猪场和育肥场噪声主要均来源于猪群叫声、猪舍排气扇、水泵、风机等产生的噪声，猪舍排气扇的等效声级值在</w:t>
      </w:r>
      <w:r>
        <w:t>75~85dB</w:t>
      </w:r>
      <w:r>
        <w:rPr>
          <w:rFonts w:hint="eastAsia"/>
        </w:rPr>
        <w:t>（</w:t>
      </w:r>
      <w:r>
        <w:t>A</w:t>
      </w:r>
      <w:r>
        <w:rPr>
          <w:rFonts w:hint="eastAsia"/>
        </w:rPr>
        <w:t>），猪群哼叫声在</w:t>
      </w:r>
      <w:r>
        <w:t>70~80dB</w:t>
      </w:r>
      <w:r>
        <w:rPr>
          <w:rFonts w:hint="eastAsia"/>
        </w:rPr>
        <w:t>（</w:t>
      </w:r>
      <w:r>
        <w:t>A</w:t>
      </w:r>
      <w:r>
        <w:rPr>
          <w:rFonts w:hint="eastAsia"/>
        </w:rPr>
        <w:t>），水泵的等效声级值在</w:t>
      </w:r>
      <w:r>
        <w:t>80~90dB</w:t>
      </w:r>
      <w:r>
        <w:rPr>
          <w:rFonts w:hint="eastAsia"/>
        </w:rPr>
        <w:t>（</w:t>
      </w:r>
      <w:r>
        <w:t>A</w:t>
      </w:r>
      <w:r>
        <w:rPr>
          <w:rFonts w:hint="eastAsia"/>
        </w:rPr>
        <w:t>），风机的等效声级值在</w:t>
      </w:r>
      <w:r>
        <w:t>80~90dB</w:t>
      </w:r>
      <w:r>
        <w:rPr>
          <w:rFonts w:hint="eastAsia"/>
        </w:rPr>
        <w:t>（</w:t>
      </w:r>
      <w:r>
        <w:t>A</w:t>
      </w:r>
      <w:r>
        <w:rPr>
          <w:rFonts w:hint="eastAsia"/>
        </w:rPr>
        <w:t>）。主要噪声源排放情况见表2.4-12。</w:t>
      </w:r>
    </w:p>
    <w:p>
      <w:pPr>
        <w:pStyle w:val="11"/>
      </w:pPr>
      <w:r>
        <w:t xml:space="preserve">表2.4- </w:t>
      </w:r>
      <w:r>
        <w:fldChar w:fldCharType="begin"/>
      </w:r>
      <w:r>
        <w:instrText xml:space="preserve"> SEQ 表2.4- \* ARABIC </w:instrText>
      </w:r>
      <w:r>
        <w:fldChar w:fldCharType="separate"/>
      </w:r>
      <w:r>
        <w:t>10</w:t>
      </w:r>
      <w:r>
        <w:fldChar w:fldCharType="end"/>
      </w:r>
      <w:r>
        <w:rPr>
          <w:rFonts w:hint="eastAsia"/>
        </w:rPr>
        <w:t xml:space="preserve">   项目主要噪声源强表 </w:t>
      </w:r>
    </w:p>
    <w:tbl>
      <w:tblPr>
        <w:tblStyle w:val="21"/>
        <w:tblW w:w="87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82"/>
        <w:gridCol w:w="2181"/>
        <w:gridCol w:w="2183"/>
        <w:gridCol w:w="21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82" w:type="dxa"/>
            <w:vAlign w:val="center"/>
          </w:tcPr>
          <w:p>
            <w:pPr>
              <w:pStyle w:val="8"/>
              <w:ind w:firstLine="0" w:firstLineChars="0"/>
            </w:pPr>
            <w:r>
              <w:rPr>
                <w:rFonts w:hint="eastAsia"/>
              </w:rPr>
              <w:t>种类</w:t>
            </w:r>
          </w:p>
        </w:tc>
        <w:tc>
          <w:tcPr>
            <w:tcW w:w="2181" w:type="dxa"/>
            <w:vAlign w:val="center"/>
          </w:tcPr>
          <w:p>
            <w:pPr>
              <w:pStyle w:val="8"/>
              <w:ind w:firstLine="0" w:firstLineChars="0"/>
            </w:pPr>
            <w:r>
              <w:rPr>
                <w:rFonts w:hint="eastAsia"/>
              </w:rPr>
              <w:t>污染物来源</w:t>
            </w:r>
          </w:p>
        </w:tc>
        <w:tc>
          <w:tcPr>
            <w:tcW w:w="2183" w:type="dxa"/>
            <w:vAlign w:val="center"/>
          </w:tcPr>
          <w:p>
            <w:pPr>
              <w:pStyle w:val="8"/>
              <w:ind w:firstLine="0" w:firstLineChars="0"/>
            </w:pPr>
            <w:r>
              <w:rPr>
                <w:rFonts w:hint="eastAsia"/>
              </w:rPr>
              <w:t>产生方式</w:t>
            </w:r>
          </w:p>
        </w:tc>
        <w:tc>
          <w:tcPr>
            <w:tcW w:w="2186" w:type="dxa"/>
            <w:vAlign w:val="center"/>
          </w:tcPr>
          <w:p>
            <w:pPr>
              <w:pStyle w:val="8"/>
              <w:ind w:firstLine="0" w:firstLineChars="0"/>
            </w:pPr>
            <w:r>
              <w:rPr>
                <w:rFonts w:hint="eastAsia"/>
              </w:rPr>
              <w:t>产生源强</w:t>
            </w:r>
            <w:r>
              <w:t>dB</w:t>
            </w:r>
            <w:r>
              <w:rPr>
                <w:rFonts w:hint="eastAsia"/>
              </w:rPr>
              <w:t>（</w:t>
            </w:r>
            <w:r>
              <w:t>A</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82" w:type="dxa"/>
            <w:vAlign w:val="center"/>
          </w:tcPr>
          <w:p>
            <w:pPr>
              <w:pStyle w:val="8"/>
              <w:ind w:firstLine="0" w:firstLineChars="0"/>
            </w:pPr>
            <w:r>
              <w:rPr>
                <w:rFonts w:hint="eastAsia"/>
              </w:rPr>
              <w:t>猪叫</w:t>
            </w:r>
          </w:p>
        </w:tc>
        <w:tc>
          <w:tcPr>
            <w:tcW w:w="2181" w:type="dxa"/>
            <w:vAlign w:val="center"/>
          </w:tcPr>
          <w:p>
            <w:pPr>
              <w:pStyle w:val="8"/>
              <w:ind w:firstLine="0" w:firstLineChars="0"/>
            </w:pPr>
            <w:r>
              <w:rPr>
                <w:rFonts w:hint="eastAsia"/>
              </w:rPr>
              <w:t>全部猪舍</w:t>
            </w:r>
          </w:p>
        </w:tc>
        <w:tc>
          <w:tcPr>
            <w:tcW w:w="2183" w:type="dxa"/>
            <w:vAlign w:val="center"/>
          </w:tcPr>
          <w:p>
            <w:pPr>
              <w:pStyle w:val="8"/>
              <w:ind w:firstLine="0" w:firstLineChars="0"/>
            </w:pPr>
            <w:r>
              <w:rPr>
                <w:rFonts w:hint="eastAsia"/>
              </w:rPr>
              <w:t>间断</w:t>
            </w:r>
          </w:p>
        </w:tc>
        <w:tc>
          <w:tcPr>
            <w:tcW w:w="2186" w:type="dxa"/>
            <w:vAlign w:val="center"/>
          </w:tcPr>
          <w:p>
            <w:pPr>
              <w:pStyle w:val="8"/>
              <w:ind w:firstLine="0" w:firstLineChars="0"/>
            </w:pPr>
            <w:r>
              <w:t>70~80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82" w:type="dxa"/>
            <w:vAlign w:val="center"/>
          </w:tcPr>
          <w:p>
            <w:pPr>
              <w:pStyle w:val="8"/>
              <w:ind w:firstLine="0" w:firstLineChars="0"/>
            </w:pPr>
            <w:r>
              <w:rPr>
                <w:rFonts w:hint="eastAsia"/>
              </w:rPr>
              <w:t>猪舍风机</w:t>
            </w:r>
          </w:p>
        </w:tc>
        <w:tc>
          <w:tcPr>
            <w:tcW w:w="2181" w:type="dxa"/>
            <w:vAlign w:val="center"/>
          </w:tcPr>
          <w:p>
            <w:pPr>
              <w:pStyle w:val="8"/>
              <w:ind w:firstLine="0" w:firstLineChars="0"/>
            </w:pPr>
            <w:r>
              <w:rPr>
                <w:rFonts w:hint="eastAsia"/>
              </w:rPr>
              <w:t>全部猪舍</w:t>
            </w:r>
          </w:p>
        </w:tc>
        <w:tc>
          <w:tcPr>
            <w:tcW w:w="2183" w:type="dxa"/>
            <w:vAlign w:val="center"/>
          </w:tcPr>
          <w:p>
            <w:pPr>
              <w:pStyle w:val="8"/>
              <w:ind w:firstLine="0" w:firstLineChars="0"/>
            </w:pPr>
            <w:r>
              <w:rPr>
                <w:rFonts w:hint="eastAsia"/>
              </w:rPr>
              <w:t>连续</w:t>
            </w:r>
          </w:p>
        </w:tc>
        <w:tc>
          <w:tcPr>
            <w:tcW w:w="2186" w:type="dxa"/>
            <w:vAlign w:val="center"/>
          </w:tcPr>
          <w:p>
            <w:pPr>
              <w:pStyle w:val="8"/>
              <w:ind w:firstLine="0" w:firstLineChars="0"/>
            </w:pPr>
            <w:r>
              <w:t>80~90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82" w:type="dxa"/>
            <w:vAlign w:val="center"/>
          </w:tcPr>
          <w:p>
            <w:pPr>
              <w:pStyle w:val="8"/>
              <w:ind w:firstLine="0" w:firstLineChars="0"/>
            </w:pPr>
            <w:r>
              <w:rPr>
                <w:rFonts w:hint="eastAsia"/>
              </w:rPr>
              <w:t>水泵</w:t>
            </w:r>
          </w:p>
        </w:tc>
        <w:tc>
          <w:tcPr>
            <w:tcW w:w="2181" w:type="dxa"/>
            <w:vAlign w:val="center"/>
          </w:tcPr>
          <w:p>
            <w:pPr>
              <w:pStyle w:val="8"/>
              <w:ind w:firstLine="0" w:firstLineChars="0"/>
            </w:pPr>
            <w:r>
              <w:t>供水</w:t>
            </w:r>
          </w:p>
        </w:tc>
        <w:tc>
          <w:tcPr>
            <w:tcW w:w="2183" w:type="dxa"/>
            <w:vAlign w:val="center"/>
          </w:tcPr>
          <w:p>
            <w:pPr>
              <w:pStyle w:val="8"/>
              <w:ind w:firstLine="0" w:firstLineChars="0"/>
            </w:pPr>
            <w:r>
              <w:rPr>
                <w:rFonts w:hint="eastAsia"/>
              </w:rPr>
              <w:t>间断</w:t>
            </w:r>
          </w:p>
        </w:tc>
        <w:tc>
          <w:tcPr>
            <w:tcW w:w="2186" w:type="dxa"/>
            <w:vAlign w:val="center"/>
          </w:tcPr>
          <w:p>
            <w:pPr>
              <w:pStyle w:val="8"/>
              <w:ind w:firstLine="0" w:firstLineChars="0"/>
            </w:pPr>
            <w:r>
              <w:t>75~85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82" w:type="dxa"/>
            <w:vAlign w:val="center"/>
          </w:tcPr>
          <w:p>
            <w:pPr>
              <w:pStyle w:val="8"/>
              <w:ind w:firstLine="0" w:firstLineChars="0"/>
            </w:pPr>
            <w:r>
              <w:rPr>
                <w:rFonts w:hint="eastAsia"/>
              </w:rPr>
              <w:t>翻耙机</w:t>
            </w:r>
          </w:p>
        </w:tc>
        <w:tc>
          <w:tcPr>
            <w:tcW w:w="2181" w:type="dxa"/>
            <w:vAlign w:val="center"/>
          </w:tcPr>
          <w:p>
            <w:pPr>
              <w:pStyle w:val="8"/>
              <w:ind w:firstLine="0" w:firstLineChars="0"/>
            </w:pPr>
            <w:r>
              <w:t>发酵床车间</w:t>
            </w:r>
          </w:p>
        </w:tc>
        <w:tc>
          <w:tcPr>
            <w:tcW w:w="2183" w:type="dxa"/>
            <w:vAlign w:val="center"/>
          </w:tcPr>
          <w:p>
            <w:pPr>
              <w:pStyle w:val="8"/>
              <w:ind w:firstLine="0" w:firstLineChars="0"/>
            </w:pPr>
            <w:r>
              <w:rPr>
                <w:rFonts w:hint="eastAsia"/>
              </w:rPr>
              <w:t>间断</w:t>
            </w:r>
          </w:p>
        </w:tc>
        <w:tc>
          <w:tcPr>
            <w:tcW w:w="2186" w:type="dxa"/>
            <w:vAlign w:val="center"/>
          </w:tcPr>
          <w:p>
            <w:pPr>
              <w:pStyle w:val="8"/>
              <w:ind w:firstLine="0" w:firstLineChars="0"/>
            </w:pPr>
            <w:r>
              <w:t>75~85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82" w:type="dxa"/>
            <w:vAlign w:val="center"/>
          </w:tcPr>
          <w:p>
            <w:pPr>
              <w:pStyle w:val="8"/>
              <w:ind w:firstLine="0" w:firstLineChars="0"/>
            </w:pPr>
            <w:r>
              <w:rPr>
                <w:rFonts w:hint="eastAsia"/>
              </w:rPr>
              <w:t>饲料风机</w:t>
            </w:r>
          </w:p>
        </w:tc>
        <w:tc>
          <w:tcPr>
            <w:tcW w:w="2181" w:type="dxa"/>
            <w:vAlign w:val="center"/>
          </w:tcPr>
          <w:p>
            <w:pPr>
              <w:pStyle w:val="8"/>
              <w:ind w:firstLine="0" w:firstLineChars="0"/>
            </w:pPr>
            <w:r>
              <w:rPr>
                <w:rFonts w:hint="eastAsia"/>
              </w:rPr>
              <w:t>饲料房</w:t>
            </w:r>
          </w:p>
        </w:tc>
        <w:tc>
          <w:tcPr>
            <w:tcW w:w="2183" w:type="dxa"/>
            <w:vAlign w:val="center"/>
          </w:tcPr>
          <w:p>
            <w:pPr>
              <w:pStyle w:val="8"/>
              <w:ind w:firstLine="0" w:firstLineChars="0"/>
            </w:pPr>
            <w:r>
              <w:rPr>
                <w:rFonts w:hint="eastAsia"/>
              </w:rPr>
              <w:t>间断</w:t>
            </w:r>
          </w:p>
        </w:tc>
        <w:tc>
          <w:tcPr>
            <w:tcW w:w="2186" w:type="dxa"/>
            <w:vAlign w:val="center"/>
          </w:tcPr>
          <w:p>
            <w:pPr>
              <w:pStyle w:val="8"/>
              <w:ind w:firstLine="0" w:firstLineChars="0"/>
            </w:pPr>
            <w:r>
              <w:t>8</w:t>
            </w:r>
            <w:r>
              <w:rPr>
                <w:rFonts w:hint="eastAsia"/>
              </w:rPr>
              <w:t>0</w:t>
            </w:r>
            <w:r>
              <w:t>~90</w:t>
            </w:r>
          </w:p>
        </w:tc>
      </w:tr>
    </w:tbl>
    <w:p>
      <w:pPr>
        <w:pStyle w:val="6"/>
      </w:pPr>
      <w:r>
        <w:rPr>
          <w:rFonts w:hint="eastAsia"/>
        </w:rPr>
        <w:t>2.4.2.4固体废弃物产生源强分析</w:t>
      </w:r>
    </w:p>
    <w:p>
      <w:pPr>
        <w:ind w:firstLine="480"/>
      </w:pPr>
      <w:r>
        <w:t>本项目产生的固体废物主要为</w:t>
      </w:r>
      <w:r>
        <w:rPr>
          <w:rFonts w:hint="eastAsia"/>
        </w:rPr>
        <w:t>沼渣、更换的发酵床垫料</w:t>
      </w:r>
      <w:r>
        <w:t>、病死猪尸体、</w:t>
      </w:r>
      <w:r>
        <w:rPr>
          <w:rFonts w:hint="eastAsia"/>
        </w:rPr>
        <w:t>分娩废物</w:t>
      </w:r>
      <w:r>
        <w:t>及</w:t>
      </w:r>
      <w:r>
        <w:rPr>
          <w:rFonts w:hint="eastAsia"/>
        </w:rPr>
        <w:t>员工</w:t>
      </w:r>
      <w:r>
        <w:t>生活垃圾。此外，猪只检疫、生病等使用医疗设备会产生少量的医疗废物。</w:t>
      </w:r>
    </w:p>
    <w:p>
      <w:pPr>
        <w:ind w:firstLine="480"/>
      </w:pPr>
      <w:r>
        <w:rPr>
          <w:rFonts w:hint="eastAsia"/>
        </w:rPr>
        <w:t>（</w:t>
      </w:r>
      <w:r>
        <w:t>1</w:t>
      </w:r>
      <w:r>
        <w:rPr>
          <w:rFonts w:hint="eastAsia"/>
        </w:rPr>
        <w:t>）猪粪及更换发酵床垫料</w:t>
      </w:r>
    </w:p>
    <w:p>
      <w:pPr>
        <w:ind w:firstLine="480"/>
      </w:pPr>
      <w:r>
        <w:t>猪在生长过程中排放粪便</w:t>
      </w:r>
      <w:r>
        <w:rPr>
          <w:rFonts w:hint="eastAsia"/>
        </w:rPr>
        <w:t>，畜粪的排泄量受到环境生态因子、饲料质量以及猪的体重等多种因素的影响，其中排泄量主要因猪的体重和不同发育阶段而不同，参照《全国第一次污染源普查畜禽养殖产排污系数手册》</w:t>
      </w:r>
      <w:r>
        <w:t>表2</w:t>
      </w:r>
      <w:r>
        <w:rPr>
          <w:rFonts w:hint="eastAsia"/>
        </w:rPr>
        <w:t>“中南区”生猪养殖产污系数、《规模畜禽养殖场污染防治最佳可行性技术指南（试行）》</w:t>
      </w:r>
      <w:r>
        <w:t>（HJ-BAT-10）中“表</w:t>
      </w:r>
      <w:r>
        <w:rPr>
          <w:rFonts w:hint="eastAsia"/>
        </w:rPr>
        <w:t>1畜禽养殖主要固体污染物的产生量及其性质</w:t>
      </w:r>
      <w:r>
        <w:t>”、</w:t>
      </w:r>
      <w:r>
        <w:rPr>
          <w:rFonts w:hint="eastAsia"/>
        </w:rPr>
        <w:t>《畜禽规模养殖场粪污资源化利用设施建设规范》（农办牧〔</w:t>
      </w:r>
      <w:r>
        <w:t>2018〕2号</w:t>
      </w:r>
      <w:r>
        <w:rPr>
          <w:rFonts w:hint="eastAsia"/>
        </w:rPr>
        <w:t>）等规范，并类比同类项目，则本项目猪粪的产生量详见下表。</w:t>
      </w:r>
    </w:p>
    <w:p>
      <w:pPr>
        <w:pStyle w:val="11"/>
      </w:pPr>
      <w:r>
        <w:t xml:space="preserve">表2.4- </w:t>
      </w:r>
      <w:r>
        <w:fldChar w:fldCharType="begin"/>
      </w:r>
      <w:r>
        <w:instrText xml:space="preserve"> SEQ 表2.4- \* ARABIC </w:instrText>
      </w:r>
      <w:r>
        <w:fldChar w:fldCharType="separate"/>
      </w:r>
      <w:r>
        <w:t>11</w:t>
      </w:r>
      <w:r>
        <w:fldChar w:fldCharType="end"/>
      </w:r>
      <w:r>
        <w:rPr>
          <w:rFonts w:hint="eastAsia"/>
        </w:rPr>
        <w:t xml:space="preserve">  </w:t>
      </w:r>
      <w:r>
        <w:t>猪群鲜粪的产生</w:t>
      </w:r>
      <w:r>
        <w:rPr>
          <w:rFonts w:hint="eastAsia"/>
        </w:rPr>
        <w:t>量</w:t>
      </w:r>
    </w:p>
    <w:tbl>
      <w:tblPr>
        <w:tblStyle w:val="21"/>
        <w:tblW w:w="83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2"/>
        <w:gridCol w:w="1749"/>
        <w:gridCol w:w="1748"/>
        <w:gridCol w:w="1748"/>
        <w:gridCol w:w="17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1322" w:type="dxa"/>
            <w:vAlign w:val="center"/>
          </w:tcPr>
          <w:p>
            <w:pPr>
              <w:pStyle w:val="8"/>
              <w:ind w:firstLine="0" w:firstLineChars="0"/>
            </w:pPr>
            <w:r>
              <w:t>猪群结构</w:t>
            </w:r>
          </w:p>
        </w:tc>
        <w:tc>
          <w:tcPr>
            <w:tcW w:w="1749" w:type="dxa"/>
            <w:vAlign w:val="center"/>
          </w:tcPr>
          <w:p>
            <w:pPr>
              <w:pStyle w:val="8"/>
              <w:ind w:firstLine="0" w:firstLineChars="0"/>
            </w:pPr>
            <w:r>
              <w:rPr>
                <w:rFonts w:hint="eastAsia"/>
              </w:rPr>
              <w:t>存栏</w:t>
            </w:r>
            <w:r>
              <w:t>数量</w:t>
            </w:r>
          </w:p>
          <w:p>
            <w:pPr>
              <w:pStyle w:val="8"/>
              <w:ind w:firstLine="0" w:firstLineChars="0"/>
            </w:pPr>
            <w:r>
              <w:t>（头）</w:t>
            </w:r>
          </w:p>
        </w:tc>
        <w:tc>
          <w:tcPr>
            <w:tcW w:w="1748" w:type="dxa"/>
            <w:vAlign w:val="center"/>
          </w:tcPr>
          <w:p>
            <w:pPr>
              <w:pStyle w:val="8"/>
              <w:ind w:firstLine="0" w:firstLineChars="0"/>
            </w:pPr>
            <w:r>
              <w:t>猪排粪量</w:t>
            </w:r>
          </w:p>
          <w:p>
            <w:pPr>
              <w:pStyle w:val="8"/>
              <w:ind w:firstLine="0" w:firstLineChars="0"/>
            </w:pPr>
            <w:r>
              <w:t>（kg/头·d）</w:t>
            </w:r>
          </w:p>
        </w:tc>
        <w:tc>
          <w:tcPr>
            <w:tcW w:w="1748" w:type="dxa"/>
            <w:vAlign w:val="center"/>
          </w:tcPr>
          <w:p>
            <w:pPr>
              <w:pStyle w:val="8"/>
              <w:ind w:firstLine="0" w:firstLineChars="0"/>
            </w:pPr>
            <w:r>
              <w:t>日排粪量</w:t>
            </w:r>
          </w:p>
          <w:p>
            <w:pPr>
              <w:pStyle w:val="8"/>
              <w:ind w:firstLine="0" w:firstLineChars="0"/>
            </w:pPr>
            <w:r>
              <w:t>（t/d）</w:t>
            </w:r>
          </w:p>
        </w:tc>
        <w:tc>
          <w:tcPr>
            <w:tcW w:w="1750" w:type="dxa"/>
            <w:vAlign w:val="center"/>
          </w:tcPr>
          <w:p>
            <w:pPr>
              <w:pStyle w:val="8"/>
              <w:ind w:firstLine="0" w:firstLineChars="0"/>
            </w:pPr>
            <w:r>
              <w:t>年排粪量</w:t>
            </w:r>
          </w:p>
          <w:p>
            <w:pPr>
              <w:pStyle w:val="8"/>
              <w:ind w:firstLine="0" w:firstLineChars="0"/>
            </w:pPr>
            <w: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322" w:type="dxa"/>
            <w:vAlign w:val="center"/>
          </w:tcPr>
          <w:p>
            <w:pPr>
              <w:pStyle w:val="8"/>
              <w:ind w:firstLine="0" w:firstLineChars="0"/>
            </w:pPr>
            <w:r>
              <w:rPr>
                <w:rFonts w:hint="eastAsia"/>
              </w:rPr>
              <w:t>保育猪</w:t>
            </w:r>
          </w:p>
        </w:tc>
        <w:tc>
          <w:tcPr>
            <w:tcW w:w="1749" w:type="dxa"/>
            <w:vAlign w:val="center"/>
          </w:tcPr>
          <w:p>
            <w:pPr>
              <w:pStyle w:val="8"/>
              <w:ind w:firstLine="0" w:firstLineChars="0"/>
            </w:pPr>
            <w:r>
              <w:rPr>
                <w:rFonts w:hint="eastAsia"/>
              </w:rPr>
              <w:t>1000</w:t>
            </w:r>
          </w:p>
        </w:tc>
        <w:tc>
          <w:tcPr>
            <w:tcW w:w="1748" w:type="dxa"/>
            <w:vAlign w:val="center"/>
          </w:tcPr>
          <w:p>
            <w:pPr>
              <w:pStyle w:val="8"/>
              <w:ind w:firstLine="0" w:firstLineChars="0"/>
            </w:pPr>
            <w:r>
              <w:rPr>
                <w:rFonts w:hint="eastAsia"/>
              </w:rPr>
              <w:t>0.68</w:t>
            </w:r>
          </w:p>
        </w:tc>
        <w:tc>
          <w:tcPr>
            <w:tcW w:w="1748" w:type="dxa"/>
            <w:vAlign w:val="center"/>
          </w:tcPr>
          <w:p>
            <w:pPr>
              <w:pStyle w:val="8"/>
              <w:ind w:firstLine="0" w:firstLineChars="0"/>
            </w:pPr>
            <w:r>
              <w:rPr>
                <w:rFonts w:hint="eastAsia"/>
              </w:rPr>
              <w:t xml:space="preserve">0.68 </w:t>
            </w:r>
          </w:p>
        </w:tc>
        <w:tc>
          <w:tcPr>
            <w:tcW w:w="1750" w:type="dxa"/>
            <w:vAlign w:val="center"/>
          </w:tcPr>
          <w:p>
            <w:pPr>
              <w:pStyle w:val="8"/>
              <w:ind w:firstLine="0" w:firstLineChars="0"/>
            </w:pPr>
            <w:r>
              <w:rPr>
                <w:rFonts w:hint="eastAsia"/>
              </w:rPr>
              <w:t>248.2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322" w:type="dxa"/>
            <w:vAlign w:val="center"/>
          </w:tcPr>
          <w:p>
            <w:pPr>
              <w:pStyle w:val="8"/>
              <w:ind w:firstLine="0" w:firstLineChars="0"/>
            </w:pPr>
            <w:r>
              <w:rPr>
                <w:rFonts w:hint="eastAsia"/>
              </w:rPr>
              <w:t>生长猪</w:t>
            </w:r>
          </w:p>
        </w:tc>
        <w:tc>
          <w:tcPr>
            <w:tcW w:w="1749" w:type="dxa"/>
            <w:vAlign w:val="center"/>
          </w:tcPr>
          <w:p>
            <w:pPr>
              <w:pStyle w:val="8"/>
              <w:ind w:firstLine="0" w:firstLineChars="0"/>
            </w:pPr>
            <w:r>
              <w:rPr>
                <w:rFonts w:hint="eastAsia"/>
              </w:rPr>
              <w:t>2340</w:t>
            </w:r>
          </w:p>
        </w:tc>
        <w:tc>
          <w:tcPr>
            <w:tcW w:w="1748" w:type="dxa"/>
            <w:vAlign w:val="center"/>
          </w:tcPr>
          <w:p>
            <w:pPr>
              <w:pStyle w:val="8"/>
              <w:ind w:firstLine="0" w:firstLineChars="0"/>
            </w:pPr>
            <w:r>
              <w:rPr>
                <w:rFonts w:hint="eastAsia"/>
              </w:rPr>
              <w:t>1.28</w:t>
            </w:r>
          </w:p>
        </w:tc>
        <w:tc>
          <w:tcPr>
            <w:tcW w:w="1748" w:type="dxa"/>
            <w:vAlign w:val="center"/>
          </w:tcPr>
          <w:p>
            <w:pPr>
              <w:pStyle w:val="8"/>
              <w:ind w:firstLine="0" w:firstLineChars="0"/>
            </w:pPr>
            <w:r>
              <w:rPr>
                <w:rFonts w:hint="eastAsia"/>
              </w:rPr>
              <w:t xml:space="preserve">3.00 </w:t>
            </w:r>
          </w:p>
        </w:tc>
        <w:tc>
          <w:tcPr>
            <w:tcW w:w="1750" w:type="dxa"/>
            <w:vAlign w:val="center"/>
          </w:tcPr>
          <w:p>
            <w:pPr>
              <w:pStyle w:val="8"/>
              <w:ind w:firstLine="0" w:firstLineChars="0"/>
            </w:pPr>
            <w:r>
              <w:rPr>
                <w:rFonts w:hint="eastAsia"/>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322" w:type="dxa"/>
            <w:vAlign w:val="center"/>
          </w:tcPr>
          <w:p>
            <w:pPr>
              <w:pStyle w:val="8"/>
              <w:ind w:firstLine="0" w:firstLineChars="0"/>
            </w:pPr>
            <w:r>
              <w:rPr>
                <w:rFonts w:hint="eastAsia"/>
              </w:rPr>
              <w:t>育肥猪</w:t>
            </w:r>
          </w:p>
        </w:tc>
        <w:tc>
          <w:tcPr>
            <w:tcW w:w="1749" w:type="dxa"/>
            <w:vAlign w:val="center"/>
          </w:tcPr>
          <w:p>
            <w:pPr>
              <w:pStyle w:val="8"/>
              <w:ind w:firstLine="0" w:firstLineChars="0"/>
            </w:pPr>
            <w:r>
              <w:rPr>
                <w:rFonts w:hint="eastAsia"/>
              </w:rPr>
              <w:t>1660</w:t>
            </w:r>
          </w:p>
        </w:tc>
        <w:tc>
          <w:tcPr>
            <w:tcW w:w="1748" w:type="dxa"/>
            <w:vAlign w:val="center"/>
          </w:tcPr>
          <w:p>
            <w:pPr>
              <w:pStyle w:val="8"/>
              <w:ind w:firstLine="0" w:firstLineChars="0"/>
            </w:pPr>
            <w:r>
              <w:rPr>
                <w:rFonts w:hint="eastAsia"/>
              </w:rPr>
              <w:t>1.68</w:t>
            </w:r>
          </w:p>
        </w:tc>
        <w:tc>
          <w:tcPr>
            <w:tcW w:w="1748" w:type="dxa"/>
            <w:vAlign w:val="center"/>
          </w:tcPr>
          <w:p>
            <w:pPr>
              <w:pStyle w:val="8"/>
              <w:ind w:firstLine="0" w:firstLineChars="0"/>
            </w:pPr>
            <w:r>
              <w:rPr>
                <w:rFonts w:hint="eastAsia"/>
              </w:rPr>
              <w:t xml:space="preserve">2.79 </w:t>
            </w:r>
          </w:p>
        </w:tc>
        <w:tc>
          <w:tcPr>
            <w:tcW w:w="1750" w:type="dxa"/>
            <w:vAlign w:val="center"/>
          </w:tcPr>
          <w:p>
            <w:pPr>
              <w:pStyle w:val="8"/>
              <w:ind w:firstLine="0" w:firstLineChars="0"/>
            </w:pPr>
            <w:r>
              <w:rPr>
                <w:rFonts w:hint="eastAsia"/>
              </w:rPr>
              <w:t>1018.35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1322" w:type="dxa"/>
            <w:vAlign w:val="center"/>
          </w:tcPr>
          <w:p>
            <w:pPr>
              <w:pStyle w:val="8"/>
              <w:ind w:firstLine="0" w:firstLineChars="0"/>
            </w:pPr>
            <w:r>
              <w:rPr>
                <w:rFonts w:hint="eastAsia"/>
              </w:rPr>
              <w:t>合计</w:t>
            </w:r>
          </w:p>
        </w:tc>
        <w:tc>
          <w:tcPr>
            <w:tcW w:w="1749" w:type="dxa"/>
            <w:vAlign w:val="center"/>
          </w:tcPr>
          <w:p>
            <w:pPr>
              <w:pStyle w:val="8"/>
              <w:ind w:firstLine="0" w:firstLineChars="0"/>
            </w:pPr>
            <w:r>
              <w:rPr>
                <w:rFonts w:hint="eastAsia"/>
              </w:rPr>
              <w:t>/</w:t>
            </w:r>
          </w:p>
        </w:tc>
        <w:tc>
          <w:tcPr>
            <w:tcW w:w="1748" w:type="dxa"/>
            <w:vAlign w:val="center"/>
          </w:tcPr>
          <w:p>
            <w:pPr>
              <w:pStyle w:val="8"/>
              <w:ind w:firstLine="0" w:firstLineChars="0"/>
            </w:pPr>
            <w:r>
              <w:rPr>
                <w:rFonts w:hint="eastAsia"/>
              </w:rPr>
              <w:t>/</w:t>
            </w:r>
          </w:p>
        </w:tc>
        <w:tc>
          <w:tcPr>
            <w:tcW w:w="1748" w:type="dxa"/>
            <w:vAlign w:val="center"/>
          </w:tcPr>
          <w:p>
            <w:pPr>
              <w:pStyle w:val="8"/>
              <w:ind w:firstLine="0" w:firstLineChars="0"/>
            </w:pPr>
            <w:r>
              <w:rPr>
                <w:rFonts w:hint="eastAsia"/>
              </w:rPr>
              <w:t>/</w:t>
            </w:r>
          </w:p>
        </w:tc>
        <w:tc>
          <w:tcPr>
            <w:tcW w:w="1750" w:type="dxa"/>
            <w:vAlign w:val="center"/>
          </w:tcPr>
          <w:p>
            <w:pPr>
              <w:pStyle w:val="8"/>
              <w:ind w:firstLine="0" w:firstLineChars="0"/>
            </w:pPr>
            <w:r>
              <w:rPr>
                <w:rFonts w:hint="eastAsia"/>
              </w:rPr>
              <w:t>2361.55</w:t>
            </w:r>
          </w:p>
        </w:tc>
      </w:tr>
    </w:tbl>
    <w:p>
      <w:pPr>
        <w:spacing w:before="120" w:beforeLines="50"/>
        <w:ind w:firstLine="480"/>
      </w:pPr>
      <w:r>
        <w:rPr>
          <w:rFonts w:hint="eastAsia"/>
        </w:rPr>
        <w:t>本项目干猪粪产生量为2361.55t/a。本项目主要采用异位发酵对猪粪及猪尿进行生物降解处理，实现粪污的“零排放</w:t>
      </w:r>
      <w:r>
        <w:t>”</w:t>
      </w:r>
      <w:r>
        <w:rPr>
          <w:rFonts w:hint="eastAsia"/>
        </w:rPr>
        <w:t>，猪粪与猪尿通过潜污泵全部喷洒在发酵床上，发酵床垫料中的微生物菌群将猪粪、尿中的有机物进行分解和转化。</w:t>
      </w:r>
    </w:p>
    <w:p>
      <w:pPr>
        <w:ind w:firstLine="480"/>
        <w:rPr>
          <w:highlight w:val="yellow"/>
        </w:rPr>
      </w:pPr>
      <w:r>
        <w:rPr>
          <w:rFonts w:hint="eastAsia"/>
        </w:rPr>
        <w:t>一般情况下，发酵床上的垫料可以反复使用。由于发酵分解，发酵床垫料会有所减少，一般垫料厚度降低30-40cm时，应及时补充。垫料使用2-3年后，需全部进行更换。由前述原辅料消耗可知，垫料平均1年的用量为37.12t。</w:t>
      </w:r>
    </w:p>
    <w:p>
      <w:pPr>
        <w:ind w:firstLine="480"/>
        <w:rPr>
          <w:highlight w:val="yellow"/>
        </w:rPr>
      </w:pPr>
      <w:r>
        <w:rPr>
          <w:rFonts w:hint="eastAsia"/>
        </w:rPr>
        <w:t>项目猪粪产生量为2361.55t/a，全部进入发酵床，猪粪被微生物菌群发酵分解，总损失量一般为猪粪产生量的2</w:t>
      </w:r>
      <w:r>
        <w:t>0%~</w:t>
      </w:r>
      <w:r>
        <w:rPr>
          <w:rFonts w:hint="eastAsia"/>
        </w:rPr>
        <w:t>4</w:t>
      </w:r>
      <w:r>
        <w:t>0%</w:t>
      </w:r>
      <w:r>
        <w:rPr>
          <w:rFonts w:hint="eastAsia"/>
        </w:rPr>
        <w:t>，本环评按30%计，则项目猪粪经发酵床分解后废物残余产生量为1653.09t/a。</w:t>
      </w:r>
    </w:p>
    <w:p>
      <w:pPr>
        <w:ind w:firstLine="480"/>
      </w:pPr>
      <w:r>
        <w:rPr>
          <w:rFonts w:hint="eastAsia"/>
        </w:rPr>
        <w:t>综上，发酵床干垫料的产生量：</w:t>
      </w:r>
    </w:p>
    <w:p>
      <w:pPr>
        <w:ind w:firstLine="480"/>
        <w:rPr>
          <w:highlight w:val="yellow"/>
        </w:rPr>
      </w:pPr>
      <w:r>
        <w:rPr>
          <w:rFonts w:hint="eastAsia"/>
        </w:rPr>
        <w:t>37.12t</w:t>
      </w:r>
      <w:r>
        <w:t>/a+</w:t>
      </w:r>
      <w:r>
        <w:rPr>
          <w:rFonts w:hint="eastAsia"/>
        </w:rPr>
        <w:t>1653.09</w:t>
      </w:r>
      <w:r>
        <w:t>t/a</w:t>
      </w:r>
      <w:r>
        <w:rPr>
          <w:rFonts w:hint="eastAsia"/>
        </w:rPr>
        <w:t>=1690.21</w:t>
      </w:r>
      <w:r>
        <w:t>t/a</w:t>
      </w:r>
      <w:r>
        <w:rPr>
          <w:rFonts w:hint="eastAsia"/>
        </w:rPr>
        <w:t>。</w:t>
      </w:r>
    </w:p>
    <w:p>
      <w:pPr>
        <w:ind w:firstLine="480"/>
        <w:rPr>
          <w:highlight w:val="yellow"/>
        </w:rPr>
      </w:pPr>
      <w:r>
        <w:rPr>
          <w:rFonts w:hint="eastAsia"/>
        </w:rPr>
        <w:t>项目猪舍猪尿、消毒及生活污水产生总量为</w:t>
      </w:r>
      <w:r>
        <w:rPr>
          <w:rFonts w:hint="eastAsia"/>
          <w:bCs/>
          <w:color w:val="000000"/>
        </w:rPr>
        <w:t>5849.4</w:t>
      </w:r>
      <w:r>
        <w:rPr>
          <w:rFonts w:hint="eastAsia"/>
        </w:rPr>
        <w:t>m</w:t>
      </w:r>
      <w:r>
        <w:rPr>
          <w:rFonts w:hint="eastAsia"/>
          <w:vertAlign w:val="superscript"/>
        </w:rPr>
        <w:t>3</w:t>
      </w:r>
      <w:r>
        <w:rPr>
          <w:rFonts w:hint="eastAsia"/>
        </w:rPr>
        <w:t>/a。发酵床废水大部分约90%将随着发酵而自然蒸发，小部分约10%留在垫料中，因此，更换垫料总量为1690.21</w:t>
      </w:r>
      <w:r>
        <w:t>t/a</w:t>
      </w:r>
      <w:r>
        <w:rPr>
          <w:rFonts w:hint="eastAsia"/>
        </w:rPr>
        <w:t>+</w:t>
      </w:r>
      <w:r>
        <w:rPr>
          <w:rFonts w:hint="eastAsia"/>
          <w:bCs/>
          <w:color w:val="000000"/>
        </w:rPr>
        <w:t>5849.4</w:t>
      </w:r>
      <w:r>
        <w:rPr>
          <w:rFonts w:hint="eastAsia"/>
        </w:rPr>
        <w:t>*10%</w:t>
      </w:r>
      <w:r>
        <w:t xml:space="preserve"> t/a</w:t>
      </w:r>
      <w:r>
        <w:rPr>
          <w:rFonts w:hint="eastAsia"/>
        </w:rPr>
        <w:t>=2275.15</w:t>
      </w:r>
      <w:r>
        <w:t>t/a</w:t>
      </w:r>
      <w:r>
        <w:rPr>
          <w:rFonts w:hint="eastAsia"/>
        </w:rPr>
        <w:t>（含水）。</w:t>
      </w:r>
    </w:p>
    <w:p>
      <w:pPr>
        <w:ind w:firstLine="480"/>
      </w:pPr>
      <w:r>
        <w:rPr>
          <w:rFonts w:hint="eastAsia"/>
        </w:rPr>
        <w:t>因此，项目猪粪进入了发酵床后经发酵床进行分解30%，剩余部分与更换下来的废弃垫料一起可作为肥料，这是由于发酵分解充分，无害化程度高，富含营养元素等，可作为优质的有机肥料外售，进行综合利用。</w:t>
      </w:r>
    </w:p>
    <w:p>
      <w:pPr>
        <w:ind w:firstLine="480"/>
      </w:pPr>
      <w:r>
        <w:rPr>
          <w:rFonts w:hint="eastAsia"/>
        </w:rPr>
        <w:t>（</w:t>
      </w:r>
      <w:r>
        <w:t>2</w:t>
      </w:r>
      <w:r>
        <w:rPr>
          <w:rFonts w:hint="eastAsia"/>
        </w:rPr>
        <w:t>）病死猪</w:t>
      </w:r>
    </w:p>
    <w:p>
      <w:pPr>
        <w:ind w:firstLine="480"/>
      </w:pPr>
      <w:r>
        <w:t>病死猪的产生量与猪养殖场的饲养管理和疫病防治水平有关，在无传染病的一般情况下，规模化养猪场病死猪</w:t>
      </w:r>
      <w:r>
        <w:rPr>
          <w:rFonts w:hint="eastAsia"/>
        </w:rPr>
        <w:t>可</w:t>
      </w:r>
      <w:r>
        <w:t>控制在0.05%~0.1%。根据养猪实践，</w:t>
      </w:r>
      <w:r>
        <w:rPr>
          <w:rFonts w:hint="eastAsia"/>
        </w:rPr>
        <w:t>成年猪</w:t>
      </w:r>
      <w:r>
        <w:t>病死</w:t>
      </w:r>
      <w:r>
        <w:rPr>
          <w:rFonts w:hint="eastAsia"/>
        </w:rPr>
        <w:t>率按1%计</w:t>
      </w:r>
      <w:r>
        <w:t>，</w:t>
      </w:r>
      <w:r>
        <w:rPr>
          <w:rFonts w:hint="eastAsia"/>
        </w:rPr>
        <w:t>小猪平均头重按</w:t>
      </w:r>
      <w:r>
        <w:t>5kg</w:t>
      </w:r>
      <w:r>
        <w:rPr>
          <w:rFonts w:hint="eastAsia"/>
        </w:rPr>
        <w:t>计，成年猪平均头重按85</w:t>
      </w:r>
      <w:r>
        <w:t>kg</w:t>
      </w:r>
      <w:r>
        <w:rPr>
          <w:rFonts w:hint="eastAsia"/>
        </w:rPr>
        <w:t>计，育肥猪平均头重按</w:t>
      </w:r>
      <w:r>
        <w:t>5</w:t>
      </w:r>
      <w:r>
        <w:rPr>
          <w:rFonts w:hint="eastAsia"/>
        </w:rPr>
        <w:t>0</w:t>
      </w:r>
      <w:r>
        <w:t>kg</w:t>
      </w:r>
      <w:r>
        <w:rPr>
          <w:rFonts w:hint="eastAsia"/>
        </w:rPr>
        <w:t>计。结合本项目养殖规模，预计病死猪约有20头</w:t>
      </w:r>
      <w:r>
        <w:t>/a</w:t>
      </w:r>
      <w:r>
        <w:rPr>
          <w:rFonts w:hint="eastAsia"/>
        </w:rPr>
        <w:t>保育猪，47头</w:t>
      </w:r>
      <w:r>
        <w:t>/a</w:t>
      </w:r>
      <w:r>
        <w:rPr>
          <w:rFonts w:hint="eastAsia"/>
        </w:rPr>
        <w:t>生长猪，33头</w:t>
      </w:r>
      <w:r>
        <w:t>/a</w:t>
      </w:r>
      <w:r>
        <w:rPr>
          <w:rFonts w:hint="eastAsia"/>
        </w:rPr>
        <w:t>育肥猪，场内病死猪产生量为4.1</w:t>
      </w:r>
      <w:r>
        <w:t>t/a</w:t>
      </w:r>
      <w:r>
        <w:rPr>
          <w:rFonts w:hint="eastAsia"/>
        </w:rPr>
        <w:t>。经查《国家危险废物名录》，病死猪不属于危险废物。</w:t>
      </w:r>
    </w:p>
    <w:p>
      <w:pPr>
        <w:ind w:firstLine="480"/>
      </w:pPr>
      <w:r>
        <w:rPr>
          <w:rFonts w:hint="eastAsia"/>
        </w:rPr>
        <w:t>为推进病死畜禽无害化处理工作，保障肉食品安全和生态环境安全，促进养殖业持续健康发展，满足《病害动物和病害动物产品生物安全处理规程》（</w:t>
      </w:r>
      <w:r>
        <w:t>GB16548-2006</w:t>
      </w:r>
      <w:r>
        <w:rPr>
          <w:rFonts w:hint="eastAsia"/>
        </w:rPr>
        <w:t>）中的相关要求，根据《国务院办公厅关于建立病死畜禽无害化处理机制的意见》（国办发〔</w:t>
      </w:r>
      <w:r>
        <w:t>2014〕47号）、</w:t>
      </w:r>
      <w:r>
        <w:rPr>
          <w:rFonts w:hint="eastAsia"/>
        </w:rPr>
        <w:t>《湖南省人民政府办公厅关于建立病死畜禽无害化处理机制的实施意见》(湘政办发〔</w:t>
      </w:r>
      <w:r>
        <w:t>2015〕103号）</w:t>
      </w:r>
      <w:r>
        <w:rPr>
          <w:rFonts w:hint="eastAsia"/>
        </w:rPr>
        <w:t>等文件精神，本项目对病死猪废物采取修建冷冻库进行暂存，再定期运至澧县病死畜禽无害化处理中心进行集中处理。</w:t>
      </w:r>
    </w:p>
    <w:p>
      <w:pPr>
        <w:ind w:firstLine="480"/>
      </w:pPr>
      <w:r>
        <w:rPr>
          <w:rFonts w:hint="eastAsia"/>
        </w:rPr>
        <w:t>本项目拟建冷冻库的容积为3m×10m×2.5m =75m</w:t>
      </w:r>
      <w:r>
        <w:rPr>
          <w:rFonts w:hint="eastAsia"/>
          <w:vertAlign w:val="superscript"/>
        </w:rPr>
        <w:t>3</w:t>
      </w:r>
      <w:r>
        <w:rPr>
          <w:rFonts w:hint="eastAsia"/>
        </w:rPr>
        <w:t>，能满足病死废物的暂存。</w:t>
      </w:r>
    </w:p>
    <w:p>
      <w:pPr>
        <w:ind w:firstLine="480"/>
      </w:pPr>
      <w:r>
        <w:rPr>
          <w:rFonts w:hint="eastAsia"/>
        </w:rPr>
        <w:t>（3）医疗废物</w:t>
      </w:r>
    </w:p>
    <w:p>
      <w:pPr>
        <w:ind w:firstLine="480"/>
      </w:pPr>
      <w:r>
        <w:rPr>
          <w:rFonts w:hint="eastAsia"/>
        </w:rPr>
        <w:t>猪在养殖过程中需要注射一些疫苗，因此会产生医疗废物。本项目医疗废物产生量为</w:t>
      </w:r>
      <w:r>
        <w:t>0.</w:t>
      </w:r>
      <w:r>
        <w:rPr>
          <w:rFonts w:hint="eastAsia"/>
        </w:rPr>
        <w:t>10</w:t>
      </w:r>
      <w:r>
        <w:t>t/a</w:t>
      </w:r>
      <w:r>
        <w:rPr>
          <w:rFonts w:hint="eastAsia"/>
        </w:rPr>
        <w:t>，经查《国家危险废物名录》，该部分固废属于危险废物，废物代码为</w:t>
      </w:r>
      <w:r>
        <w:t>900-001-01</w:t>
      </w:r>
      <w:r>
        <w:rPr>
          <w:rFonts w:hint="eastAsia"/>
        </w:rPr>
        <w:t>，</w:t>
      </w:r>
      <w:r>
        <w:t>此部分废物委托有资质的单位处理</w:t>
      </w:r>
      <w:r>
        <w:rPr>
          <w:rFonts w:hint="eastAsia"/>
        </w:rPr>
        <w:t>。</w:t>
      </w:r>
    </w:p>
    <w:p>
      <w:pPr>
        <w:ind w:firstLine="480"/>
      </w:pPr>
      <w:r>
        <w:rPr>
          <w:rFonts w:hint="eastAsia"/>
        </w:rPr>
        <w:t>（4）生活垃圾</w:t>
      </w:r>
    </w:p>
    <w:p>
      <w:pPr>
        <w:ind w:firstLine="480"/>
      </w:pPr>
      <w:r>
        <w:rPr>
          <w:rFonts w:hint="eastAsia"/>
        </w:rPr>
        <w:t>项目有6人在场区食宿，按每人每天产生0.5</w:t>
      </w:r>
      <w:r>
        <w:t>kg</w:t>
      </w:r>
      <w:r>
        <w:rPr>
          <w:rFonts w:hint="eastAsia"/>
        </w:rPr>
        <w:t>垃圾计算，项目产生的生活垃圾量为1.09</w:t>
      </w:r>
      <w:r>
        <w:t>t/a</w:t>
      </w:r>
      <w:r>
        <w:rPr>
          <w:rFonts w:hint="eastAsia"/>
        </w:rPr>
        <w:t>。生活垃圾及时收集后清运至当地垃圾填埋场处理。</w:t>
      </w:r>
    </w:p>
    <w:p>
      <w:pPr>
        <w:ind w:firstLine="480"/>
      </w:pPr>
      <w:r>
        <w:rPr>
          <w:rFonts w:hint="eastAsia"/>
        </w:rPr>
        <w:t>项目固废产排情况分别见表2.4</w:t>
      </w:r>
      <w:r>
        <w:t>-</w:t>
      </w:r>
      <w:r>
        <w:rPr>
          <w:rFonts w:hint="eastAsia"/>
        </w:rPr>
        <w:t>14。</w:t>
      </w:r>
    </w:p>
    <w:p>
      <w:pPr>
        <w:pStyle w:val="11"/>
      </w:pPr>
      <w:r>
        <w:t xml:space="preserve">表2.4- </w:t>
      </w:r>
      <w:r>
        <w:fldChar w:fldCharType="begin"/>
      </w:r>
      <w:r>
        <w:instrText xml:space="preserve"> SEQ 表2.4- \* ARABIC </w:instrText>
      </w:r>
      <w:r>
        <w:fldChar w:fldCharType="separate"/>
      </w:r>
      <w:r>
        <w:t>12</w:t>
      </w:r>
      <w:r>
        <w:fldChar w:fldCharType="end"/>
      </w:r>
      <w:r>
        <w:rPr>
          <w:rFonts w:hint="eastAsia"/>
        </w:rPr>
        <w:t xml:space="preserve">  项目固废产排情况</w:t>
      </w:r>
    </w:p>
    <w:tbl>
      <w:tblPr>
        <w:tblStyle w:val="21"/>
        <w:tblW w:w="84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2"/>
        <w:gridCol w:w="1250"/>
        <w:gridCol w:w="1969"/>
        <w:gridCol w:w="1764"/>
        <w:gridCol w:w="21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262" w:type="dxa"/>
            <w:vAlign w:val="center"/>
          </w:tcPr>
          <w:p>
            <w:pPr>
              <w:pStyle w:val="8"/>
              <w:ind w:firstLine="0" w:firstLineChars="0"/>
            </w:pPr>
            <w:r>
              <w:t>序号</w:t>
            </w:r>
          </w:p>
        </w:tc>
        <w:tc>
          <w:tcPr>
            <w:tcW w:w="1250" w:type="dxa"/>
            <w:vAlign w:val="center"/>
          </w:tcPr>
          <w:p>
            <w:pPr>
              <w:pStyle w:val="8"/>
              <w:ind w:firstLine="0" w:firstLineChars="0"/>
            </w:pPr>
            <w:r>
              <w:t>污染物</w:t>
            </w:r>
          </w:p>
        </w:tc>
        <w:tc>
          <w:tcPr>
            <w:tcW w:w="1969" w:type="dxa"/>
            <w:vAlign w:val="center"/>
          </w:tcPr>
          <w:p>
            <w:pPr>
              <w:pStyle w:val="8"/>
              <w:ind w:firstLine="0" w:firstLineChars="0"/>
            </w:pPr>
            <w:r>
              <w:t>产生量t/a</w:t>
            </w:r>
          </w:p>
        </w:tc>
        <w:tc>
          <w:tcPr>
            <w:tcW w:w="1764" w:type="dxa"/>
            <w:vAlign w:val="center"/>
          </w:tcPr>
          <w:p>
            <w:pPr>
              <w:pStyle w:val="8"/>
              <w:ind w:firstLine="0" w:firstLineChars="0"/>
            </w:pPr>
            <w:r>
              <w:t>固废种类</w:t>
            </w:r>
          </w:p>
        </w:tc>
        <w:tc>
          <w:tcPr>
            <w:tcW w:w="2193" w:type="dxa"/>
            <w:vAlign w:val="center"/>
          </w:tcPr>
          <w:p>
            <w:pPr>
              <w:pStyle w:val="8"/>
              <w:ind w:firstLine="0" w:firstLineChars="0"/>
            </w:pPr>
            <w:r>
              <w:t>拟采取的处理措施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262" w:type="dxa"/>
            <w:vAlign w:val="center"/>
          </w:tcPr>
          <w:p>
            <w:pPr>
              <w:pStyle w:val="8"/>
              <w:ind w:firstLine="0" w:firstLineChars="0"/>
            </w:pPr>
            <w:r>
              <w:t>1</w:t>
            </w:r>
          </w:p>
        </w:tc>
        <w:tc>
          <w:tcPr>
            <w:tcW w:w="1250" w:type="dxa"/>
            <w:vAlign w:val="center"/>
          </w:tcPr>
          <w:p>
            <w:pPr>
              <w:pStyle w:val="8"/>
              <w:ind w:firstLine="0" w:firstLineChars="0"/>
            </w:pPr>
            <w:r>
              <w:rPr>
                <w:rFonts w:hint="eastAsia"/>
              </w:rPr>
              <w:t>更换发酵床垫料</w:t>
            </w:r>
          </w:p>
        </w:tc>
        <w:tc>
          <w:tcPr>
            <w:tcW w:w="1969" w:type="dxa"/>
            <w:vAlign w:val="center"/>
          </w:tcPr>
          <w:p>
            <w:pPr>
              <w:pStyle w:val="8"/>
              <w:ind w:firstLine="0" w:firstLineChars="0"/>
              <w:rPr>
                <w:highlight w:val="yellow"/>
              </w:rPr>
            </w:pPr>
            <w:r>
              <w:rPr>
                <w:rFonts w:hint="eastAsia"/>
              </w:rPr>
              <w:t>2275.15</w:t>
            </w:r>
          </w:p>
        </w:tc>
        <w:tc>
          <w:tcPr>
            <w:tcW w:w="1764" w:type="dxa"/>
            <w:vAlign w:val="center"/>
          </w:tcPr>
          <w:p>
            <w:pPr>
              <w:pStyle w:val="8"/>
              <w:ind w:firstLine="0" w:firstLineChars="0"/>
            </w:pPr>
            <w:r>
              <w:t>一般固废</w:t>
            </w:r>
          </w:p>
        </w:tc>
        <w:tc>
          <w:tcPr>
            <w:tcW w:w="2193" w:type="dxa"/>
            <w:vAlign w:val="center"/>
          </w:tcPr>
          <w:p>
            <w:pPr>
              <w:pStyle w:val="8"/>
              <w:ind w:firstLine="0" w:firstLineChars="0"/>
            </w:pPr>
            <w:r>
              <w:t>作为有机农肥</w:t>
            </w:r>
            <w:r>
              <w:rPr>
                <w:rFonts w:hint="eastAsia"/>
              </w:rPr>
              <w:t>外售农机合作社，综合利用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262" w:type="dxa"/>
            <w:vAlign w:val="center"/>
          </w:tcPr>
          <w:p>
            <w:pPr>
              <w:pStyle w:val="8"/>
              <w:ind w:firstLine="0" w:firstLineChars="0"/>
            </w:pPr>
            <w:r>
              <w:t>2</w:t>
            </w:r>
          </w:p>
        </w:tc>
        <w:tc>
          <w:tcPr>
            <w:tcW w:w="1250" w:type="dxa"/>
            <w:vAlign w:val="center"/>
          </w:tcPr>
          <w:p>
            <w:pPr>
              <w:pStyle w:val="8"/>
              <w:ind w:firstLine="0" w:firstLineChars="0"/>
            </w:pPr>
            <w:r>
              <w:t>病死猪</w:t>
            </w:r>
          </w:p>
        </w:tc>
        <w:tc>
          <w:tcPr>
            <w:tcW w:w="1969" w:type="dxa"/>
            <w:vAlign w:val="center"/>
          </w:tcPr>
          <w:p>
            <w:pPr>
              <w:pStyle w:val="8"/>
              <w:ind w:firstLine="0" w:firstLineChars="0"/>
              <w:rPr>
                <w:highlight w:val="yellow"/>
              </w:rPr>
            </w:pPr>
            <w:r>
              <w:rPr>
                <w:rFonts w:hint="eastAsia"/>
              </w:rPr>
              <w:t>4.1</w:t>
            </w:r>
          </w:p>
        </w:tc>
        <w:tc>
          <w:tcPr>
            <w:tcW w:w="1764" w:type="dxa"/>
            <w:vAlign w:val="center"/>
          </w:tcPr>
          <w:p>
            <w:pPr>
              <w:pStyle w:val="8"/>
              <w:ind w:firstLine="0" w:firstLineChars="0"/>
            </w:pPr>
            <w:r>
              <w:t>一般固废</w:t>
            </w:r>
          </w:p>
        </w:tc>
        <w:tc>
          <w:tcPr>
            <w:tcW w:w="2193" w:type="dxa"/>
            <w:vMerge w:val="restart"/>
            <w:vAlign w:val="center"/>
          </w:tcPr>
          <w:p>
            <w:pPr>
              <w:pStyle w:val="8"/>
              <w:ind w:firstLine="0" w:firstLineChars="0"/>
            </w:pPr>
            <w:r>
              <w:t>冷冻库暂存，定期运澧县病死畜禽无害化处理中心处置委托</w:t>
            </w:r>
            <w:r>
              <w:rPr>
                <w:rFonts w:hint="eastAsia"/>
              </w:rPr>
              <w:t>有资质单位</w:t>
            </w:r>
            <w:r>
              <w:t>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262" w:type="dxa"/>
            <w:vAlign w:val="center"/>
          </w:tcPr>
          <w:p>
            <w:pPr>
              <w:pStyle w:val="8"/>
              <w:ind w:firstLine="0" w:firstLineChars="0"/>
            </w:pPr>
            <w:r>
              <w:t>3</w:t>
            </w:r>
          </w:p>
        </w:tc>
        <w:tc>
          <w:tcPr>
            <w:tcW w:w="1250" w:type="dxa"/>
            <w:vAlign w:val="center"/>
          </w:tcPr>
          <w:p>
            <w:pPr>
              <w:pStyle w:val="8"/>
              <w:ind w:firstLine="0" w:firstLineChars="0"/>
            </w:pPr>
            <w:r>
              <w:t>医疗废物</w:t>
            </w:r>
          </w:p>
        </w:tc>
        <w:tc>
          <w:tcPr>
            <w:tcW w:w="1969" w:type="dxa"/>
            <w:vAlign w:val="center"/>
          </w:tcPr>
          <w:p>
            <w:pPr>
              <w:pStyle w:val="8"/>
              <w:ind w:firstLine="0" w:firstLineChars="0"/>
              <w:rPr>
                <w:highlight w:val="yellow"/>
              </w:rPr>
            </w:pPr>
            <w:r>
              <w:t>0.</w:t>
            </w:r>
            <w:r>
              <w:rPr>
                <w:rFonts w:hint="eastAsia"/>
              </w:rPr>
              <w:t>10</w:t>
            </w:r>
          </w:p>
        </w:tc>
        <w:tc>
          <w:tcPr>
            <w:tcW w:w="1764" w:type="dxa"/>
            <w:vAlign w:val="center"/>
          </w:tcPr>
          <w:p>
            <w:pPr>
              <w:pStyle w:val="8"/>
              <w:ind w:firstLine="0" w:firstLineChars="0"/>
            </w:pPr>
            <w:r>
              <w:t>危险固废</w:t>
            </w:r>
          </w:p>
        </w:tc>
        <w:tc>
          <w:tcPr>
            <w:tcW w:w="2193" w:type="dxa"/>
            <w:vMerge w:val="continue"/>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262" w:type="dxa"/>
            <w:vAlign w:val="center"/>
          </w:tcPr>
          <w:p>
            <w:pPr>
              <w:pStyle w:val="8"/>
              <w:ind w:firstLine="0" w:firstLineChars="0"/>
            </w:pPr>
            <w:r>
              <w:t>4</w:t>
            </w:r>
          </w:p>
        </w:tc>
        <w:tc>
          <w:tcPr>
            <w:tcW w:w="1250" w:type="dxa"/>
            <w:vAlign w:val="center"/>
          </w:tcPr>
          <w:p>
            <w:pPr>
              <w:pStyle w:val="8"/>
              <w:ind w:firstLine="0" w:firstLineChars="0"/>
            </w:pPr>
            <w:r>
              <w:t>生活垃圾</w:t>
            </w:r>
          </w:p>
        </w:tc>
        <w:tc>
          <w:tcPr>
            <w:tcW w:w="1969" w:type="dxa"/>
            <w:vAlign w:val="center"/>
          </w:tcPr>
          <w:p>
            <w:pPr>
              <w:pStyle w:val="8"/>
              <w:ind w:firstLine="0" w:firstLineChars="0"/>
              <w:rPr>
                <w:highlight w:val="yellow"/>
              </w:rPr>
            </w:pPr>
            <w:r>
              <w:rPr>
                <w:rFonts w:hint="eastAsia"/>
              </w:rPr>
              <w:t>1.09</w:t>
            </w:r>
          </w:p>
        </w:tc>
        <w:tc>
          <w:tcPr>
            <w:tcW w:w="1764" w:type="dxa"/>
            <w:vAlign w:val="center"/>
          </w:tcPr>
          <w:p>
            <w:pPr>
              <w:pStyle w:val="8"/>
              <w:ind w:firstLine="0" w:firstLineChars="0"/>
            </w:pPr>
            <w:r>
              <w:t>一般固废</w:t>
            </w:r>
          </w:p>
        </w:tc>
        <w:tc>
          <w:tcPr>
            <w:tcW w:w="2193" w:type="dxa"/>
            <w:vAlign w:val="center"/>
          </w:tcPr>
          <w:p>
            <w:pPr>
              <w:pStyle w:val="8"/>
              <w:ind w:firstLine="0" w:firstLineChars="0"/>
            </w:pPr>
            <w:r>
              <w:t>及时清运至垃圾填埋场处理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262" w:type="dxa"/>
            <w:vAlign w:val="center"/>
          </w:tcPr>
          <w:p>
            <w:pPr>
              <w:pStyle w:val="8"/>
              <w:ind w:firstLine="0" w:firstLineChars="0"/>
            </w:pPr>
          </w:p>
        </w:tc>
        <w:tc>
          <w:tcPr>
            <w:tcW w:w="1250" w:type="dxa"/>
            <w:vAlign w:val="center"/>
          </w:tcPr>
          <w:p>
            <w:pPr>
              <w:pStyle w:val="8"/>
              <w:ind w:firstLine="0" w:firstLineChars="0"/>
            </w:pPr>
            <w:r>
              <w:t>合计</w:t>
            </w:r>
          </w:p>
        </w:tc>
        <w:tc>
          <w:tcPr>
            <w:tcW w:w="1969" w:type="dxa"/>
            <w:vAlign w:val="center"/>
          </w:tcPr>
          <w:p>
            <w:pPr>
              <w:pStyle w:val="8"/>
              <w:ind w:firstLine="0" w:firstLineChars="0"/>
            </w:pPr>
            <w:r>
              <w:rPr>
                <w:rFonts w:hint="eastAsia"/>
              </w:rPr>
              <w:t>2280.44</w:t>
            </w:r>
          </w:p>
        </w:tc>
        <w:tc>
          <w:tcPr>
            <w:tcW w:w="1764" w:type="dxa"/>
            <w:vAlign w:val="center"/>
          </w:tcPr>
          <w:p>
            <w:pPr>
              <w:pStyle w:val="8"/>
              <w:ind w:firstLine="0" w:firstLineChars="0"/>
            </w:pPr>
            <w:r>
              <w:rPr>
                <w:rFonts w:hint="eastAsia"/>
              </w:rPr>
              <w:t>/</w:t>
            </w:r>
          </w:p>
        </w:tc>
        <w:tc>
          <w:tcPr>
            <w:tcW w:w="2193" w:type="dxa"/>
            <w:vAlign w:val="center"/>
          </w:tcPr>
          <w:p>
            <w:pPr>
              <w:pStyle w:val="8"/>
              <w:ind w:firstLine="0" w:firstLineChars="0"/>
            </w:pPr>
            <w:r>
              <w:rPr>
                <w:rFonts w:hint="eastAsia"/>
              </w:rPr>
              <w:t>/</w:t>
            </w:r>
          </w:p>
        </w:tc>
      </w:tr>
    </w:tbl>
    <w:p>
      <w:pPr>
        <w:pStyle w:val="4"/>
        <w:spacing w:before="48" w:after="48"/>
      </w:pPr>
      <w:bookmarkStart w:id="153" w:name="_Toc7613"/>
      <w:r>
        <w:rPr>
          <w:rFonts w:hint="eastAsia"/>
        </w:rPr>
        <w:t>2.5</w:t>
      </w:r>
      <w:r>
        <w:t>项目污染物产排情况汇总</w:t>
      </w:r>
      <w:bookmarkEnd w:id="153"/>
    </w:p>
    <w:p>
      <w:pPr>
        <w:ind w:firstLine="480"/>
      </w:pPr>
      <w:r>
        <w:rPr>
          <w:rFonts w:hint="eastAsia"/>
        </w:rPr>
        <w:t>该项目污染物产排情况汇总见表2.5</w:t>
      </w:r>
      <w:r>
        <w:t>-</w:t>
      </w:r>
      <w:r>
        <w:rPr>
          <w:rFonts w:hint="eastAsia"/>
        </w:rPr>
        <w:t>1。</w:t>
      </w:r>
    </w:p>
    <w:bookmarkEnd w:id="130"/>
    <w:bookmarkEnd w:id="137"/>
    <w:p>
      <w:pPr>
        <w:pStyle w:val="11"/>
      </w:pPr>
      <w:bookmarkStart w:id="154" w:name="_Toc468689155"/>
    </w:p>
    <w:p>
      <w:pPr>
        <w:pStyle w:val="11"/>
      </w:pPr>
    </w:p>
    <w:p>
      <w:pPr>
        <w:pStyle w:val="11"/>
      </w:pPr>
    </w:p>
    <w:p>
      <w:pPr>
        <w:pStyle w:val="11"/>
      </w:pPr>
      <w:r>
        <w:t xml:space="preserve">表2.5- </w:t>
      </w:r>
      <w:r>
        <w:fldChar w:fldCharType="begin"/>
      </w:r>
      <w:r>
        <w:instrText xml:space="preserve"> SEQ 表2.5- \* ARABIC </w:instrText>
      </w:r>
      <w:r>
        <w:fldChar w:fldCharType="separate"/>
      </w:r>
      <w:r>
        <w:t>1</w:t>
      </w:r>
      <w:r>
        <w:fldChar w:fldCharType="end"/>
      </w:r>
      <w:r>
        <w:rPr>
          <w:rFonts w:hint="eastAsia"/>
        </w:rPr>
        <w:t xml:space="preserve">   </w:t>
      </w:r>
      <w:r>
        <w:t>项目污染物产排情况汇总</w:t>
      </w:r>
    </w:p>
    <w:tbl>
      <w:tblPr>
        <w:tblStyle w:val="21"/>
        <w:tblW w:w="87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4"/>
        <w:gridCol w:w="912"/>
        <w:gridCol w:w="1464"/>
        <w:gridCol w:w="1535"/>
        <w:gridCol w:w="1436"/>
        <w:gridCol w:w="1334"/>
        <w:gridCol w:w="13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724" w:type="dxa"/>
            <w:vAlign w:val="center"/>
          </w:tcPr>
          <w:p>
            <w:pPr>
              <w:pStyle w:val="8"/>
              <w:ind w:firstLine="0" w:firstLineChars="0"/>
            </w:pPr>
            <w:r>
              <w:rPr>
                <w:rFonts w:hint="eastAsia"/>
              </w:rPr>
              <w:t>项目</w:t>
            </w:r>
          </w:p>
        </w:tc>
        <w:tc>
          <w:tcPr>
            <w:tcW w:w="912" w:type="dxa"/>
            <w:vAlign w:val="center"/>
          </w:tcPr>
          <w:p>
            <w:pPr>
              <w:pStyle w:val="8"/>
              <w:ind w:firstLine="0" w:firstLineChars="0"/>
            </w:pPr>
            <w:r>
              <w:rPr>
                <w:rFonts w:hint="eastAsia"/>
              </w:rPr>
              <w:t>污染源</w:t>
            </w:r>
          </w:p>
        </w:tc>
        <w:tc>
          <w:tcPr>
            <w:tcW w:w="1464" w:type="dxa"/>
            <w:vAlign w:val="center"/>
          </w:tcPr>
          <w:p>
            <w:pPr>
              <w:pStyle w:val="8"/>
              <w:ind w:firstLine="0" w:firstLineChars="0"/>
            </w:pPr>
            <w:r>
              <w:rPr>
                <w:rFonts w:hint="eastAsia"/>
              </w:rPr>
              <w:t>污染物名称</w:t>
            </w:r>
          </w:p>
        </w:tc>
        <w:tc>
          <w:tcPr>
            <w:tcW w:w="1535" w:type="dxa"/>
            <w:vAlign w:val="center"/>
          </w:tcPr>
          <w:p>
            <w:pPr>
              <w:pStyle w:val="8"/>
              <w:ind w:firstLine="0" w:firstLineChars="0"/>
            </w:pPr>
            <w:r>
              <w:rPr>
                <w:rFonts w:hint="eastAsia"/>
              </w:rPr>
              <w:t>产生量（</w:t>
            </w:r>
            <w:r>
              <w:t>t/a</w:t>
            </w:r>
            <w:r>
              <w:rPr>
                <w:rFonts w:hint="eastAsia"/>
              </w:rPr>
              <w:t>）</w:t>
            </w:r>
          </w:p>
        </w:tc>
        <w:tc>
          <w:tcPr>
            <w:tcW w:w="1436" w:type="dxa"/>
            <w:vAlign w:val="center"/>
          </w:tcPr>
          <w:p>
            <w:pPr>
              <w:pStyle w:val="8"/>
              <w:ind w:firstLine="0" w:firstLineChars="0"/>
            </w:pPr>
            <w:r>
              <w:rPr>
                <w:rFonts w:hint="eastAsia"/>
              </w:rPr>
              <w:t>产生浓度（mg/m</w:t>
            </w:r>
            <w:r>
              <w:rPr>
                <w:rFonts w:hint="eastAsia"/>
                <w:vertAlign w:val="superscript"/>
              </w:rPr>
              <w:t>3</w:t>
            </w:r>
            <w:r>
              <w:rPr>
                <w:rFonts w:hint="eastAsia"/>
              </w:rPr>
              <w:t>）</w:t>
            </w:r>
          </w:p>
        </w:tc>
        <w:tc>
          <w:tcPr>
            <w:tcW w:w="1334" w:type="dxa"/>
            <w:vAlign w:val="center"/>
          </w:tcPr>
          <w:p>
            <w:pPr>
              <w:pStyle w:val="8"/>
              <w:ind w:firstLine="0" w:firstLineChars="0"/>
            </w:pPr>
            <w:r>
              <w:rPr>
                <w:rFonts w:hint="eastAsia"/>
              </w:rPr>
              <w:t>排放量</w:t>
            </w:r>
          </w:p>
          <w:p>
            <w:pPr>
              <w:pStyle w:val="8"/>
              <w:ind w:firstLine="0" w:firstLineChars="0"/>
            </w:pPr>
            <w:r>
              <w:rPr>
                <w:rFonts w:hint="eastAsia"/>
              </w:rPr>
              <w:t>（</w:t>
            </w:r>
            <w:r>
              <w:t>t/a</w:t>
            </w:r>
            <w:r>
              <w:rPr>
                <w:rFonts w:hint="eastAsia"/>
              </w:rPr>
              <w:t>）</w:t>
            </w:r>
          </w:p>
        </w:tc>
        <w:tc>
          <w:tcPr>
            <w:tcW w:w="1332" w:type="dxa"/>
            <w:vAlign w:val="center"/>
          </w:tcPr>
          <w:p>
            <w:pPr>
              <w:pStyle w:val="8"/>
              <w:ind w:firstLine="0" w:firstLineChars="0"/>
            </w:pPr>
            <w:r>
              <w:rPr>
                <w:rFonts w:hint="eastAsia"/>
              </w:rPr>
              <w:t>排放浓度（mg/m</w:t>
            </w:r>
            <w:r>
              <w:rPr>
                <w:rFonts w:hint="eastAsia"/>
                <w:vertAlign w:val="superscript"/>
              </w:rPr>
              <w:t>3</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636" w:type="dxa"/>
            <w:gridSpan w:val="2"/>
            <w:vMerge w:val="restart"/>
            <w:vAlign w:val="center"/>
          </w:tcPr>
          <w:p>
            <w:pPr>
              <w:pStyle w:val="8"/>
              <w:ind w:firstLine="0" w:firstLineChars="0"/>
            </w:pPr>
            <w:r>
              <w:rPr>
                <w:rFonts w:hint="eastAsia"/>
              </w:rPr>
              <w:t>废水</w:t>
            </w:r>
          </w:p>
        </w:tc>
        <w:tc>
          <w:tcPr>
            <w:tcW w:w="1464" w:type="dxa"/>
            <w:vAlign w:val="center"/>
          </w:tcPr>
          <w:p>
            <w:pPr>
              <w:pStyle w:val="8"/>
              <w:ind w:firstLine="0" w:firstLineChars="0"/>
            </w:pPr>
            <w:r>
              <w:rPr>
                <w:rFonts w:hint="eastAsia"/>
              </w:rPr>
              <w:t>水量</w:t>
            </w:r>
          </w:p>
        </w:tc>
        <w:tc>
          <w:tcPr>
            <w:tcW w:w="1535" w:type="dxa"/>
            <w:vAlign w:val="center"/>
          </w:tcPr>
          <w:p>
            <w:pPr>
              <w:pStyle w:val="8"/>
              <w:ind w:firstLine="0" w:firstLineChars="0"/>
              <w:rPr>
                <w:highlight w:val="yellow"/>
              </w:rPr>
            </w:pPr>
            <w:r>
              <w:rPr>
                <w:rFonts w:hint="eastAsia"/>
              </w:rPr>
              <w:t>5849.4</w:t>
            </w:r>
          </w:p>
        </w:tc>
        <w:tc>
          <w:tcPr>
            <w:tcW w:w="1436" w:type="dxa"/>
            <w:vAlign w:val="center"/>
          </w:tcPr>
          <w:p>
            <w:pPr>
              <w:pStyle w:val="8"/>
              <w:ind w:firstLine="0" w:firstLineChars="0"/>
            </w:pPr>
            <w:r>
              <w:t>/</w:t>
            </w:r>
          </w:p>
        </w:tc>
        <w:tc>
          <w:tcPr>
            <w:tcW w:w="1334" w:type="dxa"/>
            <w:vAlign w:val="center"/>
          </w:tcPr>
          <w:p>
            <w:pPr>
              <w:pStyle w:val="8"/>
              <w:ind w:firstLine="0" w:firstLineChars="0"/>
            </w:pPr>
            <w:r>
              <w:t>0</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1636" w:type="dxa"/>
            <w:gridSpan w:val="2"/>
            <w:vMerge w:val="continue"/>
            <w:vAlign w:val="center"/>
          </w:tcPr>
          <w:p>
            <w:pPr>
              <w:pStyle w:val="8"/>
              <w:ind w:firstLine="0" w:firstLineChars="0"/>
            </w:pPr>
          </w:p>
        </w:tc>
        <w:tc>
          <w:tcPr>
            <w:tcW w:w="1464" w:type="dxa"/>
            <w:vAlign w:val="center"/>
          </w:tcPr>
          <w:p>
            <w:pPr>
              <w:pStyle w:val="8"/>
              <w:ind w:firstLine="0" w:firstLineChars="0"/>
            </w:pPr>
            <w:r>
              <w:t>COD</w:t>
            </w:r>
          </w:p>
        </w:tc>
        <w:tc>
          <w:tcPr>
            <w:tcW w:w="1535" w:type="dxa"/>
            <w:vAlign w:val="center"/>
          </w:tcPr>
          <w:p>
            <w:pPr>
              <w:pStyle w:val="8"/>
              <w:ind w:firstLine="0" w:firstLineChars="0"/>
              <w:rPr>
                <w:highlight w:val="yellow"/>
              </w:rPr>
            </w:pPr>
            <w:r>
              <w:rPr>
                <w:rFonts w:hint="eastAsia"/>
              </w:rPr>
              <w:t>15.23</w:t>
            </w:r>
          </w:p>
        </w:tc>
        <w:tc>
          <w:tcPr>
            <w:tcW w:w="1436" w:type="dxa"/>
            <w:vAlign w:val="center"/>
          </w:tcPr>
          <w:p>
            <w:pPr>
              <w:pStyle w:val="8"/>
              <w:ind w:firstLine="0" w:firstLineChars="0"/>
            </w:pPr>
            <w:r>
              <w:t>/</w:t>
            </w:r>
          </w:p>
        </w:tc>
        <w:tc>
          <w:tcPr>
            <w:tcW w:w="1334" w:type="dxa"/>
            <w:vAlign w:val="center"/>
          </w:tcPr>
          <w:p>
            <w:pPr>
              <w:pStyle w:val="8"/>
              <w:ind w:firstLine="0" w:firstLineChars="0"/>
            </w:pPr>
            <w:r>
              <w:t>0</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1636" w:type="dxa"/>
            <w:gridSpan w:val="2"/>
            <w:vMerge w:val="continue"/>
            <w:vAlign w:val="center"/>
          </w:tcPr>
          <w:p>
            <w:pPr>
              <w:pStyle w:val="8"/>
              <w:ind w:firstLine="0" w:firstLineChars="0"/>
            </w:pPr>
          </w:p>
        </w:tc>
        <w:tc>
          <w:tcPr>
            <w:tcW w:w="1464" w:type="dxa"/>
            <w:vAlign w:val="center"/>
          </w:tcPr>
          <w:p>
            <w:pPr>
              <w:pStyle w:val="8"/>
              <w:ind w:firstLine="0" w:firstLineChars="0"/>
            </w:pPr>
            <w:r>
              <w:t>NH</w:t>
            </w:r>
            <w:r>
              <w:rPr>
                <w:vertAlign w:val="subscript"/>
              </w:rPr>
              <w:t>3</w:t>
            </w:r>
            <w:r>
              <w:t>-N</w:t>
            </w:r>
          </w:p>
        </w:tc>
        <w:tc>
          <w:tcPr>
            <w:tcW w:w="1535" w:type="dxa"/>
            <w:vAlign w:val="center"/>
          </w:tcPr>
          <w:p>
            <w:pPr>
              <w:pStyle w:val="8"/>
              <w:ind w:firstLine="0" w:firstLineChars="0"/>
              <w:rPr>
                <w:highlight w:val="yellow"/>
              </w:rPr>
            </w:pPr>
            <w:r>
              <w:rPr>
                <w:rFonts w:hint="eastAsia"/>
              </w:rPr>
              <w:t>3.315</w:t>
            </w:r>
          </w:p>
        </w:tc>
        <w:tc>
          <w:tcPr>
            <w:tcW w:w="1436" w:type="dxa"/>
            <w:vAlign w:val="center"/>
          </w:tcPr>
          <w:p>
            <w:pPr>
              <w:pStyle w:val="8"/>
              <w:ind w:firstLine="0" w:firstLineChars="0"/>
            </w:pPr>
            <w:r>
              <w:t>/</w:t>
            </w:r>
          </w:p>
        </w:tc>
        <w:tc>
          <w:tcPr>
            <w:tcW w:w="1334" w:type="dxa"/>
            <w:vAlign w:val="center"/>
          </w:tcPr>
          <w:p>
            <w:pPr>
              <w:pStyle w:val="8"/>
              <w:ind w:firstLine="0" w:firstLineChars="0"/>
            </w:pPr>
            <w:r>
              <w:t>0</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1636" w:type="dxa"/>
            <w:gridSpan w:val="2"/>
            <w:vMerge w:val="continue"/>
            <w:vAlign w:val="center"/>
          </w:tcPr>
          <w:p>
            <w:pPr>
              <w:pStyle w:val="8"/>
              <w:ind w:firstLine="0" w:firstLineChars="0"/>
            </w:pPr>
          </w:p>
        </w:tc>
        <w:tc>
          <w:tcPr>
            <w:tcW w:w="1464" w:type="dxa"/>
            <w:vAlign w:val="center"/>
          </w:tcPr>
          <w:p>
            <w:pPr>
              <w:pStyle w:val="8"/>
              <w:ind w:firstLine="0" w:firstLineChars="0"/>
            </w:pPr>
            <w:r>
              <w:rPr>
                <w:rFonts w:hint="eastAsia"/>
              </w:rPr>
              <w:t>TN</w:t>
            </w:r>
          </w:p>
        </w:tc>
        <w:tc>
          <w:tcPr>
            <w:tcW w:w="1535" w:type="dxa"/>
            <w:vAlign w:val="center"/>
          </w:tcPr>
          <w:p>
            <w:pPr>
              <w:pStyle w:val="8"/>
              <w:ind w:firstLine="0" w:firstLineChars="0"/>
            </w:pPr>
            <w:r>
              <w:rPr>
                <w:rFonts w:hint="eastAsia"/>
              </w:rPr>
              <w:t>4.888</w:t>
            </w:r>
          </w:p>
        </w:tc>
        <w:tc>
          <w:tcPr>
            <w:tcW w:w="1436" w:type="dxa"/>
            <w:vAlign w:val="center"/>
          </w:tcPr>
          <w:p>
            <w:pPr>
              <w:pStyle w:val="8"/>
              <w:ind w:firstLine="0" w:firstLineChars="0"/>
            </w:pPr>
            <w:r>
              <w:t>/</w:t>
            </w:r>
          </w:p>
        </w:tc>
        <w:tc>
          <w:tcPr>
            <w:tcW w:w="1334" w:type="dxa"/>
            <w:vAlign w:val="center"/>
          </w:tcPr>
          <w:p>
            <w:pPr>
              <w:pStyle w:val="8"/>
              <w:ind w:firstLine="0" w:firstLineChars="0"/>
            </w:pPr>
            <w:r>
              <w:t>0</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1636" w:type="dxa"/>
            <w:gridSpan w:val="2"/>
            <w:vMerge w:val="continue"/>
            <w:vAlign w:val="center"/>
          </w:tcPr>
          <w:p>
            <w:pPr>
              <w:pStyle w:val="8"/>
              <w:ind w:firstLine="0" w:firstLineChars="0"/>
            </w:pPr>
          </w:p>
        </w:tc>
        <w:tc>
          <w:tcPr>
            <w:tcW w:w="1464" w:type="dxa"/>
            <w:vAlign w:val="center"/>
          </w:tcPr>
          <w:p>
            <w:pPr>
              <w:pStyle w:val="8"/>
              <w:ind w:firstLine="0" w:firstLineChars="0"/>
            </w:pPr>
            <w:r>
              <w:rPr>
                <w:rFonts w:hint="eastAsia"/>
              </w:rPr>
              <w:t>TP</w:t>
            </w:r>
          </w:p>
        </w:tc>
        <w:tc>
          <w:tcPr>
            <w:tcW w:w="1535" w:type="dxa"/>
            <w:vAlign w:val="center"/>
          </w:tcPr>
          <w:p>
            <w:pPr>
              <w:pStyle w:val="8"/>
              <w:ind w:firstLine="0" w:firstLineChars="0"/>
            </w:pPr>
            <w:r>
              <w:rPr>
                <w:rFonts w:hint="eastAsia"/>
              </w:rPr>
              <w:t>0.7108</w:t>
            </w:r>
          </w:p>
        </w:tc>
        <w:tc>
          <w:tcPr>
            <w:tcW w:w="1436" w:type="dxa"/>
            <w:vAlign w:val="center"/>
          </w:tcPr>
          <w:p>
            <w:pPr>
              <w:pStyle w:val="8"/>
              <w:ind w:firstLine="0" w:firstLineChars="0"/>
            </w:pPr>
            <w:r>
              <w:t>/</w:t>
            </w:r>
          </w:p>
        </w:tc>
        <w:tc>
          <w:tcPr>
            <w:tcW w:w="1334" w:type="dxa"/>
            <w:vAlign w:val="center"/>
          </w:tcPr>
          <w:p>
            <w:pPr>
              <w:pStyle w:val="8"/>
              <w:ind w:firstLine="0" w:firstLineChars="0"/>
            </w:pPr>
            <w:r>
              <w:t>0</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24" w:type="dxa"/>
            <w:vMerge w:val="restart"/>
            <w:vAlign w:val="center"/>
          </w:tcPr>
          <w:p>
            <w:pPr>
              <w:pStyle w:val="8"/>
              <w:ind w:firstLine="0" w:firstLineChars="0"/>
            </w:pPr>
            <w:r>
              <w:rPr>
                <w:rFonts w:hint="eastAsia"/>
              </w:rPr>
              <w:t>废气</w:t>
            </w:r>
          </w:p>
          <w:p>
            <w:pPr>
              <w:pStyle w:val="8"/>
              <w:ind w:firstLine="0" w:firstLineChars="0"/>
            </w:pPr>
          </w:p>
        </w:tc>
        <w:tc>
          <w:tcPr>
            <w:tcW w:w="912" w:type="dxa"/>
            <w:vMerge w:val="restart"/>
            <w:vAlign w:val="center"/>
          </w:tcPr>
          <w:p>
            <w:pPr>
              <w:pStyle w:val="8"/>
              <w:ind w:firstLine="0" w:firstLineChars="0"/>
            </w:pPr>
            <w:r>
              <w:rPr>
                <w:rFonts w:hint="eastAsia"/>
              </w:rPr>
              <w:t>面源</w:t>
            </w:r>
          </w:p>
        </w:tc>
        <w:tc>
          <w:tcPr>
            <w:tcW w:w="1464" w:type="dxa"/>
            <w:vAlign w:val="center"/>
          </w:tcPr>
          <w:p>
            <w:pPr>
              <w:pStyle w:val="8"/>
              <w:ind w:firstLine="0" w:firstLineChars="0"/>
            </w:pPr>
            <w:r>
              <w:t>NH</w:t>
            </w:r>
            <w:r>
              <w:rPr>
                <w:vertAlign w:val="subscript"/>
              </w:rPr>
              <w:t>3</w:t>
            </w:r>
          </w:p>
        </w:tc>
        <w:tc>
          <w:tcPr>
            <w:tcW w:w="1535" w:type="dxa"/>
            <w:vAlign w:val="center"/>
          </w:tcPr>
          <w:p>
            <w:pPr>
              <w:pStyle w:val="8"/>
              <w:ind w:firstLine="0" w:firstLineChars="0"/>
            </w:pPr>
            <w:r>
              <w:rPr>
                <w:rFonts w:hint="eastAsia"/>
              </w:rPr>
              <w:t>5.615</w:t>
            </w:r>
          </w:p>
        </w:tc>
        <w:tc>
          <w:tcPr>
            <w:tcW w:w="1436" w:type="dxa"/>
            <w:vAlign w:val="center"/>
          </w:tcPr>
          <w:p>
            <w:pPr>
              <w:pStyle w:val="8"/>
              <w:ind w:firstLine="0" w:firstLineChars="0"/>
            </w:pPr>
            <w:r>
              <w:t>/</w:t>
            </w:r>
          </w:p>
        </w:tc>
        <w:tc>
          <w:tcPr>
            <w:tcW w:w="1334" w:type="dxa"/>
            <w:vAlign w:val="center"/>
          </w:tcPr>
          <w:p>
            <w:pPr>
              <w:pStyle w:val="8"/>
              <w:ind w:firstLine="0" w:firstLineChars="0"/>
              <w:rPr>
                <w:highlight w:val="yellow"/>
              </w:rPr>
            </w:pPr>
            <w:r>
              <w:rPr>
                <w:rFonts w:hint="eastAsia"/>
              </w:rPr>
              <w:t>0.2905</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24" w:type="dxa"/>
            <w:vMerge w:val="continue"/>
            <w:vAlign w:val="center"/>
          </w:tcPr>
          <w:p>
            <w:pPr>
              <w:pStyle w:val="8"/>
              <w:ind w:firstLine="0" w:firstLineChars="0"/>
            </w:pPr>
          </w:p>
        </w:tc>
        <w:tc>
          <w:tcPr>
            <w:tcW w:w="912" w:type="dxa"/>
            <w:vMerge w:val="continue"/>
            <w:vAlign w:val="center"/>
          </w:tcPr>
          <w:p>
            <w:pPr>
              <w:pStyle w:val="8"/>
              <w:ind w:firstLine="0" w:firstLineChars="0"/>
            </w:pPr>
          </w:p>
        </w:tc>
        <w:tc>
          <w:tcPr>
            <w:tcW w:w="1464" w:type="dxa"/>
            <w:vAlign w:val="center"/>
          </w:tcPr>
          <w:p>
            <w:pPr>
              <w:pStyle w:val="8"/>
              <w:ind w:firstLine="0" w:firstLineChars="0"/>
            </w:pPr>
            <w:r>
              <w:t>H</w:t>
            </w:r>
            <w:r>
              <w:rPr>
                <w:vertAlign w:val="subscript"/>
              </w:rPr>
              <w:t>2</w:t>
            </w:r>
            <w:r>
              <w:t>S</w:t>
            </w:r>
          </w:p>
        </w:tc>
        <w:tc>
          <w:tcPr>
            <w:tcW w:w="1535" w:type="dxa"/>
            <w:vAlign w:val="center"/>
          </w:tcPr>
          <w:p>
            <w:pPr>
              <w:pStyle w:val="8"/>
              <w:ind w:firstLine="0" w:firstLineChars="0"/>
            </w:pPr>
            <w:r>
              <w:rPr>
                <w:rFonts w:hint="eastAsia"/>
              </w:rPr>
              <w:t>0.646</w:t>
            </w:r>
          </w:p>
        </w:tc>
        <w:tc>
          <w:tcPr>
            <w:tcW w:w="1436" w:type="dxa"/>
            <w:vAlign w:val="center"/>
          </w:tcPr>
          <w:p>
            <w:pPr>
              <w:pStyle w:val="8"/>
              <w:ind w:firstLine="0" w:firstLineChars="0"/>
            </w:pPr>
            <w:r>
              <w:t>/</w:t>
            </w:r>
          </w:p>
        </w:tc>
        <w:tc>
          <w:tcPr>
            <w:tcW w:w="1334" w:type="dxa"/>
            <w:vAlign w:val="center"/>
          </w:tcPr>
          <w:p>
            <w:pPr>
              <w:pStyle w:val="8"/>
              <w:ind w:firstLine="0" w:firstLineChars="0"/>
              <w:rPr>
                <w:highlight w:val="yellow"/>
              </w:rPr>
            </w:pPr>
            <w:r>
              <w:rPr>
                <w:rFonts w:hint="eastAsia"/>
              </w:rPr>
              <w:t>0.0236</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724" w:type="dxa"/>
            <w:vMerge w:val="continue"/>
            <w:vAlign w:val="center"/>
          </w:tcPr>
          <w:p>
            <w:pPr>
              <w:pStyle w:val="8"/>
              <w:ind w:firstLine="0" w:firstLineChars="0"/>
              <w:rPr>
                <w:highlight w:val="yellow"/>
              </w:rPr>
            </w:pPr>
            <w:bookmarkStart w:id="155" w:name="_Hlk307219504"/>
          </w:p>
        </w:tc>
        <w:tc>
          <w:tcPr>
            <w:tcW w:w="912" w:type="dxa"/>
            <w:vAlign w:val="center"/>
          </w:tcPr>
          <w:p>
            <w:pPr>
              <w:pStyle w:val="8"/>
              <w:ind w:firstLine="0" w:firstLineChars="0"/>
            </w:pPr>
            <w:r>
              <w:rPr>
                <w:rFonts w:hint="eastAsia"/>
              </w:rPr>
              <w:t>食堂</w:t>
            </w:r>
          </w:p>
        </w:tc>
        <w:tc>
          <w:tcPr>
            <w:tcW w:w="1464" w:type="dxa"/>
            <w:vAlign w:val="center"/>
          </w:tcPr>
          <w:p>
            <w:pPr>
              <w:pStyle w:val="8"/>
              <w:ind w:firstLine="0" w:firstLineChars="0"/>
            </w:pPr>
            <w:r>
              <w:rPr>
                <w:rFonts w:hint="eastAsia"/>
              </w:rPr>
              <w:t>油烟</w:t>
            </w:r>
          </w:p>
        </w:tc>
        <w:tc>
          <w:tcPr>
            <w:tcW w:w="1535" w:type="dxa"/>
            <w:vAlign w:val="center"/>
          </w:tcPr>
          <w:p>
            <w:pPr>
              <w:pStyle w:val="8"/>
              <w:ind w:firstLine="0" w:firstLineChars="0"/>
            </w:pPr>
            <w:r>
              <w:t>0.0</w:t>
            </w:r>
            <w:r>
              <w:rPr>
                <w:rFonts w:hint="eastAsia"/>
              </w:rPr>
              <w:t>026</w:t>
            </w:r>
          </w:p>
        </w:tc>
        <w:tc>
          <w:tcPr>
            <w:tcW w:w="1436" w:type="dxa"/>
            <w:vAlign w:val="center"/>
          </w:tcPr>
          <w:p>
            <w:pPr>
              <w:pStyle w:val="8"/>
              <w:ind w:firstLine="0" w:firstLineChars="0"/>
            </w:pPr>
            <w:r>
              <w:rPr>
                <w:rFonts w:hint="eastAsia"/>
              </w:rPr>
              <w:t>1.8</w:t>
            </w:r>
          </w:p>
        </w:tc>
        <w:tc>
          <w:tcPr>
            <w:tcW w:w="1334" w:type="dxa"/>
            <w:vAlign w:val="center"/>
          </w:tcPr>
          <w:p>
            <w:pPr>
              <w:pStyle w:val="8"/>
              <w:ind w:firstLine="0" w:firstLineChars="0"/>
            </w:pPr>
            <w:r>
              <w:t>0.00</w:t>
            </w:r>
            <w:r>
              <w:rPr>
                <w:rFonts w:hint="eastAsia"/>
              </w:rPr>
              <w:t>03</w:t>
            </w:r>
          </w:p>
        </w:tc>
        <w:tc>
          <w:tcPr>
            <w:tcW w:w="1332" w:type="dxa"/>
            <w:vAlign w:val="center"/>
          </w:tcPr>
          <w:p>
            <w:pPr>
              <w:pStyle w:val="8"/>
              <w:ind w:firstLine="0" w:firstLineChars="0"/>
            </w:pPr>
            <w:r>
              <w:rPr>
                <w:rFonts w:hint="eastAsia"/>
              </w:rPr>
              <w:t>0.27</w:t>
            </w:r>
          </w:p>
        </w:tc>
      </w:tr>
      <w:bookmarkEnd w:id="155"/>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636" w:type="dxa"/>
            <w:gridSpan w:val="2"/>
            <w:vMerge w:val="restart"/>
            <w:vAlign w:val="center"/>
          </w:tcPr>
          <w:p>
            <w:pPr>
              <w:pStyle w:val="8"/>
              <w:ind w:firstLine="0" w:firstLineChars="0"/>
            </w:pPr>
            <w:r>
              <w:rPr>
                <w:rFonts w:hint="eastAsia"/>
              </w:rPr>
              <w:t>固废</w:t>
            </w:r>
          </w:p>
        </w:tc>
        <w:tc>
          <w:tcPr>
            <w:tcW w:w="1464" w:type="dxa"/>
            <w:vAlign w:val="center"/>
          </w:tcPr>
          <w:p>
            <w:pPr>
              <w:pStyle w:val="8"/>
              <w:ind w:firstLine="0" w:firstLineChars="0"/>
            </w:pPr>
            <w:r>
              <w:rPr>
                <w:rFonts w:hint="eastAsia"/>
              </w:rPr>
              <w:t>更换发酵床垫料</w:t>
            </w:r>
          </w:p>
        </w:tc>
        <w:tc>
          <w:tcPr>
            <w:tcW w:w="1535" w:type="dxa"/>
            <w:vAlign w:val="center"/>
          </w:tcPr>
          <w:p>
            <w:pPr>
              <w:pStyle w:val="8"/>
              <w:ind w:firstLine="0" w:firstLineChars="0"/>
            </w:pPr>
            <w:r>
              <w:t>2275.15</w:t>
            </w:r>
          </w:p>
        </w:tc>
        <w:tc>
          <w:tcPr>
            <w:tcW w:w="1436" w:type="dxa"/>
            <w:vAlign w:val="center"/>
          </w:tcPr>
          <w:p>
            <w:pPr>
              <w:pStyle w:val="8"/>
              <w:ind w:firstLine="0" w:firstLineChars="0"/>
            </w:pPr>
            <w:r>
              <w:t>/</w:t>
            </w:r>
          </w:p>
        </w:tc>
        <w:tc>
          <w:tcPr>
            <w:tcW w:w="1334" w:type="dxa"/>
            <w:vAlign w:val="center"/>
          </w:tcPr>
          <w:p>
            <w:pPr>
              <w:pStyle w:val="8"/>
              <w:ind w:firstLine="0" w:firstLineChars="0"/>
            </w:pPr>
            <w:r>
              <w:t>0</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1636" w:type="dxa"/>
            <w:gridSpan w:val="2"/>
            <w:vMerge w:val="continue"/>
            <w:vAlign w:val="center"/>
          </w:tcPr>
          <w:p>
            <w:pPr>
              <w:pStyle w:val="8"/>
              <w:ind w:firstLine="0" w:firstLineChars="0"/>
            </w:pPr>
          </w:p>
        </w:tc>
        <w:tc>
          <w:tcPr>
            <w:tcW w:w="1464" w:type="dxa"/>
            <w:vAlign w:val="center"/>
          </w:tcPr>
          <w:p>
            <w:pPr>
              <w:pStyle w:val="8"/>
              <w:ind w:firstLine="0" w:firstLineChars="0"/>
            </w:pPr>
            <w:r>
              <w:t>病死猪</w:t>
            </w:r>
          </w:p>
        </w:tc>
        <w:tc>
          <w:tcPr>
            <w:tcW w:w="1535" w:type="dxa"/>
            <w:vAlign w:val="center"/>
          </w:tcPr>
          <w:p>
            <w:pPr>
              <w:pStyle w:val="8"/>
              <w:ind w:firstLine="0" w:firstLineChars="0"/>
            </w:pPr>
            <w:r>
              <w:rPr>
                <w:rFonts w:hint="eastAsia"/>
              </w:rPr>
              <w:t>4.1</w:t>
            </w:r>
          </w:p>
        </w:tc>
        <w:tc>
          <w:tcPr>
            <w:tcW w:w="1436" w:type="dxa"/>
            <w:vAlign w:val="center"/>
          </w:tcPr>
          <w:p>
            <w:pPr>
              <w:pStyle w:val="8"/>
              <w:ind w:firstLine="0" w:firstLineChars="0"/>
            </w:pPr>
            <w:r>
              <w:t>/</w:t>
            </w:r>
          </w:p>
        </w:tc>
        <w:tc>
          <w:tcPr>
            <w:tcW w:w="1334" w:type="dxa"/>
            <w:vAlign w:val="center"/>
          </w:tcPr>
          <w:p>
            <w:pPr>
              <w:pStyle w:val="8"/>
              <w:ind w:firstLine="0" w:firstLineChars="0"/>
            </w:pPr>
            <w:r>
              <w:t>0</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1636" w:type="dxa"/>
            <w:gridSpan w:val="2"/>
            <w:vMerge w:val="continue"/>
            <w:vAlign w:val="center"/>
          </w:tcPr>
          <w:p>
            <w:pPr>
              <w:pStyle w:val="8"/>
              <w:ind w:firstLine="0" w:firstLineChars="0"/>
            </w:pPr>
          </w:p>
        </w:tc>
        <w:tc>
          <w:tcPr>
            <w:tcW w:w="1464" w:type="dxa"/>
            <w:vAlign w:val="center"/>
          </w:tcPr>
          <w:p>
            <w:pPr>
              <w:pStyle w:val="8"/>
              <w:ind w:firstLine="0" w:firstLineChars="0"/>
            </w:pPr>
            <w:r>
              <w:t>医疗废物</w:t>
            </w:r>
          </w:p>
        </w:tc>
        <w:tc>
          <w:tcPr>
            <w:tcW w:w="1535" w:type="dxa"/>
            <w:vAlign w:val="center"/>
          </w:tcPr>
          <w:p>
            <w:pPr>
              <w:pStyle w:val="8"/>
              <w:ind w:firstLine="0" w:firstLineChars="0"/>
            </w:pPr>
            <w:r>
              <w:t>0.</w:t>
            </w:r>
            <w:r>
              <w:rPr>
                <w:rFonts w:hint="eastAsia"/>
              </w:rPr>
              <w:t>10</w:t>
            </w:r>
          </w:p>
        </w:tc>
        <w:tc>
          <w:tcPr>
            <w:tcW w:w="1436" w:type="dxa"/>
            <w:vAlign w:val="center"/>
          </w:tcPr>
          <w:p>
            <w:pPr>
              <w:pStyle w:val="8"/>
              <w:ind w:firstLine="0" w:firstLineChars="0"/>
            </w:pPr>
            <w:r>
              <w:t>/</w:t>
            </w:r>
          </w:p>
        </w:tc>
        <w:tc>
          <w:tcPr>
            <w:tcW w:w="1334" w:type="dxa"/>
            <w:vAlign w:val="center"/>
          </w:tcPr>
          <w:p>
            <w:pPr>
              <w:pStyle w:val="8"/>
              <w:ind w:firstLine="0" w:firstLineChars="0"/>
            </w:pPr>
            <w:r>
              <w:t>0</w:t>
            </w:r>
          </w:p>
        </w:tc>
        <w:tc>
          <w:tcPr>
            <w:tcW w:w="1332" w:type="dxa"/>
            <w:vAlign w:val="center"/>
          </w:tcPr>
          <w:p>
            <w:pPr>
              <w:pStyle w:val="8"/>
              <w:ind w:firstLine="0" w:firstLineChars="0"/>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1636" w:type="dxa"/>
            <w:gridSpan w:val="2"/>
            <w:vMerge w:val="continue"/>
            <w:vAlign w:val="center"/>
          </w:tcPr>
          <w:p>
            <w:pPr>
              <w:pStyle w:val="8"/>
              <w:ind w:firstLine="0" w:firstLineChars="0"/>
              <w:rPr>
                <w:highlight w:val="yellow"/>
              </w:rPr>
            </w:pPr>
          </w:p>
        </w:tc>
        <w:tc>
          <w:tcPr>
            <w:tcW w:w="1464" w:type="dxa"/>
            <w:vAlign w:val="center"/>
          </w:tcPr>
          <w:p>
            <w:pPr>
              <w:pStyle w:val="8"/>
              <w:ind w:firstLine="0" w:firstLineChars="0"/>
            </w:pPr>
            <w:r>
              <w:t>生活垃圾</w:t>
            </w:r>
          </w:p>
        </w:tc>
        <w:tc>
          <w:tcPr>
            <w:tcW w:w="1535" w:type="dxa"/>
            <w:vAlign w:val="center"/>
          </w:tcPr>
          <w:p>
            <w:pPr>
              <w:pStyle w:val="8"/>
              <w:ind w:firstLine="0" w:firstLineChars="0"/>
            </w:pPr>
            <w:r>
              <w:rPr>
                <w:rFonts w:hint="eastAsia"/>
              </w:rPr>
              <w:t>1.09</w:t>
            </w:r>
          </w:p>
        </w:tc>
        <w:tc>
          <w:tcPr>
            <w:tcW w:w="1436" w:type="dxa"/>
            <w:vAlign w:val="center"/>
          </w:tcPr>
          <w:p>
            <w:pPr>
              <w:pStyle w:val="8"/>
              <w:ind w:firstLine="0" w:firstLineChars="0"/>
            </w:pPr>
            <w:r>
              <w:rPr>
                <w:rFonts w:hint="eastAsia"/>
              </w:rPr>
              <w:t>/</w:t>
            </w:r>
          </w:p>
        </w:tc>
        <w:tc>
          <w:tcPr>
            <w:tcW w:w="1334" w:type="dxa"/>
            <w:vAlign w:val="center"/>
          </w:tcPr>
          <w:p>
            <w:pPr>
              <w:pStyle w:val="8"/>
              <w:ind w:firstLine="0" w:firstLineChars="0"/>
            </w:pPr>
            <w:r>
              <w:rPr>
                <w:rFonts w:hint="eastAsia"/>
              </w:rPr>
              <w:t>0</w:t>
            </w:r>
          </w:p>
        </w:tc>
        <w:tc>
          <w:tcPr>
            <w:tcW w:w="1332" w:type="dxa"/>
            <w:vAlign w:val="center"/>
          </w:tcPr>
          <w:p>
            <w:pPr>
              <w:pStyle w:val="8"/>
              <w:ind w:firstLine="0" w:firstLineChars="0"/>
            </w:pPr>
            <w:r>
              <w:rPr>
                <w:rFonts w:hint="eastAsia"/>
              </w:rPr>
              <w:t>/</w:t>
            </w:r>
          </w:p>
        </w:tc>
      </w:tr>
    </w:tbl>
    <w:p>
      <w:pPr>
        <w:ind w:firstLine="480"/>
        <w:rPr>
          <w:highlight w:val="yellow"/>
        </w:rPr>
        <w:sectPr>
          <w:pgSz w:w="11907" w:h="16840"/>
          <w:pgMar w:top="1531" w:right="1531" w:bottom="1531" w:left="1531" w:header="851" w:footer="992" w:gutter="0"/>
          <w:cols w:space="720" w:num="1"/>
          <w:docGrid w:linePitch="312" w:charSpace="0"/>
        </w:sectPr>
      </w:pPr>
    </w:p>
    <w:bookmarkEnd w:id="154"/>
    <w:p>
      <w:pPr>
        <w:pStyle w:val="2"/>
      </w:pPr>
      <w:bookmarkStart w:id="156" w:name="_Toc25324"/>
      <w:bookmarkStart w:id="157" w:name="_Toc289344557"/>
      <w:r>
        <w:rPr>
          <w:rFonts w:hint="eastAsia"/>
        </w:rPr>
        <w:t>第三章  环境现状调查与评价</w:t>
      </w:r>
      <w:bookmarkEnd w:id="156"/>
    </w:p>
    <w:bookmarkEnd w:id="157"/>
    <w:p>
      <w:pPr>
        <w:pStyle w:val="4"/>
        <w:spacing w:before="48" w:after="48"/>
      </w:pPr>
      <w:bookmarkStart w:id="158" w:name="_Toc13496"/>
      <w:r>
        <w:rPr>
          <w:rFonts w:hint="eastAsia"/>
        </w:rPr>
        <w:t>3.1自然环境调查与评价</w:t>
      </w:r>
      <w:bookmarkEnd w:id="158"/>
    </w:p>
    <w:p>
      <w:pPr>
        <w:pStyle w:val="5"/>
        <w:spacing w:before="48" w:after="48"/>
      </w:pPr>
      <w:bookmarkStart w:id="159" w:name="_Toc468689157"/>
      <w:r>
        <w:rPr>
          <w:rFonts w:hint="eastAsia"/>
        </w:rPr>
        <w:t>3.1.1地理位置</w:t>
      </w:r>
      <w:bookmarkEnd w:id="159"/>
    </w:p>
    <w:p>
      <w:pPr>
        <w:ind w:firstLine="480"/>
      </w:pPr>
      <w:r>
        <w:rPr>
          <w:rFonts w:hint="eastAsia"/>
        </w:rPr>
        <w:t>澧县位于湖南省西北部，洞庭湖西岸，澧水下游，与长江直线距离</w:t>
      </w:r>
      <w:r>
        <w:t>80</w:t>
      </w:r>
      <w:r>
        <w:rPr>
          <w:rFonts w:hint="eastAsia"/>
        </w:rPr>
        <w:t>公里，是枝柳铁路、二广高速和</w:t>
      </w:r>
      <w:r>
        <w:t>207</w:t>
      </w:r>
      <w:r>
        <w:rPr>
          <w:rFonts w:hint="eastAsia"/>
        </w:rPr>
        <w:t>国道跨越长江，进入湖南的第一县。澧县北连长江，南通潇湘，西控九澧，东出洞庭，自古就有</w:t>
      </w:r>
      <w:r>
        <w:t>“</w:t>
      </w:r>
      <w:r>
        <w:rPr>
          <w:rFonts w:hint="eastAsia"/>
        </w:rPr>
        <w:t>九澧门户</w:t>
      </w:r>
      <w:r>
        <w:t>”</w:t>
      </w:r>
      <w:r>
        <w:rPr>
          <w:rFonts w:hint="eastAsia"/>
        </w:rPr>
        <w:t>之称，是澧水流域和湖南省参与长江开发的一大战略要地。澧县属常德市所辖，位于常德市北部，全县总面积</w:t>
      </w:r>
      <w:r>
        <w:t>2075</w:t>
      </w:r>
      <w:r>
        <w:rPr>
          <w:rFonts w:hint="eastAsia"/>
        </w:rPr>
        <w:t>平方公里，县城面积</w:t>
      </w:r>
      <w:r>
        <w:t>149.67</w:t>
      </w:r>
      <w:r>
        <w:rPr>
          <w:rFonts w:hint="eastAsia"/>
        </w:rPr>
        <w:t>平方公里。县境东南西三面分别与安乡、临澧、石门接壤，北与湖北省毗邻。</w:t>
      </w:r>
    </w:p>
    <w:p>
      <w:pPr>
        <w:ind w:firstLine="480"/>
      </w:pPr>
      <w:r>
        <w:rPr>
          <w:rFonts w:hint="eastAsia"/>
        </w:rPr>
        <w:t>本项目位于澧县大堰垱镇石公桥村，项目工程建设地中心地理坐标为：东经111°38′49.27145″，北纬29°47′29.90990″，详见附图</w:t>
      </w:r>
      <w:r>
        <w:t>1</w:t>
      </w:r>
      <w:r>
        <w:rPr>
          <w:rFonts w:hint="eastAsia"/>
        </w:rPr>
        <w:t>。</w:t>
      </w:r>
    </w:p>
    <w:p>
      <w:pPr>
        <w:pStyle w:val="5"/>
        <w:spacing w:before="48" w:after="48"/>
      </w:pPr>
      <w:r>
        <w:rPr>
          <w:rFonts w:hint="eastAsia"/>
        </w:rPr>
        <w:t>3.1.2地形地貌地质</w:t>
      </w:r>
    </w:p>
    <w:p>
      <w:pPr>
        <w:ind w:firstLine="480"/>
      </w:pPr>
      <w:r>
        <w:rPr>
          <w:rFonts w:hint="eastAsia"/>
        </w:rPr>
        <w:t>澧县地处武陵山余脉向洞庭湖过渡地带，以平原和岗地为其主要地貌特征。县境内地势西北高，东南低，自西北向东南倾斜，形成山、丘、平、湖四种自然区。西北部为山区，太青山鸭母尖海拔1019.5米，是全县制高点；南部与北部属丘陵区，起伏不平；东部和西部为湖区，水网纵横，小渡口镇永和村海拔28.6米，是县境最低点；中部是全省著名的澧阳平原。主要河流有澧、澹、道、涔、松滋五水。</w:t>
      </w:r>
    </w:p>
    <w:p>
      <w:pPr>
        <w:ind w:firstLine="480"/>
      </w:pPr>
      <w:r>
        <w:rPr>
          <w:rFonts w:hint="eastAsia"/>
        </w:rPr>
        <w:t>澧县全境土地面积</w:t>
      </w:r>
      <w:r>
        <w:t>2017.5km</w:t>
      </w:r>
      <w:r>
        <w:rPr>
          <w:vertAlign w:val="superscript"/>
        </w:rPr>
        <w:t>2</w:t>
      </w:r>
      <w:r>
        <w:rPr>
          <w:rFonts w:hint="eastAsia"/>
        </w:rPr>
        <w:t>，其中山地丘陵面积</w:t>
      </w:r>
      <w:r>
        <w:t>463.9km</w:t>
      </w:r>
      <w:r>
        <w:rPr>
          <w:vertAlign w:val="superscript"/>
        </w:rPr>
        <w:t>2</w:t>
      </w:r>
      <w:r>
        <w:rPr>
          <w:rFonts w:hint="eastAsia"/>
        </w:rPr>
        <w:t>，占全县总面积的</w:t>
      </w:r>
      <w:r>
        <w:t>22.01%</w:t>
      </w:r>
      <w:r>
        <w:rPr>
          <w:rFonts w:hint="eastAsia"/>
        </w:rPr>
        <w:t>；岗地主要分布在县境南部和北部，共</w:t>
      </w:r>
      <w:r>
        <w:t>710.2km</w:t>
      </w:r>
      <w:r>
        <w:rPr>
          <w:vertAlign w:val="superscript"/>
        </w:rPr>
        <w:t>2</w:t>
      </w:r>
      <w:r>
        <w:rPr>
          <w:rFonts w:hint="eastAsia"/>
        </w:rPr>
        <w:t>，占全县总面积的</w:t>
      </w:r>
      <w:r>
        <w:t>34.18%</w:t>
      </w:r>
      <w:r>
        <w:rPr>
          <w:rFonts w:hint="eastAsia"/>
        </w:rPr>
        <w:t>；中东部属平原，约</w:t>
      </w:r>
      <w:r>
        <w:t>923.2km</w:t>
      </w:r>
      <w:r>
        <w:rPr>
          <w:vertAlign w:val="superscript"/>
        </w:rPr>
        <w:t>2</w:t>
      </w:r>
      <w:r>
        <w:rPr>
          <w:rFonts w:hint="eastAsia"/>
        </w:rPr>
        <w:t>，占全县总面积的</w:t>
      </w:r>
      <w:r>
        <w:t>43.18%</w:t>
      </w:r>
      <w:r>
        <w:rPr>
          <w:rFonts w:hint="eastAsia"/>
        </w:rPr>
        <w:t>。</w:t>
      </w:r>
    </w:p>
    <w:p>
      <w:pPr>
        <w:ind w:firstLine="480"/>
      </w:pPr>
      <w:r>
        <w:rPr>
          <w:rFonts w:hint="eastAsia"/>
        </w:rPr>
        <w:t>大堰垱镇主要地形为山地地形，片属武陵山脉余脉，南北两侧山川走势连绵不断，中间自西向东为形状狭长的河谷平原。本项目所在地属典型的丘陵地貌，养殖场周边低矮小山丘较多，该区域地形总体上西高东低，山体总体上呈东西向分布，标高在1</w:t>
      </w:r>
      <w:r>
        <w:t>20m~</w:t>
      </w:r>
      <w:r>
        <w:rPr>
          <w:rFonts w:hint="eastAsia"/>
        </w:rPr>
        <w:t>2</w:t>
      </w:r>
      <w:r>
        <w:t>40m</w:t>
      </w:r>
      <w:r>
        <w:rPr>
          <w:rFonts w:hint="eastAsia"/>
        </w:rPr>
        <w:t>之间，项目南侧区域最低点为蛟河，蛟河由西向东流经该区域。</w:t>
      </w:r>
    </w:p>
    <w:p>
      <w:pPr>
        <w:ind w:firstLine="480"/>
      </w:pPr>
      <w:r>
        <w:rPr>
          <w:rFonts w:hint="eastAsia"/>
        </w:rPr>
        <w:t>项目所在区地层属第四系全新统</w:t>
      </w:r>
      <w:r>
        <w:t>(Q4)</w:t>
      </w:r>
      <w:r>
        <w:rPr>
          <w:rFonts w:hint="eastAsia"/>
        </w:rPr>
        <w:t>和第四系更新统</w:t>
      </w:r>
      <w:r>
        <w:t>(Q3)</w:t>
      </w:r>
      <w:r>
        <w:rPr>
          <w:rFonts w:hint="eastAsia"/>
        </w:rPr>
        <w:t>各土层的特征如下：（</w:t>
      </w:r>
      <w:r>
        <w:t>1</w:t>
      </w:r>
      <w:r>
        <w:rPr>
          <w:rFonts w:hint="eastAsia"/>
        </w:rPr>
        <w:t>）耕土、填土和淤泥层：由粘性土和粉土组成，含少量粉砂及砖块、瓦片、砾石和腐渣等有机质，厚度分别为</w:t>
      </w:r>
      <w:r>
        <w:t>0.5-1.4</w:t>
      </w:r>
      <w:r>
        <w:rPr>
          <w:rFonts w:hint="eastAsia"/>
        </w:rPr>
        <w:t>米、</w:t>
      </w:r>
      <w:r>
        <w:t>1.1-2.2</w:t>
      </w:r>
      <w:r>
        <w:rPr>
          <w:rFonts w:hint="eastAsia"/>
        </w:rPr>
        <w:t>米、</w:t>
      </w:r>
      <w:r>
        <w:t>0.6-4.4</w:t>
      </w:r>
      <w:r>
        <w:rPr>
          <w:rFonts w:hint="eastAsia"/>
        </w:rPr>
        <w:t>米。（</w:t>
      </w:r>
      <w:r>
        <w:t>2</w:t>
      </w:r>
      <w:r>
        <w:rPr>
          <w:rFonts w:hint="eastAsia"/>
        </w:rPr>
        <w:t>）粉质粘土：主要成份为粘粒，含粉土团块，干强度和韧性中等</w:t>
      </w:r>
      <w:r>
        <w:t>-</w:t>
      </w:r>
      <w:r>
        <w:rPr>
          <w:rFonts w:hint="eastAsia"/>
        </w:rPr>
        <w:t>高，厚度</w:t>
      </w:r>
      <w:r>
        <w:t>0.6-3.2</w:t>
      </w:r>
      <w:r>
        <w:rPr>
          <w:rFonts w:hint="eastAsia"/>
        </w:rPr>
        <w:t>米，呈可塑</w:t>
      </w:r>
      <w:r>
        <w:t>-</w:t>
      </w:r>
      <w:r>
        <w:rPr>
          <w:rFonts w:hint="eastAsia"/>
        </w:rPr>
        <w:t>硬塑状，承载力较高，中等压缩性。（</w:t>
      </w:r>
      <w:r>
        <w:t>3</w:t>
      </w:r>
      <w:r>
        <w:rPr>
          <w:rFonts w:hint="eastAsia"/>
        </w:rPr>
        <w:t>）粉土：中密状为主，局部松散</w:t>
      </w:r>
      <w:r>
        <w:t>-</w:t>
      </w:r>
      <w:r>
        <w:rPr>
          <w:rFonts w:hint="eastAsia"/>
        </w:rPr>
        <w:t>稍密，以粉土质为主，干强度和韧性中等</w:t>
      </w:r>
      <w:r>
        <w:t>-</w:t>
      </w:r>
      <w:r>
        <w:rPr>
          <w:rFonts w:hint="eastAsia"/>
        </w:rPr>
        <w:t>低，</w:t>
      </w:r>
      <w:r>
        <w:t>0.6-4.8</w:t>
      </w:r>
      <w:r>
        <w:rPr>
          <w:rFonts w:hint="eastAsia"/>
        </w:rPr>
        <w:t>米，承载力较高，中高压缩性。（</w:t>
      </w:r>
      <w:r>
        <w:t>4</w:t>
      </w:r>
      <w:r>
        <w:rPr>
          <w:rFonts w:hint="eastAsia"/>
        </w:rPr>
        <w:t>）卵石：稍密</w:t>
      </w:r>
      <w:r>
        <w:t>-</w:t>
      </w:r>
      <w:r>
        <w:rPr>
          <w:rFonts w:hint="eastAsia"/>
        </w:rPr>
        <w:t>密实，砾石主要成份为硅质岩、砂岩石英等，级配好，厚度最大为</w:t>
      </w:r>
      <w:r>
        <w:t>14.7</w:t>
      </w:r>
      <w:r>
        <w:rPr>
          <w:rFonts w:hint="eastAsia"/>
        </w:rPr>
        <w:t>米，承载力高。</w:t>
      </w:r>
    </w:p>
    <w:p>
      <w:pPr>
        <w:ind w:firstLine="480"/>
      </w:pPr>
      <w:r>
        <w:rPr>
          <w:rFonts w:hint="eastAsia"/>
        </w:rPr>
        <w:t>根据国家地震局烈度划分资料，本工程区属中强度地震区，地震基本烈度为七度。</w:t>
      </w:r>
    </w:p>
    <w:p>
      <w:pPr>
        <w:pStyle w:val="5"/>
        <w:spacing w:before="48" w:after="48"/>
      </w:pPr>
      <w:r>
        <w:rPr>
          <w:rFonts w:hint="eastAsia"/>
        </w:rPr>
        <w:t>3.1.3气象气候</w:t>
      </w:r>
    </w:p>
    <w:p>
      <w:pPr>
        <w:ind w:firstLine="480"/>
      </w:pPr>
      <w:r>
        <w:rPr>
          <w:rFonts w:hint="eastAsia"/>
        </w:rPr>
        <w:t>评价区域属亚热带季风湿润气候区。四季分明，春多寒潮、阴雨、夏多暴雨、高温、秋伏易旱。</w:t>
      </w:r>
    </w:p>
    <w:p>
      <w:pPr>
        <w:ind w:firstLine="480"/>
      </w:pPr>
      <w:r>
        <w:rPr>
          <w:rFonts w:hint="eastAsia"/>
        </w:rPr>
        <w:t>年均气温</w:t>
      </w:r>
      <w:r>
        <w:t xml:space="preserve">          16.5</w:t>
      </w:r>
      <w:r>
        <w:rPr>
          <w:rFonts w:hint="eastAsia"/>
        </w:rPr>
        <w:t>℃</w:t>
      </w:r>
    </w:p>
    <w:p>
      <w:pPr>
        <w:ind w:firstLine="480"/>
      </w:pPr>
      <w:r>
        <w:rPr>
          <w:rFonts w:hint="eastAsia"/>
        </w:rPr>
        <w:t>极端最高气温</w:t>
      </w:r>
      <w:r>
        <w:t xml:space="preserve">      40.5℃</w:t>
      </w:r>
      <w:r>
        <w:rPr>
          <w:rFonts w:hint="eastAsia"/>
        </w:rPr>
        <w:t>（</w:t>
      </w:r>
      <w:r>
        <w:t>1972.8.27</w:t>
      </w:r>
      <w:r>
        <w:rPr>
          <w:rFonts w:hint="eastAsia"/>
        </w:rPr>
        <w:t>）</w:t>
      </w:r>
    </w:p>
    <w:p>
      <w:pPr>
        <w:ind w:firstLine="480"/>
      </w:pPr>
      <w:r>
        <w:rPr>
          <w:rFonts w:hint="eastAsia"/>
        </w:rPr>
        <w:t>极端最低气温</w:t>
      </w:r>
      <w:r>
        <w:t xml:space="preserve">      -13.45</w:t>
      </w:r>
      <w:r>
        <w:rPr>
          <w:rFonts w:hint="eastAsia"/>
        </w:rPr>
        <w:t>℃（</w:t>
      </w:r>
      <w:r>
        <w:t>1977.1.30</w:t>
      </w:r>
      <w:r>
        <w:rPr>
          <w:rFonts w:hint="eastAsia"/>
        </w:rPr>
        <w:t>）</w:t>
      </w:r>
      <w:r>
        <w:tab/>
      </w:r>
    </w:p>
    <w:p>
      <w:pPr>
        <w:ind w:firstLine="480"/>
      </w:pPr>
      <w:r>
        <w:rPr>
          <w:rFonts w:hint="eastAsia"/>
        </w:rPr>
        <w:t>年均降雨量</w:t>
      </w:r>
      <w:r>
        <w:t xml:space="preserve">         1377.9mm</w:t>
      </w:r>
    </w:p>
    <w:p>
      <w:pPr>
        <w:ind w:firstLine="480"/>
      </w:pPr>
      <w:r>
        <w:rPr>
          <w:rFonts w:hint="eastAsia"/>
        </w:rPr>
        <w:t>日最大降雨量</w:t>
      </w:r>
      <w:r>
        <w:t xml:space="preserve">       232.9mm</w:t>
      </w:r>
    </w:p>
    <w:p>
      <w:pPr>
        <w:ind w:firstLine="480"/>
      </w:pPr>
      <w:r>
        <w:rPr>
          <w:rFonts w:hint="eastAsia"/>
        </w:rPr>
        <w:t>最大积雪厚度</w:t>
      </w:r>
      <w:r>
        <w:t xml:space="preserve">       20.0cm</w:t>
      </w:r>
    </w:p>
    <w:p>
      <w:pPr>
        <w:ind w:firstLine="480"/>
      </w:pPr>
      <w:r>
        <w:rPr>
          <w:rFonts w:hint="eastAsia"/>
        </w:rPr>
        <w:t>年均相对湿度</w:t>
      </w:r>
      <w:r>
        <w:t xml:space="preserve">       80%</w:t>
      </w:r>
    </w:p>
    <w:p>
      <w:pPr>
        <w:ind w:firstLine="480"/>
      </w:pPr>
      <w:r>
        <w:rPr>
          <w:rFonts w:hint="eastAsia"/>
        </w:rPr>
        <w:t>年均风速</w:t>
      </w:r>
      <w:r>
        <w:t xml:space="preserve">           2.6m/s</w:t>
      </w:r>
    </w:p>
    <w:p>
      <w:pPr>
        <w:ind w:firstLine="480"/>
      </w:pPr>
      <w:r>
        <w:rPr>
          <w:rFonts w:hint="eastAsia"/>
        </w:rPr>
        <w:t>最大风速</w:t>
      </w:r>
      <w:r>
        <w:t xml:space="preserve">           21.7m/s</w:t>
      </w:r>
    </w:p>
    <w:p>
      <w:pPr>
        <w:ind w:firstLine="480"/>
      </w:pPr>
      <w:r>
        <w:rPr>
          <w:rFonts w:hint="eastAsia"/>
        </w:rPr>
        <w:t>主导风向春夏：西南风，秋冬：北北东风（频率为</w:t>
      </w:r>
      <w:r>
        <w:t>18%</w:t>
      </w:r>
      <w:r>
        <w:rPr>
          <w:rFonts w:hint="eastAsia"/>
        </w:rPr>
        <w:t>）</w:t>
      </w:r>
    </w:p>
    <w:p>
      <w:pPr>
        <w:ind w:firstLine="480"/>
      </w:pPr>
      <w:r>
        <w:rPr>
          <w:rFonts w:hint="eastAsia"/>
        </w:rPr>
        <w:t>年日照时数</w:t>
      </w:r>
      <w:r>
        <w:t xml:space="preserve">         1771h</w:t>
      </w:r>
    </w:p>
    <w:p>
      <w:pPr>
        <w:ind w:firstLine="480"/>
      </w:pPr>
      <w:r>
        <w:rPr>
          <w:rFonts w:hint="eastAsia"/>
        </w:rPr>
        <w:t>无霜期</w:t>
      </w:r>
      <w:r>
        <w:t xml:space="preserve">               265</w:t>
      </w:r>
      <w:r>
        <w:rPr>
          <w:rFonts w:hint="eastAsia"/>
        </w:rPr>
        <w:t>天</w:t>
      </w:r>
    </w:p>
    <w:p>
      <w:pPr>
        <w:ind w:firstLine="480"/>
      </w:pPr>
      <w:r>
        <w:rPr>
          <w:rFonts w:hint="eastAsia"/>
        </w:rPr>
        <w:t>项目区域全年主导风向为</w:t>
      </w:r>
      <w:r>
        <w:t>NNE</w:t>
      </w:r>
      <w:r>
        <w:rPr>
          <w:rFonts w:hint="eastAsia"/>
        </w:rPr>
        <w:t>风，年出现频率</w:t>
      </w:r>
      <w:r>
        <w:t>12%</w:t>
      </w:r>
      <w:r>
        <w:rPr>
          <w:rFonts w:hint="eastAsia"/>
        </w:rPr>
        <w:t>，冬季（</w:t>
      </w:r>
      <w:r>
        <w:t>1</w:t>
      </w:r>
      <w:r>
        <w:rPr>
          <w:rFonts w:hint="eastAsia"/>
        </w:rPr>
        <w:t>月）以</w:t>
      </w:r>
      <w:r>
        <w:t>NNE</w:t>
      </w:r>
      <w:r>
        <w:rPr>
          <w:rFonts w:hint="eastAsia"/>
        </w:rPr>
        <w:t>风为主，其出现频率</w:t>
      </w:r>
      <w:r>
        <w:t>15%</w:t>
      </w:r>
      <w:r>
        <w:rPr>
          <w:rFonts w:hint="eastAsia"/>
        </w:rPr>
        <w:t>；春季（</w:t>
      </w:r>
      <w:r>
        <w:t>4</w:t>
      </w:r>
      <w:r>
        <w:rPr>
          <w:rFonts w:hint="eastAsia"/>
        </w:rPr>
        <w:t>月）以</w:t>
      </w:r>
      <w:r>
        <w:t>NNE</w:t>
      </w:r>
      <w:r>
        <w:rPr>
          <w:rFonts w:hint="eastAsia"/>
        </w:rPr>
        <w:t>风为主，出现频率约</w:t>
      </w:r>
      <w:r>
        <w:t>12%</w:t>
      </w:r>
      <w:r>
        <w:rPr>
          <w:rFonts w:hint="eastAsia"/>
        </w:rPr>
        <w:t>，夏季（</w:t>
      </w:r>
      <w:r>
        <w:t>7</w:t>
      </w:r>
      <w:r>
        <w:rPr>
          <w:rFonts w:hint="eastAsia"/>
        </w:rPr>
        <w:t>月）以</w:t>
      </w:r>
      <w:r>
        <w:t>SSW</w:t>
      </w:r>
      <w:r>
        <w:rPr>
          <w:rFonts w:hint="eastAsia"/>
        </w:rPr>
        <w:t>风为主，出现频率</w:t>
      </w:r>
      <w:r>
        <w:t>9%</w:t>
      </w:r>
      <w:r>
        <w:rPr>
          <w:rFonts w:hint="eastAsia"/>
        </w:rPr>
        <w:t>，秋季（</w:t>
      </w:r>
      <w:r>
        <w:t>10</w:t>
      </w:r>
      <w:r>
        <w:rPr>
          <w:rFonts w:hint="eastAsia"/>
        </w:rPr>
        <w:t>月）以</w:t>
      </w:r>
      <w:r>
        <w:t>NNE</w:t>
      </w:r>
      <w:r>
        <w:rPr>
          <w:rFonts w:hint="eastAsia"/>
        </w:rPr>
        <w:t>风为主，出现频率为</w:t>
      </w:r>
      <w:r>
        <w:t>15%</w:t>
      </w:r>
      <w:r>
        <w:rPr>
          <w:rFonts w:hint="eastAsia"/>
        </w:rPr>
        <w:t>。全年静风频率</w:t>
      </w:r>
      <w:r>
        <w:t>28%</w:t>
      </w:r>
      <w:r>
        <w:rPr>
          <w:rFonts w:hint="eastAsia"/>
        </w:rPr>
        <w:t>。风向频率玫瑰图如下：</w:t>
      </w:r>
    </w:p>
    <w:p>
      <w:pPr>
        <w:ind w:firstLine="480"/>
        <w:jc w:val="center"/>
      </w:pPr>
      <w:r>
        <w:drawing>
          <wp:inline distT="0" distB="0" distL="0" distR="0">
            <wp:extent cx="1781175" cy="1857375"/>
            <wp:effectExtent l="0" t="0" r="9525" b="9525"/>
            <wp:docPr id="3" name="图片 4" descr="wpsC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wpsC5A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r>
        <w:drawing>
          <wp:inline distT="0" distB="0" distL="0" distR="0">
            <wp:extent cx="1781175" cy="1857375"/>
            <wp:effectExtent l="0" t="0" r="9525" b="9525"/>
            <wp:docPr id="4" name="图片 221" descr="wpsC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1" descr="wpsC5C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ind w:firstLine="422"/>
        <w:jc w:val="center"/>
      </w:pPr>
      <w:r>
        <w:rPr>
          <w:rFonts w:hint="eastAsia"/>
          <w:b/>
          <w:bCs/>
          <w:sz w:val="21"/>
          <w:szCs w:val="21"/>
        </w:rPr>
        <w:t>春季，静风</w:t>
      </w:r>
      <w:r>
        <w:rPr>
          <w:b/>
          <w:bCs/>
          <w:sz w:val="21"/>
          <w:szCs w:val="21"/>
        </w:rPr>
        <w:t xml:space="preserve">=34% </w:t>
      </w:r>
      <w:r>
        <w:rPr>
          <w:b/>
          <w:bCs/>
        </w:rPr>
        <w:t xml:space="preserve"> </w:t>
      </w:r>
      <w:r>
        <w:t xml:space="preserve">               </w:t>
      </w:r>
      <w:r>
        <w:rPr>
          <w:rFonts w:hint="eastAsia"/>
          <w:b/>
          <w:bCs/>
          <w:sz w:val="21"/>
          <w:szCs w:val="21"/>
        </w:rPr>
        <w:t>夏季，静风</w:t>
      </w:r>
      <w:r>
        <w:rPr>
          <w:b/>
          <w:bCs/>
          <w:sz w:val="21"/>
          <w:szCs w:val="21"/>
        </w:rPr>
        <w:t>=25%</w:t>
      </w:r>
    </w:p>
    <w:p>
      <w:pPr>
        <w:ind w:firstLine="480"/>
        <w:jc w:val="center"/>
      </w:pPr>
      <w:r>
        <w:drawing>
          <wp:inline distT="0" distB="0" distL="0" distR="0">
            <wp:extent cx="1781175" cy="1857375"/>
            <wp:effectExtent l="0" t="0" r="9525" b="9525"/>
            <wp:docPr id="5" name="图片 6" descr="wpsC5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wpsC5C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r>
        <w:drawing>
          <wp:inline distT="0" distB="0" distL="0" distR="0">
            <wp:extent cx="1781175" cy="1857375"/>
            <wp:effectExtent l="0" t="0" r="9525" b="9525"/>
            <wp:docPr id="6" name="图片 7" descr="wpsC5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wpsC5C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ind w:firstLine="422"/>
        <w:jc w:val="center"/>
      </w:pPr>
      <w:r>
        <w:rPr>
          <w:rFonts w:hint="eastAsia"/>
          <w:b/>
          <w:bCs/>
          <w:sz w:val="21"/>
          <w:szCs w:val="21"/>
        </w:rPr>
        <w:t>秋季，静风</w:t>
      </w:r>
      <w:r>
        <w:rPr>
          <w:b/>
          <w:bCs/>
          <w:sz w:val="21"/>
          <w:szCs w:val="21"/>
        </w:rPr>
        <w:t>=22%</w:t>
      </w:r>
      <w:r>
        <w:t xml:space="preserve">             </w:t>
      </w:r>
      <w:r>
        <w:rPr>
          <w:b/>
          <w:bCs/>
        </w:rPr>
        <w:t xml:space="preserve">  </w:t>
      </w:r>
      <w:r>
        <w:rPr>
          <w:rFonts w:hint="eastAsia"/>
          <w:b/>
          <w:bCs/>
          <w:sz w:val="21"/>
          <w:szCs w:val="21"/>
        </w:rPr>
        <w:t>冬季，静风</w:t>
      </w:r>
      <w:r>
        <w:rPr>
          <w:b/>
          <w:bCs/>
          <w:sz w:val="21"/>
          <w:szCs w:val="21"/>
        </w:rPr>
        <w:t>=30%</w:t>
      </w:r>
    </w:p>
    <w:p>
      <w:pPr>
        <w:ind w:firstLine="480"/>
        <w:jc w:val="center"/>
      </w:pPr>
    </w:p>
    <w:p>
      <w:pPr>
        <w:ind w:firstLine="480"/>
        <w:jc w:val="center"/>
      </w:pPr>
      <w:r>
        <w:drawing>
          <wp:inline distT="0" distB="0" distL="0" distR="0">
            <wp:extent cx="1781175" cy="1857375"/>
            <wp:effectExtent l="0" t="0" r="9525" b="9525"/>
            <wp:docPr id="7" name="图片 8" descr="wpsC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wpsC5D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81175" cy="1857375"/>
                    </a:xfrm>
                    <a:prstGeom prst="rect">
                      <a:avLst/>
                    </a:prstGeom>
                    <a:noFill/>
                    <a:ln>
                      <a:noFill/>
                    </a:ln>
                  </pic:spPr>
                </pic:pic>
              </a:graphicData>
            </a:graphic>
          </wp:inline>
        </w:drawing>
      </w:r>
    </w:p>
    <w:p>
      <w:pPr>
        <w:ind w:firstLine="422"/>
        <w:jc w:val="center"/>
        <w:rPr>
          <w:b/>
          <w:bCs/>
        </w:rPr>
      </w:pPr>
      <w:r>
        <w:rPr>
          <w:rFonts w:hint="eastAsia"/>
          <w:b/>
          <w:bCs/>
          <w:sz w:val="21"/>
          <w:szCs w:val="21"/>
        </w:rPr>
        <w:t>全年，静风</w:t>
      </w:r>
      <w:r>
        <w:rPr>
          <w:b/>
          <w:bCs/>
          <w:sz w:val="21"/>
          <w:szCs w:val="21"/>
        </w:rPr>
        <w:t>=28%</w:t>
      </w:r>
    </w:p>
    <w:p>
      <w:pPr>
        <w:pStyle w:val="5"/>
        <w:spacing w:before="48" w:after="48"/>
      </w:pPr>
      <w:r>
        <w:rPr>
          <w:rFonts w:hint="eastAsia"/>
        </w:rPr>
        <w:t>3.1.4水文</w:t>
      </w:r>
    </w:p>
    <w:p>
      <w:pPr>
        <w:ind w:firstLine="480"/>
      </w:pPr>
      <w:r>
        <w:rPr>
          <w:rFonts w:hint="eastAsia"/>
        </w:rPr>
        <w:t>全县有大小河流47条，可划分澧水、四口两条水系。其中一级支流9条，二级支流22条，三级支流15条，四级支流1条。澧水水系在县境内有6条，包括澹水、道水、涔水3条一级支流，县境内流域面积781.75平方公里，干流境内长32公里。四口水系有界溪桥、顺林桥、洈危水河和松滋所属的11条大小溪河，其中一级支流5条，二、三级各3条，总流域面积570.8平方公里。流经境内河流总长</w:t>
      </w:r>
      <w:r>
        <w:t>266.5km</w:t>
      </w:r>
      <w:r>
        <w:rPr>
          <w:rFonts w:hint="eastAsia"/>
        </w:rPr>
        <w:t>，径流量</w:t>
      </w:r>
      <w:r>
        <w:t>340</w:t>
      </w:r>
      <w:r>
        <w:rPr>
          <w:rFonts w:hint="eastAsia"/>
        </w:rPr>
        <w:t>亿</w:t>
      </w:r>
      <w:r>
        <w:t>m</w:t>
      </w:r>
      <w:r>
        <w:rPr>
          <w:vertAlign w:val="superscript"/>
        </w:rPr>
        <w:t>3</w:t>
      </w:r>
      <w:r>
        <w:rPr>
          <w:rFonts w:hint="eastAsia"/>
        </w:rPr>
        <w:t>，河网密度</w:t>
      </w:r>
      <w:r>
        <w:t>0.126km/km</w:t>
      </w:r>
      <w:r>
        <w:rPr>
          <w:vertAlign w:val="superscript"/>
        </w:rPr>
        <w:t>2</w:t>
      </w:r>
      <w:r>
        <w:rPr>
          <w:rFonts w:hint="eastAsia"/>
        </w:rPr>
        <w:t>。境内河现存大小湖泊10处，总面积约</w:t>
      </w:r>
      <w:r>
        <w:t>0.4186</w:t>
      </w:r>
      <w:r>
        <w:rPr>
          <w:rFonts w:hint="eastAsia"/>
        </w:rPr>
        <w:t>万</w:t>
      </w:r>
      <w:r>
        <w:t>ha</w:t>
      </w:r>
      <w:r>
        <w:rPr>
          <w:rFonts w:hint="eastAsia"/>
        </w:rPr>
        <w:t>，蓄水量21414万</w:t>
      </w:r>
      <w:r>
        <w:t>m</w:t>
      </w:r>
      <w:r>
        <w:rPr>
          <w:vertAlign w:val="superscript"/>
        </w:rPr>
        <w:t>3</w:t>
      </w:r>
      <w:r>
        <w:rPr>
          <w:rFonts w:hint="eastAsia"/>
        </w:rPr>
        <w:t>，较大的湖泊有马公湖、杨家湖、宋鲁湖、七里湖、北民湖等，其中七里湖是唯一的通江湖泊。</w:t>
      </w:r>
    </w:p>
    <w:p>
      <w:pPr>
        <w:ind w:firstLine="480"/>
      </w:pPr>
      <w:r>
        <w:rPr>
          <w:rFonts w:hint="eastAsia"/>
        </w:rPr>
        <w:t>周边地表水系不发达，项目东南面农灌渠1直线距离约为550</w:t>
      </w:r>
      <w:r>
        <w:t>m</w:t>
      </w:r>
      <w:r>
        <w:rPr>
          <w:rFonts w:hint="eastAsia"/>
        </w:rPr>
        <w:t>，农灌渠1流经约1.6km汇入农灌渠2（与场界的最近距离1740</w:t>
      </w:r>
      <w:r>
        <w:t>m</w:t>
      </w:r>
      <w:r>
        <w:rPr>
          <w:rFonts w:hint="eastAsia"/>
        </w:rPr>
        <w:t>），农灌渠2流经6.3km汇入涔水。</w:t>
      </w:r>
    </w:p>
    <w:p>
      <w:pPr>
        <w:ind w:firstLine="480"/>
      </w:pPr>
      <w:r>
        <w:rPr>
          <w:rFonts w:hint="eastAsia"/>
        </w:rPr>
        <w:t>该区域内地下水较少，当地居民不使用地下井水作为饮用水源，地下水来源主要为大气降水（雨季）、河流补水（旱季）及水库供水。地下水流向为自西北流向东南。</w:t>
      </w:r>
    </w:p>
    <w:p>
      <w:pPr>
        <w:pStyle w:val="5"/>
        <w:spacing w:before="48" w:after="48"/>
      </w:pPr>
      <w:r>
        <w:rPr>
          <w:rFonts w:hint="eastAsia"/>
        </w:rPr>
        <w:t>3.1.5地下水文地质概况</w:t>
      </w:r>
    </w:p>
    <w:p>
      <w:pPr>
        <w:ind w:firstLine="480"/>
      </w:pPr>
      <w:r>
        <w:t>1、地下水类型</w:t>
      </w:r>
    </w:p>
    <w:p>
      <w:pPr>
        <w:ind w:firstLine="480"/>
      </w:pPr>
      <w:r>
        <w:t>根据地下水的赋存空间特征，地下水分为松散堆积层孔隙水、基岩裂隙水、碳酸岩裂隙岩溶水三大类型。查阅《区域水文地质普查报告（常德幅）比例尺：1：200000》可知，本项目区域地下水类型属于</w:t>
      </w:r>
      <w:r>
        <w:rPr>
          <w:rFonts w:hint="eastAsia"/>
        </w:rPr>
        <w:t>第四系松散型孔隙潜水和基岩裂隙水</w:t>
      </w:r>
      <w:r>
        <w:t>。含水岩组为全新统冲积砂砾石层，厚8-12m。砾石直径一般3-5cm，最大10-15cm，砾石含量占70%-80%，砂占20%-30%。上覆厚8-10m的砂质粘土和粘质砂土。水位埋深一般10m左右，洪水期微有承压性。</w:t>
      </w:r>
      <w:r>
        <w:rPr>
          <w:rFonts w:hint="eastAsia"/>
        </w:rPr>
        <w:t>松散岩孔隙化学水类型为HCO</w:t>
      </w:r>
      <w:r>
        <w:rPr>
          <w:rFonts w:hint="eastAsia"/>
          <w:vertAlign w:val="subscript"/>
        </w:rPr>
        <w:t>3</w:t>
      </w:r>
      <w:r>
        <w:rPr>
          <w:rFonts w:hint="eastAsia"/>
          <w:vertAlign w:val="superscript"/>
        </w:rPr>
        <w:t>-</w:t>
      </w:r>
      <w:r>
        <w:rPr>
          <w:rFonts w:hint="eastAsia"/>
        </w:rPr>
        <w:t>、Mg</w:t>
      </w:r>
      <w:r>
        <w:rPr>
          <w:rFonts w:hint="eastAsia"/>
          <w:vertAlign w:val="superscript"/>
        </w:rPr>
        <w:t>2+</w:t>
      </w:r>
      <w:r>
        <w:rPr>
          <w:rFonts w:hint="eastAsia"/>
        </w:rPr>
        <w:t>、Ca</w:t>
      </w:r>
      <w:r>
        <w:rPr>
          <w:rFonts w:hint="eastAsia"/>
          <w:vertAlign w:val="superscript"/>
        </w:rPr>
        <w:t>2+</w:t>
      </w:r>
      <w:r>
        <w:rPr>
          <w:rFonts w:hint="eastAsia"/>
        </w:rPr>
        <w:t>型水质，pH值为6.5-6.9</w:t>
      </w:r>
      <w:r>
        <w:t>。</w:t>
      </w:r>
    </w:p>
    <w:p>
      <w:pPr>
        <w:ind w:firstLine="480"/>
      </w:pPr>
      <w:r>
        <w:t>2、地下水补、径、排条件及动态特征</w:t>
      </w:r>
    </w:p>
    <w:p>
      <w:pPr>
        <w:ind w:firstLine="480"/>
      </w:pPr>
      <w:r>
        <w:t>（1）补给条件</w:t>
      </w:r>
    </w:p>
    <w:p>
      <w:pPr>
        <w:ind w:firstLine="480"/>
      </w:pPr>
      <w:r>
        <w:rPr>
          <w:rFonts w:hint="eastAsia"/>
        </w:rPr>
        <w:t>项目所在区域为</w:t>
      </w:r>
      <w:r>
        <w:t>丘陵岗地松散堆积层孔隙潜水</w:t>
      </w:r>
      <w:r>
        <w:rPr>
          <w:rFonts w:hint="eastAsia"/>
        </w:rPr>
        <w:t>，</w:t>
      </w:r>
      <w:r>
        <w:t>以大气降水补给为主，由于砾石层已出露地表，可直接接受大气降水的渗入补给。</w:t>
      </w:r>
      <w:r>
        <w:rPr>
          <w:rFonts w:hint="eastAsia"/>
        </w:rPr>
        <w:t>靠近水库与道水河周边地区的地下水，在丰水期部分接受以水库或河流的补给。</w:t>
      </w:r>
    </w:p>
    <w:p>
      <w:pPr>
        <w:ind w:firstLine="480"/>
      </w:pPr>
      <w:r>
        <w:rPr>
          <w:rFonts w:hint="eastAsia"/>
        </w:rPr>
        <w:t>但区域整体地表水体不发达，地下水以大气降水补给为主。</w:t>
      </w:r>
    </w:p>
    <w:p>
      <w:pPr>
        <w:ind w:firstLine="480"/>
      </w:pPr>
      <w:r>
        <w:t>（2）径流条件</w:t>
      </w:r>
    </w:p>
    <w:p>
      <w:pPr>
        <w:ind w:firstLine="480"/>
      </w:pPr>
      <w:r>
        <w:t>岗丘地带的孔隙潜水径流途径短，无一定流动方向，就地补给就地排泄，交替循环强烈。地下水</w:t>
      </w:r>
      <w:r>
        <w:rPr>
          <w:rFonts w:hint="eastAsia"/>
        </w:rPr>
        <w:t>大致</w:t>
      </w:r>
      <w:r>
        <w:t>径流方向</w:t>
      </w:r>
      <w:r>
        <w:rPr>
          <w:rFonts w:hint="eastAsia"/>
        </w:rPr>
        <w:t>为由西北缓慢向东南流</w:t>
      </w:r>
      <w:r>
        <w:t>，即由边缘向</w:t>
      </w:r>
      <w:r>
        <w:rPr>
          <w:rFonts w:hint="eastAsia"/>
        </w:rPr>
        <w:t>道水河</w:t>
      </w:r>
      <w:r>
        <w:t>中心汇集。</w:t>
      </w:r>
    </w:p>
    <w:p>
      <w:pPr>
        <w:ind w:firstLine="480"/>
      </w:pPr>
      <w:r>
        <w:t>（3）排泄条件</w:t>
      </w:r>
    </w:p>
    <w:p>
      <w:pPr>
        <w:ind w:firstLine="480"/>
      </w:pPr>
      <w:r>
        <w:t>岗丘地带的孔隙潜水排泄条件</w:t>
      </w:r>
      <w:r>
        <w:rPr>
          <w:rFonts w:hint="eastAsia"/>
        </w:rPr>
        <w:t>差</w:t>
      </w:r>
      <w:r>
        <w:t>，以</w:t>
      </w:r>
      <w:r>
        <w:rPr>
          <w:rFonts w:hint="eastAsia"/>
        </w:rPr>
        <w:t>面流为主</w:t>
      </w:r>
      <w:r>
        <w:t>，缓慢向东</w:t>
      </w:r>
      <w:r>
        <w:rPr>
          <w:rFonts w:hint="eastAsia"/>
        </w:rPr>
        <w:t>南</w:t>
      </w:r>
      <w:r>
        <w:t>运动排泄。</w:t>
      </w:r>
    </w:p>
    <w:p>
      <w:pPr>
        <w:ind w:firstLine="480"/>
      </w:pPr>
      <w:r>
        <w:t>3、地下水开发利用现状</w:t>
      </w:r>
    </w:p>
    <w:p>
      <w:pPr>
        <w:ind w:firstLine="480"/>
      </w:pPr>
      <w:r>
        <w:rPr>
          <w:rFonts w:hint="eastAsia"/>
        </w:rPr>
        <w:t>项目所在</w:t>
      </w:r>
      <w:r>
        <w:t>区</w:t>
      </w:r>
      <w:r>
        <w:rPr>
          <w:rFonts w:hint="eastAsia"/>
        </w:rPr>
        <w:t>域</w:t>
      </w:r>
      <w:r>
        <w:t>内没有</w:t>
      </w:r>
      <w:r>
        <w:rPr>
          <w:rFonts w:hint="eastAsia"/>
        </w:rPr>
        <w:t>规模开采</w:t>
      </w:r>
      <w:r>
        <w:t>的地下水，居民</w:t>
      </w:r>
      <w:r>
        <w:rPr>
          <w:rFonts w:hint="eastAsia"/>
        </w:rPr>
        <w:t>均饮用村镇自来水厂供水（取之水道水河）</w:t>
      </w:r>
      <w:r>
        <w:t>，地下水开发利用程度较低。</w:t>
      </w:r>
    </w:p>
    <w:p>
      <w:pPr>
        <w:pStyle w:val="5"/>
        <w:spacing w:before="48" w:after="48"/>
      </w:pPr>
      <w:r>
        <w:rPr>
          <w:rFonts w:hint="eastAsia"/>
        </w:rPr>
        <w:t>3.1.6生态环境</w:t>
      </w:r>
    </w:p>
    <w:p>
      <w:pPr>
        <w:ind w:firstLine="480"/>
      </w:pPr>
      <w:r>
        <w:rPr>
          <w:rFonts w:hint="eastAsia"/>
        </w:rPr>
        <w:t>（1）</w:t>
      </w:r>
      <w:r>
        <w:t>土壤</w:t>
      </w:r>
    </w:p>
    <w:p>
      <w:pPr>
        <w:ind w:firstLine="480"/>
      </w:pPr>
      <w:r>
        <w:t>澧县境内土壤种类繁多，以红壤土类潮土类为主。主要有第四纪红色粘土、河湖沉积物、灰岩分化物、紫色砂岩、页岩风化物、砂岩风化物、板页岩风化物7种。土壤共分为水稻土、潮土、红壤、红色石灰土、黑色石灰土、紫色土、黄壤7个土类，其中以水稻土、红壤、潮土为主要土类。</w:t>
      </w:r>
    </w:p>
    <w:p>
      <w:pPr>
        <w:ind w:firstLine="480"/>
      </w:pPr>
      <w:r>
        <w:t>（2）动植物资源</w:t>
      </w:r>
    </w:p>
    <w:p>
      <w:pPr>
        <w:ind w:firstLine="480"/>
      </w:pPr>
      <w:r>
        <w:t>澧县属中亚热带常绿阔叶林北部亚地带。西北山丘区属三峡、武陵山地、栲类、润楠林区，滨湖地带属两湖平原、栽培植被、水生植被区。森林植被垂直分布明显。县境植被分为马尾松林、杉木林、常绿阔叶林、落叶阔叶林、常绿落叶阔叶混交林5种类型，其中马尾松林是全县分布最广、面积最大的植被类型。森林植被主要是常绿阔叶林、常绿落叶阔叶混交林、灌丛以及分散的人工杉木林、果木林茎林等。境内四季分明，雨量充足，适应水稻、棉花、油菜、葡萄、柑橘、苹果柚等多种作物生长。鸟兽、虫、鱼资源丰富，野生动物中以野猪、鹿子、豪猪、黄鼠狼、穿山甲、水獭、岩蛙等为主。</w:t>
      </w:r>
    </w:p>
    <w:p>
      <w:pPr>
        <w:ind w:firstLine="480"/>
      </w:pPr>
      <w:r>
        <w:t>本评价区未发现国家或地方重点保护物种。</w:t>
      </w:r>
    </w:p>
    <w:p>
      <w:pPr>
        <w:ind w:firstLine="480"/>
      </w:pPr>
      <w:r>
        <w:t>（3）矿产资源</w:t>
      </w:r>
    </w:p>
    <w:p>
      <w:pPr>
        <w:ind w:firstLine="480"/>
      </w:pPr>
      <w:r>
        <w:t>澧县已发现和探明各类矿产资源共三大类二十余种。主要矿产资源有煤、石煤、铁矿、芒硝、盐、石膏、水泥灰岩、膨润土等。其中煤、芒硝、石膏、水泥灰岩、膨润土等储藏量大、品位高、矿床潜在价值大。煤炭烟煤保有资源储量2700万吨，石煤1.97亿吨。芒硝、岩盐无水芒硝储量1.85亿吨，岩盐储量5800多万吨。石膏矿石品位70-82.4%，矿层平均厚度12米，矿体埋深80-120米，工程地质、水文地质条件简单。累计探明石膏资源储量2.5亿吨，远景资源储量9亿吨以上。水泥灰岩县境山区乡镇均有分布，氧化钙平均含量7.53%，预测资源储量百亿吨以上。</w:t>
      </w:r>
    </w:p>
    <w:p>
      <w:pPr>
        <w:pStyle w:val="4"/>
        <w:spacing w:before="48" w:after="48"/>
      </w:pPr>
      <w:bookmarkStart w:id="160" w:name="_Toc31229"/>
      <w:bookmarkStart w:id="161" w:name="_Toc266583575"/>
      <w:bookmarkStart w:id="162" w:name="_Toc468689170"/>
      <w:bookmarkStart w:id="163" w:name="_Toc289344573"/>
      <w:bookmarkStart w:id="164" w:name="_Toc265239501"/>
      <w:r>
        <w:rPr>
          <w:rFonts w:hint="eastAsia"/>
        </w:rPr>
        <w:t>3.2</w:t>
      </w:r>
      <w:r>
        <w:t>环境质量现状监测与评价</w:t>
      </w:r>
      <w:bookmarkEnd w:id="160"/>
      <w:bookmarkEnd w:id="161"/>
      <w:bookmarkEnd w:id="162"/>
      <w:bookmarkEnd w:id="163"/>
      <w:bookmarkEnd w:id="164"/>
    </w:p>
    <w:p>
      <w:pPr>
        <w:pStyle w:val="5"/>
        <w:spacing w:before="48" w:after="48"/>
      </w:pPr>
      <w:bookmarkStart w:id="165" w:name="_Toc468689175"/>
      <w:bookmarkStart w:id="166" w:name="_Toc489916030"/>
      <w:r>
        <w:rPr>
          <w:rFonts w:hint="eastAsia"/>
        </w:rPr>
        <w:t>3.2.1地表水环境质量现状监测与评价</w:t>
      </w:r>
    </w:p>
    <w:p>
      <w:pPr>
        <w:ind w:firstLine="480"/>
      </w:pPr>
      <w:r>
        <w:t>(1)</w:t>
      </w:r>
      <w:r>
        <w:rPr>
          <w:rFonts w:hint="eastAsia"/>
        </w:rPr>
        <w:t>监测点位</w:t>
      </w:r>
    </w:p>
    <w:p>
      <w:pPr>
        <w:ind w:firstLine="480"/>
      </w:pPr>
      <w:r>
        <w:rPr>
          <w:rFonts w:hint="eastAsia"/>
        </w:rPr>
        <w:t>本项目地表水现状监测点位设置及监测方案详见下表及附图。监测单位为湖南宏润检测有限公司，</w:t>
      </w:r>
    </w:p>
    <w:p>
      <w:pPr>
        <w:ind w:firstLine="0" w:firstLineChars="0"/>
        <w:jc w:val="center"/>
        <w:rPr>
          <w:b/>
          <w:bCs/>
        </w:rPr>
      </w:pPr>
      <w:r>
        <w:rPr>
          <w:rFonts w:hint="eastAsia"/>
          <w:b/>
          <w:bCs/>
        </w:rPr>
        <w:t>表</w:t>
      </w:r>
      <w:r>
        <w:rPr>
          <w:b/>
          <w:bCs/>
        </w:rPr>
        <w:t xml:space="preserve">4-1  </w:t>
      </w:r>
      <w:r>
        <w:rPr>
          <w:rFonts w:hint="eastAsia"/>
          <w:b/>
          <w:bCs/>
        </w:rPr>
        <w:t xml:space="preserve"> 现状监测方案一览表</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0"/>
        <w:gridCol w:w="3698"/>
        <w:gridCol w:w="43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 w:hRule="atLeast"/>
          <w:jc w:val="center"/>
        </w:trPr>
        <w:tc>
          <w:tcPr>
            <w:tcW w:w="640" w:type="dxa"/>
            <w:vAlign w:val="center"/>
          </w:tcPr>
          <w:p>
            <w:pPr>
              <w:pStyle w:val="8"/>
              <w:ind w:firstLine="0" w:firstLineChars="0"/>
            </w:pPr>
            <w:r>
              <w:rPr>
                <w:rFonts w:hint="eastAsia"/>
              </w:rPr>
              <w:t>序号</w:t>
            </w:r>
          </w:p>
        </w:tc>
        <w:tc>
          <w:tcPr>
            <w:tcW w:w="3698" w:type="dxa"/>
            <w:vAlign w:val="center"/>
          </w:tcPr>
          <w:p>
            <w:pPr>
              <w:pStyle w:val="8"/>
              <w:ind w:firstLine="0" w:firstLineChars="0"/>
            </w:pPr>
            <w:r>
              <w:rPr>
                <w:rFonts w:hint="eastAsia"/>
              </w:rPr>
              <w:t>测点名称</w:t>
            </w:r>
          </w:p>
        </w:tc>
        <w:tc>
          <w:tcPr>
            <w:tcW w:w="4393" w:type="dxa"/>
            <w:vAlign w:val="center"/>
          </w:tcPr>
          <w:p>
            <w:pPr>
              <w:pStyle w:val="8"/>
              <w:ind w:firstLine="0" w:firstLineChars="0"/>
            </w:pPr>
            <w:r>
              <w:rPr>
                <w:rFonts w:hint="eastAsia"/>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0" w:type="dxa"/>
            <w:vAlign w:val="center"/>
          </w:tcPr>
          <w:p>
            <w:pPr>
              <w:pStyle w:val="8"/>
              <w:ind w:firstLine="0" w:firstLineChars="0"/>
            </w:pPr>
            <w:r>
              <w:rPr>
                <w:rFonts w:hint="eastAsia"/>
              </w:rPr>
              <w:t>W1</w:t>
            </w:r>
          </w:p>
        </w:tc>
        <w:tc>
          <w:tcPr>
            <w:tcW w:w="3698" w:type="dxa"/>
            <w:vAlign w:val="center"/>
          </w:tcPr>
          <w:p>
            <w:pPr>
              <w:pStyle w:val="8"/>
              <w:ind w:firstLine="0" w:firstLineChars="0"/>
            </w:pPr>
            <w:r>
              <w:rPr>
                <w:rFonts w:hint="eastAsia"/>
              </w:rPr>
              <w:t>项目南面水塘</w:t>
            </w:r>
          </w:p>
        </w:tc>
        <w:tc>
          <w:tcPr>
            <w:tcW w:w="4393" w:type="dxa"/>
            <w:vMerge w:val="restart"/>
            <w:vAlign w:val="center"/>
          </w:tcPr>
          <w:p>
            <w:pPr>
              <w:pStyle w:val="8"/>
              <w:ind w:firstLine="0" w:firstLineChars="0"/>
              <w:rPr>
                <w:highlight w:val="yellow"/>
              </w:rPr>
            </w:pPr>
            <w:r>
              <w:rPr>
                <w:rFonts w:hint="eastAsia"/>
              </w:rPr>
              <w:t>pH、化学需氧量、氨氮、总磷、粪大肠菌群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640" w:type="dxa"/>
            <w:vAlign w:val="center"/>
          </w:tcPr>
          <w:p>
            <w:pPr>
              <w:pStyle w:val="8"/>
              <w:ind w:firstLine="0" w:firstLineChars="0"/>
            </w:pPr>
            <w:r>
              <w:rPr>
                <w:rFonts w:hint="eastAsia"/>
              </w:rPr>
              <w:t>W2</w:t>
            </w:r>
          </w:p>
        </w:tc>
        <w:tc>
          <w:tcPr>
            <w:tcW w:w="3698" w:type="dxa"/>
            <w:vAlign w:val="center"/>
          </w:tcPr>
          <w:p>
            <w:pPr>
              <w:pStyle w:val="8"/>
              <w:ind w:firstLine="0" w:firstLineChars="0"/>
            </w:pPr>
            <w:r>
              <w:rPr>
                <w:rFonts w:hint="eastAsia"/>
              </w:rPr>
              <w:t>项目东南面农灌渠上游1#</w:t>
            </w:r>
          </w:p>
        </w:tc>
        <w:tc>
          <w:tcPr>
            <w:tcW w:w="4393" w:type="dxa"/>
            <w:vMerge w:val="continue"/>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 w:hRule="atLeast"/>
          <w:jc w:val="center"/>
        </w:trPr>
        <w:tc>
          <w:tcPr>
            <w:tcW w:w="640" w:type="dxa"/>
            <w:vAlign w:val="center"/>
          </w:tcPr>
          <w:p>
            <w:pPr>
              <w:pStyle w:val="8"/>
              <w:ind w:firstLine="0" w:firstLineChars="0"/>
            </w:pPr>
            <w:r>
              <w:rPr>
                <w:rFonts w:hint="eastAsia"/>
              </w:rPr>
              <w:t>W3</w:t>
            </w:r>
          </w:p>
        </w:tc>
        <w:tc>
          <w:tcPr>
            <w:tcW w:w="3698" w:type="dxa"/>
            <w:vAlign w:val="center"/>
          </w:tcPr>
          <w:p>
            <w:pPr>
              <w:pStyle w:val="8"/>
              <w:ind w:firstLine="0" w:firstLineChars="0"/>
            </w:pPr>
            <w:r>
              <w:rPr>
                <w:rFonts w:hint="eastAsia"/>
              </w:rPr>
              <w:t>项目东南面农灌渠下游2#</w:t>
            </w:r>
          </w:p>
        </w:tc>
        <w:tc>
          <w:tcPr>
            <w:tcW w:w="4393" w:type="dxa"/>
            <w:vMerge w:val="continue"/>
            <w:vAlign w:val="center"/>
          </w:tcPr>
          <w:p>
            <w:pPr>
              <w:pStyle w:val="8"/>
              <w:ind w:firstLine="0" w:firstLineChars="0"/>
              <w:rPr>
                <w:highlight w:val="yellow"/>
              </w:rPr>
            </w:pPr>
          </w:p>
        </w:tc>
      </w:tr>
    </w:tbl>
    <w:p>
      <w:pPr>
        <w:ind w:firstLine="480"/>
      </w:pPr>
      <w:r>
        <w:t>(2)</w:t>
      </w:r>
      <w:r>
        <w:rPr>
          <w:rFonts w:hint="eastAsia"/>
        </w:rPr>
        <w:t>监测时间与监测频次</w:t>
      </w:r>
    </w:p>
    <w:p>
      <w:pPr>
        <w:ind w:firstLine="480"/>
        <w:rPr>
          <w:highlight w:val="yellow"/>
        </w:rPr>
      </w:pPr>
      <w:r>
        <w:rPr>
          <w:rFonts w:hint="eastAsia"/>
        </w:rPr>
        <w:t>监测时间为</w:t>
      </w:r>
      <w:r>
        <w:t>20</w:t>
      </w:r>
      <w:r>
        <w:rPr>
          <w:rFonts w:hint="eastAsia"/>
        </w:rPr>
        <w:t>20年10月25日-10月27日，监测3天，每天采样1次。</w:t>
      </w:r>
    </w:p>
    <w:p>
      <w:pPr>
        <w:ind w:firstLine="480"/>
      </w:pPr>
      <w:r>
        <w:t>(3)</w:t>
      </w:r>
      <w:r>
        <w:rPr>
          <w:rFonts w:hint="eastAsia"/>
        </w:rPr>
        <w:t>监测结果</w:t>
      </w:r>
    </w:p>
    <w:p>
      <w:pPr>
        <w:ind w:firstLine="480"/>
      </w:pPr>
      <w:r>
        <w:rPr>
          <w:rFonts w:hint="eastAsia"/>
        </w:rPr>
        <w:t>监测结果详见表</w:t>
      </w:r>
      <w:r>
        <w:t>4-2</w:t>
      </w:r>
      <w:r>
        <w:rPr>
          <w:rFonts w:hint="eastAsia"/>
        </w:rPr>
        <w:t>。</w:t>
      </w:r>
    </w:p>
    <w:p>
      <w:pPr>
        <w:ind w:firstLine="0" w:firstLineChars="0"/>
        <w:jc w:val="center"/>
        <w:rPr>
          <w:b/>
          <w:bCs/>
        </w:rPr>
      </w:pPr>
      <w:r>
        <w:rPr>
          <w:rFonts w:hint="eastAsia"/>
          <w:b/>
          <w:bCs/>
        </w:rPr>
        <w:t>表</w:t>
      </w:r>
      <w:r>
        <w:rPr>
          <w:b/>
          <w:bCs/>
        </w:rPr>
        <w:t xml:space="preserve">4-2 </w:t>
      </w:r>
      <w:r>
        <w:rPr>
          <w:rFonts w:hint="eastAsia"/>
          <w:b/>
          <w:bCs/>
        </w:rPr>
        <w:t>地表水现状监测统计结果     单位：mg/L</w:t>
      </w:r>
    </w:p>
    <w:tbl>
      <w:tblPr>
        <w:tblStyle w:val="21"/>
        <w:tblW w:w="96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5"/>
        <w:gridCol w:w="735"/>
        <w:gridCol w:w="1418"/>
        <w:gridCol w:w="858"/>
        <w:gridCol w:w="930"/>
        <w:gridCol w:w="960"/>
        <w:gridCol w:w="900"/>
        <w:gridCol w:w="1020"/>
        <w:gridCol w:w="1000"/>
        <w:gridCol w:w="8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restart"/>
            <w:vAlign w:val="center"/>
          </w:tcPr>
          <w:p>
            <w:pPr>
              <w:widowControl/>
              <w:spacing w:line="240" w:lineRule="atLeast"/>
              <w:ind w:firstLine="0" w:firstLineChars="0"/>
              <w:jc w:val="center"/>
              <w:rPr>
                <w:sz w:val="21"/>
                <w:szCs w:val="21"/>
              </w:rPr>
            </w:pPr>
            <w:r>
              <w:rPr>
                <w:sz w:val="21"/>
                <w:szCs w:val="21"/>
              </w:rPr>
              <w:t>采样</w:t>
            </w:r>
          </w:p>
          <w:p>
            <w:pPr>
              <w:widowControl/>
              <w:spacing w:line="240" w:lineRule="atLeast"/>
              <w:ind w:firstLine="0" w:firstLineChars="0"/>
              <w:jc w:val="center"/>
              <w:rPr>
                <w:sz w:val="21"/>
                <w:szCs w:val="21"/>
              </w:rPr>
            </w:pPr>
            <w:r>
              <w:rPr>
                <w:sz w:val="21"/>
                <w:szCs w:val="21"/>
              </w:rPr>
              <w:t>点位</w:t>
            </w:r>
          </w:p>
        </w:tc>
        <w:tc>
          <w:tcPr>
            <w:tcW w:w="735" w:type="dxa"/>
            <w:vMerge w:val="restart"/>
            <w:vAlign w:val="center"/>
          </w:tcPr>
          <w:p>
            <w:pPr>
              <w:widowControl/>
              <w:spacing w:line="240" w:lineRule="atLeast"/>
              <w:ind w:firstLine="0" w:firstLineChars="0"/>
              <w:jc w:val="center"/>
              <w:rPr>
                <w:sz w:val="21"/>
                <w:szCs w:val="21"/>
              </w:rPr>
            </w:pPr>
            <w:r>
              <w:rPr>
                <w:sz w:val="21"/>
                <w:szCs w:val="21"/>
              </w:rPr>
              <w:t>样品</w:t>
            </w:r>
          </w:p>
          <w:p>
            <w:pPr>
              <w:widowControl/>
              <w:spacing w:line="240" w:lineRule="atLeast"/>
              <w:ind w:firstLine="0" w:firstLineChars="0"/>
              <w:jc w:val="center"/>
              <w:rPr>
                <w:sz w:val="21"/>
                <w:szCs w:val="21"/>
              </w:rPr>
            </w:pPr>
            <w:r>
              <w:rPr>
                <w:sz w:val="21"/>
                <w:szCs w:val="21"/>
              </w:rPr>
              <w:t>状态</w:t>
            </w:r>
          </w:p>
        </w:tc>
        <w:tc>
          <w:tcPr>
            <w:tcW w:w="1418" w:type="dxa"/>
            <w:vMerge w:val="restart"/>
            <w:vAlign w:val="center"/>
          </w:tcPr>
          <w:p>
            <w:pPr>
              <w:widowControl/>
              <w:spacing w:line="240" w:lineRule="atLeast"/>
              <w:ind w:firstLine="0" w:firstLineChars="0"/>
              <w:jc w:val="center"/>
              <w:rPr>
                <w:sz w:val="21"/>
                <w:szCs w:val="21"/>
              </w:rPr>
            </w:pPr>
            <w:r>
              <w:rPr>
                <w:sz w:val="21"/>
                <w:szCs w:val="21"/>
              </w:rPr>
              <w:t>检测</w:t>
            </w:r>
          </w:p>
          <w:p>
            <w:pPr>
              <w:widowControl/>
              <w:spacing w:line="240" w:lineRule="atLeast"/>
              <w:ind w:firstLine="0" w:firstLineChars="0"/>
              <w:jc w:val="center"/>
              <w:rPr>
                <w:sz w:val="21"/>
                <w:szCs w:val="21"/>
              </w:rPr>
            </w:pPr>
            <w:r>
              <w:rPr>
                <w:sz w:val="21"/>
                <w:szCs w:val="21"/>
              </w:rPr>
              <w:t>项目</w:t>
            </w:r>
          </w:p>
        </w:tc>
        <w:tc>
          <w:tcPr>
            <w:tcW w:w="858" w:type="dxa"/>
            <w:vMerge w:val="restart"/>
            <w:vAlign w:val="center"/>
          </w:tcPr>
          <w:p>
            <w:pPr>
              <w:widowControl/>
              <w:spacing w:line="240" w:lineRule="atLeast"/>
              <w:ind w:firstLine="0" w:firstLineChars="0"/>
              <w:jc w:val="center"/>
              <w:rPr>
                <w:sz w:val="21"/>
                <w:szCs w:val="21"/>
              </w:rPr>
            </w:pPr>
            <w:r>
              <w:rPr>
                <w:sz w:val="21"/>
                <w:szCs w:val="21"/>
              </w:rPr>
              <w:t>单位</w:t>
            </w:r>
          </w:p>
        </w:tc>
        <w:tc>
          <w:tcPr>
            <w:tcW w:w="2790" w:type="dxa"/>
            <w:gridSpan w:val="3"/>
            <w:vAlign w:val="center"/>
          </w:tcPr>
          <w:p>
            <w:pPr>
              <w:widowControl/>
              <w:spacing w:line="240" w:lineRule="atLeast"/>
              <w:ind w:firstLine="0" w:firstLineChars="0"/>
              <w:jc w:val="center"/>
              <w:rPr>
                <w:sz w:val="21"/>
                <w:szCs w:val="21"/>
              </w:rPr>
            </w:pPr>
            <w:r>
              <w:rPr>
                <w:sz w:val="21"/>
                <w:szCs w:val="21"/>
              </w:rPr>
              <w:t>检测结果</w:t>
            </w:r>
          </w:p>
        </w:tc>
        <w:tc>
          <w:tcPr>
            <w:tcW w:w="2020" w:type="dxa"/>
            <w:gridSpan w:val="2"/>
            <w:vAlign w:val="center"/>
          </w:tcPr>
          <w:p>
            <w:pPr>
              <w:widowControl/>
              <w:spacing w:line="240" w:lineRule="atLeast"/>
              <w:ind w:firstLine="0" w:firstLineChars="0"/>
              <w:jc w:val="center"/>
              <w:rPr>
                <w:sz w:val="21"/>
                <w:szCs w:val="21"/>
              </w:rPr>
            </w:pPr>
            <w:r>
              <w:rPr>
                <w:kern w:val="20"/>
                <w:sz w:val="21"/>
                <w:szCs w:val="20"/>
              </w:rPr>
              <w:t>GB5084-2005</w:t>
            </w:r>
          </w:p>
        </w:tc>
        <w:tc>
          <w:tcPr>
            <w:tcW w:w="876" w:type="dxa"/>
            <w:vMerge w:val="restart"/>
            <w:vAlign w:val="center"/>
          </w:tcPr>
          <w:p>
            <w:pPr>
              <w:widowControl/>
              <w:spacing w:line="240" w:lineRule="atLeast"/>
              <w:ind w:firstLine="0" w:firstLineChars="0"/>
              <w:jc w:val="center"/>
              <w:rPr>
                <w:kern w:val="20"/>
                <w:sz w:val="21"/>
                <w:szCs w:val="20"/>
              </w:rPr>
            </w:pPr>
            <w:r>
              <w:rPr>
                <w:rFonts w:hint="eastAsia"/>
                <w:kern w:val="20"/>
                <w:sz w:val="21"/>
                <w:szCs w:val="20"/>
              </w:rPr>
              <w:t>GB3838-2002，III类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Merge w:val="continue"/>
            <w:vAlign w:val="center"/>
          </w:tcPr>
          <w:p>
            <w:pPr>
              <w:widowControl/>
              <w:spacing w:line="240" w:lineRule="atLeast"/>
              <w:ind w:firstLine="0" w:firstLineChars="0"/>
              <w:jc w:val="center"/>
              <w:rPr>
                <w:sz w:val="21"/>
                <w:szCs w:val="21"/>
              </w:rPr>
            </w:pPr>
          </w:p>
        </w:tc>
        <w:tc>
          <w:tcPr>
            <w:tcW w:w="858" w:type="dxa"/>
            <w:vMerge w:val="continue"/>
            <w:vAlign w:val="center"/>
          </w:tcPr>
          <w:p>
            <w:pPr>
              <w:widowControl/>
              <w:spacing w:line="240" w:lineRule="atLeast"/>
              <w:ind w:firstLine="0" w:firstLineChars="0"/>
              <w:jc w:val="center"/>
              <w:rPr>
                <w:sz w:val="21"/>
                <w:szCs w:val="21"/>
              </w:rPr>
            </w:pPr>
          </w:p>
        </w:tc>
        <w:tc>
          <w:tcPr>
            <w:tcW w:w="930" w:type="dxa"/>
            <w:vAlign w:val="center"/>
          </w:tcPr>
          <w:p>
            <w:pPr>
              <w:widowControl/>
              <w:spacing w:line="240" w:lineRule="atLeast"/>
              <w:ind w:firstLine="0" w:firstLineChars="0"/>
              <w:jc w:val="center"/>
              <w:rPr>
                <w:rFonts w:eastAsiaTheme="minorEastAsia"/>
                <w:b/>
                <w:bCs/>
                <w:szCs w:val="21"/>
              </w:rPr>
            </w:pPr>
            <w:r>
              <w:rPr>
                <w:rFonts w:hint="eastAsia" w:eastAsiaTheme="minorEastAsia"/>
                <w:b/>
                <w:bCs/>
                <w:sz w:val="21"/>
                <w:szCs w:val="21"/>
              </w:rPr>
              <w:t>10.25</w:t>
            </w:r>
          </w:p>
        </w:tc>
        <w:tc>
          <w:tcPr>
            <w:tcW w:w="960" w:type="dxa"/>
            <w:vAlign w:val="center"/>
          </w:tcPr>
          <w:p>
            <w:pPr>
              <w:widowControl/>
              <w:spacing w:line="240" w:lineRule="atLeast"/>
              <w:ind w:firstLine="0" w:firstLineChars="0"/>
              <w:jc w:val="center"/>
              <w:rPr>
                <w:rFonts w:eastAsiaTheme="minorEastAsia"/>
                <w:b/>
                <w:bCs/>
                <w:szCs w:val="21"/>
              </w:rPr>
            </w:pPr>
            <w:r>
              <w:rPr>
                <w:rFonts w:hint="eastAsia" w:eastAsiaTheme="minorEastAsia"/>
                <w:b/>
                <w:bCs/>
                <w:sz w:val="21"/>
                <w:szCs w:val="21"/>
              </w:rPr>
              <w:t>10.26</w:t>
            </w:r>
          </w:p>
        </w:tc>
        <w:tc>
          <w:tcPr>
            <w:tcW w:w="900" w:type="dxa"/>
            <w:vAlign w:val="center"/>
          </w:tcPr>
          <w:p>
            <w:pPr>
              <w:widowControl/>
              <w:spacing w:line="240" w:lineRule="atLeast"/>
              <w:ind w:firstLine="0" w:firstLineChars="0"/>
              <w:jc w:val="center"/>
              <w:rPr>
                <w:rFonts w:eastAsiaTheme="minorEastAsia"/>
                <w:b/>
                <w:bCs/>
                <w:szCs w:val="21"/>
              </w:rPr>
            </w:pPr>
            <w:r>
              <w:rPr>
                <w:rFonts w:hint="eastAsia" w:eastAsiaTheme="minorEastAsia"/>
                <w:b/>
                <w:bCs/>
                <w:sz w:val="21"/>
                <w:szCs w:val="21"/>
              </w:rPr>
              <w:t>10.27</w:t>
            </w:r>
          </w:p>
        </w:tc>
        <w:tc>
          <w:tcPr>
            <w:tcW w:w="1020" w:type="dxa"/>
            <w:vAlign w:val="center"/>
          </w:tcPr>
          <w:p>
            <w:pPr>
              <w:widowControl/>
              <w:spacing w:line="240" w:lineRule="atLeast"/>
              <w:ind w:firstLine="0" w:firstLineChars="0"/>
              <w:jc w:val="center"/>
              <w:rPr>
                <w:sz w:val="21"/>
                <w:szCs w:val="21"/>
              </w:rPr>
            </w:pPr>
            <w:r>
              <w:rPr>
                <w:rFonts w:hint="eastAsia"/>
                <w:kern w:val="20"/>
                <w:sz w:val="21"/>
                <w:szCs w:val="20"/>
              </w:rPr>
              <w:t>水作</w:t>
            </w:r>
            <w:r>
              <w:rPr>
                <w:kern w:val="20"/>
                <w:sz w:val="21"/>
                <w:szCs w:val="20"/>
              </w:rPr>
              <w:t>类</w:t>
            </w:r>
          </w:p>
        </w:tc>
        <w:tc>
          <w:tcPr>
            <w:tcW w:w="1000" w:type="dxa"/>
            <w:vAlign w:val="center"/>
          </w:tcPr>
          <w:p>
            <w:pPr>
              <w:widowControl/>
              <w:spacing w:line="240" w:lineRule="atLeast"/>
              <w:ind w:firstLine="0" w:firstLineChars="0"/>
              <w:jc w:val="center"/>
              <w:rPr>
                <w:sz w:val="21"/>
                <w:szCs w:val="21"/>
              </w:rPr>
            </w:pPr>
            <w:r>
              <w:rPr>
                <w:rFonts w:hint="eastAsia"/>
                <w:kern w:val="20"/>
                <w:sz w:val="21"/>
                <w:szCs w:val="20"/>
              </w:rPr>
              <w:t>旱</w:t>
            </w:r>
            <w:r>
              <w:rPr>
                <w:kern w:val="20"/>
                <w:sz w:val="21"/>
                <w:szCs w:val="20"/>
              </w:rPr>
              <w:t>作类</w:t>
            </w:r>
          </w:p>
        </w:tc>
        <w:tc>
          <w:tcPr>
            <w:tcW w:w="876" w:type="dxa"/>
            <w:vMerge w:val="continue"/>
            <w:vAlign w:val="center"/>
          </w:tcPr>
          <w:p>
            <w:pPr>
              <w:widowControl/>
              <w:spacing w:line="240" w:lineRule="atLeast"/>
              <w:ind w:firstLine="0" w:firstLineChars="0"/>
              <w:jc w:val="center"/>
              <w:rPr>
                <w:kern w:val="20"/>
                <w:sz w:val="21"/>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restart"/>
            <w:vAlign w:val="center"/>
          </w:tcPr>
          <w:p>
            <w:pPr>
              <w:widowControl/>
              <w:spacing w:line="240" w:lineRule="atLeast"/>
              <w:ind w:firstLine="0" w:firstLineChars="0"/>
              <w:jc w:val="center"/>
              <w:rPr>
                <w:sz w:val="21"/>
                <w:szCs w:val="21"/>
              </w:rPr>
            </w:pPr>
            <w:r>
              <w:rPr>
                <w:rFonts w:hint="eastAsia"/>
                <w:sz w:val="21"/>
                <w:szCs w:val="21"/>
              </w:rPr>
              <w:t>项目南面水塘</w:t>
            </w:r>
            <w:r>
              <w:rPr>
                <w:sz w:val="21"/>
                <w:szCs w:val="21"/>
              </w:rPr>
              <w:t>☆</w:t>
            </w:r>
            <w:r>
              <w:rPr>
                <w:rFonts w:hint="eastAsia"/>
                <w:sz w:val="21"/>
                <w:szCs w:val="21"/>
              </w:rPr>
              <w:t>W</w:t>
            </w:r>
            <w:r>
              <w:rPr>
                <w:sz w:val="21"/>
                <w:szCs w:val="21"/>
              </w:rPr>
              <w:t>1</w:t>
            </w:r>
          </w:p>
        </w:tc>
        <w:tc>
          <w:tcPr>
            <w:tcW w:w="735" w:type="dxa"/>
            <w:vMerge w:val="restart"/>
            <w:vAlign w:val="center"/>
          </w:tcPr>
          <w:p>
            <w:pPr>
              <w:spacing w:line="240" w:lineRule="atLeast"/>
              <w:ind w:firstLine="0" w:firstLineChars="0"/>
              <w:rPr>
                <w:sz w:val="21"/>
                <w:szCs w:val="21"/>
              </w:rPr>
            </w:pPr>
            <w:r>
              <w:rPr>
                <w:sz w:val="21"/>
                <w:szCs w:val="21"/>
              </w:rPr>
              <w:t>淡黄色、无味</w:t>
            </w:r>
          </w:p>
        </w:tc>
        <w:tc>
          <w:tcPr>
            <w:tcW w:w="1418" w:type="dxa"/>
            <w:vAlign w:val="center"/>
          </w:tcPr>
          <w:p>
            <w:pPr>
              <w:pStyle w:val="32"/>
              <w:spacing w:line="240" w:lineRule="atLeast"/>
              <w:ind w:firstLine="0" w:firstLineChars="0"/>
              <w:jc w:val="center"/>
              <w:rPr>
                <w:rFonts w:ascii="Times New Roman" w:hAnsi="Times New Roman"/>
                <w:sz w:val="21"/>
                <w:szCs w:val="21"/>
                <w:lang w:bidi="ar"/>
              </w:rPr>
            </w:pPr>
            <w:r>
              <w:rPr>
                <w:rFonts w:ascii="Times New Roman" w:hAnsi="Times New Roman"/>
                <w:sz w:val="21"/>
                <w:szCs w:val="21"/>
              </w:rPr>
              <w:t>pH</w:t>
            </w:r>
          </w:p>
        </w:tc>
        <w:tc>
          <w:tcPr>
            <w:tcW w:w="858" w:type="dxa"/>
            <w:vAlign w:val="center"/>
          </w:tcPr>
          <w:p>
            <w:pPr>
              <w:widowControl/>
              <w:spacing w:line="240" w:lineRule="atLeast"/>
              <w:ind w:firstLine="0" w:firstLineChars="0"/>
              <w:jc w:val="center"/>
              <w:rPr>
                <w:sz w:val="21"/>
                <w:szCs w:val="21"/>
              </w:rPr>
            </w:pPr>
            <w:r>
              <w:rPr>
                <w:sz w:val="21"/>
                <w:szCs w:val="21"/>
              </w:rPr>
              <w:t>无量纲</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6.83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6.88</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6.84</w:t>
            </w:r>
          </w:p>
        </w:tc>
        <w:tc>
          <w:tcPr>
            <w:tcW w:w="1020" w:type="dxa"/>
            <w:vAlign w:val="center"/>
          </w:tcPr>
          <w:p>
            <w:pPr>
              <w:spacing w:line="240" w:lineRule="atLeast"/>
              <w:ind w:firstLine="0" w:firstLineChars="0"/>
              <w:jc w:val="center"/>
              <w:rPr>
                <w:kern w:val="20"/>
                <w:sz w:val="21"/>
                <w:szCs w:val="20"/>
              </w:rPr>
            </w:pPr>
            <w:r>
              <w:rPr>
                <w:rFonts w:hint="eastAsia"/>
                <w:kern w:val="20"/>
                <w:sz w:val="21"/>
                <w:szCs w:val="20"/>
              </w:rPr>
              <w:t>5.5～8.5</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5.5～8.5</w:t>
            </w:r>
          </w:p>
        </w:tc>
        <w:tc>
          <w:tcPr>
            <w:tcW w:w="876" w:type="dxa"/>
            <w:vAlign w:val="center"/>
          </w:tcPr>
          <w:p>
            <w:pPr>
              <w:spacing w:line="240" w:lineRule="atLeast"/>
              <w:ind w:firstLine="0" w:firstLineChars="0"/>
              <w:jc w:val="center"/>
              <w:rPr>
                <w:kern w:val="20"/>
                <w:sz w:val="21"/>
                <w:szCs w:val="20"/>
              </w:rPr>
            </w:pPr>
            <w:r>
              <w:rPr>
                <w:rFonts w:hint="eastAsia"/>
                <w:kern w:val="20"/>
                <w:sz w:val="21"/>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color w:val="000000"/>
                <w:sz w:val="21"/>
                <w:szCs w:val="21"/>
              </w:rPr>
            </w:pPr>
            <w:r>
              <w:rPr>
                <w:color w:val="000000"/>
                <w:sz w:val="21"/>
                <w:szCs w:val="21"/>
              </w:rPr>
              <w:t>化学需氧量</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10</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11</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9</w:t>
            </w:r>
          </w:p>
        </w:tc>
        <w:tc>
          <w:tcPr>
            <w:tcW w:w="1020" w:type="dxa"/>
            <w:vAlign w:val="center"/>
          </w:tcPr>
          <w:p>
            <w:pPr>
              <w:spacing w:line="240" w:lineRule="atLeast"/>
              <w:ind w:firstLine="0" w:firstLineChars="0"/>
              <w:jc w:val="center"/>
              <w:rPr>
                <w:kern w:val="20"/>
                <w:sz w:val="21"/>
                <w:szCs w:val="20"/>
              </w:rPr>
            </w:pPr>
            <w:r>
              <w:rPr>
                <w:kern w:val="20"/>
                <w:sz w:val="21"/>
                <w:szCs w:val="20"/>
              </w:rPr>
              <w:t>≤</w:t>
            </w:r>
            <w:r>
              <w:rPr>
                <w:rFonts w:hint="eastAsia"/>
                <w:kern w:val="20"/>
                <w:sz w:val="21"/>
                <w:szCs w:val="20"/>
              </w:rPr>
              <w:t>150</w:t>
            </w:r>
          </w:p>
        </w:tc>
        <w:tc>
          <w:tcPr>
            <w:tcW w:w="1000" w:type="dxa"/>
            <w:vAlign w:val="center"/>
          </w:tcPr>
          <w:p>
            <w:pPr>
              <w:spacing w:line="240" w:lineRule="atLeast"/>
              <w:ind w:firstLine="0" w:firstLineChars="0"/>
              <w:jc w:val="center"/>
              <w:rPr>
                <w:kern w:val="20"/>
                <w:sz w:val="21"/>
                <w:szCs w:val="20"/>
              </w:rPr>
            </w:pPr>
            <w:r>
              <w:rPr>
                <w:kern w:val="20"/>
                <w:sz w:val="21"/>
                <w:szCs w:val="20"/>
              </w:rPr>
              <w:t>≤</w:t>
            </w:r>
            <w:r>
              <w:rPr>
                <w:rFonts w:hint="eastAsia"/>
                <w:kern w:val="20"/>
                <w:sz w:val="21"/>
                <w:szCs w:val="20"/>
              </w:rPr>
              <w:t>200</w:t>
            </w:r>
          </w:p>
        </w:tc>
        <w:tc>
          <w:tcPr>
            <w:tcW w:w="876" w:type="dxa"/>
            <w:vAlign w:val="center"/>
          </w:tcPr>
          <w:p>
            <w:pPr>
              <w:spacing w:line="240" w:lineRule="atLeast"/>
              <w:ind w:firstLine="0" w:firstLineChars="0"/>
              <w:jc w:val="center"/>
              <w:rPr>
                <w:kern w:val="20"/>
                <w:sz w:val="21"/>
                <w:szCs w:val="20"/>
              </w:rPr>
            </w:pPr>
            <w:r>
              <w:rPr>
                <w:rFonts w:hint="eastAsia"/>
                <w:kern w:val="20"/>
                <w:sz w:val="21"/>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氨氮</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0.163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0.168</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0.153</w:t>
            </w:r>
          </w:p>
        </w:tc>
        <w:tc>
          <w:tcPr>
            <w:tcW w:w="102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rPr>
            </w:pPr>
            <w:r>
              <w:rPr>
                <w:rFonts w:hint="eastAsia"/>
                <w:kern w:val="20"/>
                <w:sz w:val="21"/>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总磷</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0.02</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0.02</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0.01</w:t>
            </w:r>
          </w:p>
        </w:tc>
        <w:tc>
          <w:tcPr>
            <w:tcW w:w="102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rPr>
            </w:pPr>
            <w:r>
              <w:rPr>
                <w:rFonts w:hint="eastAsia"/>
                <w:kern w:val="20"/>
                <w:sz w:val="21"/>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粪大肠菌群</w:t>
            </w:r>
          </w:p>
        </w:tc>
        <w:tc>
          <w:tcPr>
            <w:tcW w:w="858" w:type="dxa"/>
            <w:vAlign w:val="center"/>
          </w:tcPr>
          <w:p>
            <w:pPr>
              <w:widowControl/>
              <w:spacing w:line="240" w:lineRule="atLeast"/>
              <w:ind w:firstLine="0" w:firstLineChars="0"/>
              <w:jc w:val="center"/>
              <w:rPr>
                <w:sz w:val="21"/>
                <w:szCs w:val="21"/>
              </w:rPr>
            </w:pPr>
            <w:r>
              <w:rPr>
                <w:rFonts w:hint="eastAsia"/>
                <w:color w:val="000000"/>
                <w:sz w:val="21"/>
                <w:szCs w:val="21"/>
              </w:rPr>
              <w:t>个</w:t>
            </w:r>
            <w:r>
              <w:rPr>
                <w:color w:val="000000"/>
                <w:sz w:val="21"/>
                <w:szCs w:val="21"/>
              </w:rPr>
              <w:t>/L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1.4×10</w:t>
            </w:r>
            <w:r>
              <w:rPr>
                <w:rFonts w:hint="eastAsia" w:eastAsiaTheme="minorEastAsia"/>
                <w:sz w:val="21"/>
                <w:szCs w:val="21"/>
                <w:vertAlign w:val="superscript"/>
              </w:rPr>
              <w:t>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1.3×10</w:t>
            </w:r>
            <w:r>
              <w:rPr>
                <w:rFonts w:hint="eastAsia" w:eastAsiaTheme="minorEastAsia"/>
                <w:sz w:val="21"/>
                <w:szCs w:val="21"/>
                <w:vertAlign w:val="superscript"/>
              </w:rPr>
              <w:t>3</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1.8×10</w:t>
            </w:r>
            <w:r>
              <w:rPr>
                <w:rFonts w:hint="eastAsia" w:eastAsiaTheme="minorEastAsia"/>
                <w:sz w:val="21"/>
                <w:szCs w:val="21"/>
                <w:vertAlign w:val="superscript"/>
              </w:rPr>
              <w:t>3</w:t>
            </w:r>
          </w:p>
        </w:tc>
        <w:tc>
          <w:tcPr>
            <w:tcW w:w="1020" w:type="dxa"/>
            <w:vAlign w:val="center"/>
          </w:tcPr>
          <w:p>
            <w:pPr>
              <w:spacing w:line="240" w:lineRule="atLeast"/>
              <w:ind w:firstLine="0" w:firstLineChars="0"/>
              <w:jc w:val="center"/>
              <w:rPr>
                <w:kern w:val="20"/>
                <w:sz w:val="21"/>
                <w:szCs w:val="20"/>
              </w:rPr>
            </w:pPr>
            <w:r>
              <w:rPr>
                <w:kern w:val="20"/>
                <w:sz w:val="21"/>
                <w:szCs w:val="20"/>
              </w:rPr>
              <w:t>≤</w:t>
            </w:r>
            <w:r>
              <w:rPr>
                <w:rFonts w:hint="eastAsia"/>
                <w:kern w:val="20"/>
                <w:sz w:val="21"/>
                <w:szCs w:val="20"/>
              </w:rPr>
              <w:t>4</w:t>
            </w:r>
            <w:r>
              <w:rPr>
                <w:kern w:val="20"/>
                <w:sz w:val="21"/>
                <w:szCs w:val="20"/>
              </w:rPr>
              <w:t>000</w:t>
            </w:r>
            <w:r>
              <w:rPr>
                <w:rFonts w:hint="eastAsia"/>
                <w:kern w:val="20"/>
                <w:sz w:val="21"/>
                <w:szCs w:val="20"/>
              </w:rPr>
              <w:t>0</w:t>
            </w:r>
          </w:p>
        </w:tc>
        <w:tc>
          <w:tcPr>
            <w:tcW w:w="1000" w:type="dxa"/>
            <w:vAlign w:val="center"/>
          </w:tcPr>
          <w:p>
            <w:pPr>
              <w:spacing w:line="240" w:lineRule="atLeast"/>
              <w:ind w:firstLine="0" w:firstLineChars="0"/>
              <w:jc w:val="center"/>
              <w:rPr>
                <w:kern w:val="20"/>
                <w:sz w:val="21"/>
                <w:szCs w:val="20"/>
              </w:rPr>
            </w:pPr>
            <w:r>
              <w:rPr>
                <w:kern w:val="20"/>
                <w:sz w:val="21"/>
                <w:szCs w:val="20"/>
              </w:rPr>
              <w:t>≤</w:t>
            </w:r>
            <w:r>
              <w:rPr>
                <w:rFonts w:hint="eastAsia"/>
                <w:kern w:val="20"/>
                <w:sz w:val="21"/>
                <w:szCs w:val="20"/>
              </w:rPr>
              <w:t>4</w:t>
            </w:r>
            <w:r>
              <w:rPr>
                <w:kern w:val="20"/>
                <w:sz w:val="21"/>
                <w:szCs w:val="20"/>
              </w:rPr>
              <w:t>000</w:t>
            </w:r>
            <w:r>
              <w:rPr>
                <w:rFonts w:hint="eastAsia"/>
                <w:kern w:val="20"/>
                <w:sz w:val="21"/>
                <w:szCs w:val="20"/>
              </w:rPr>
              <w:t>0</w:t>
            </w:r>
          </w:p>
        </w:tc>
        <w:tc>
          <w:tcPr>
            <w:tcW w:w="876" w:type="dxa"/>
            <w:vAlign w:val="center"/>
          </w:tcPr>
          <w:p>
            <w:pPr>
              <w:spacing w:line="240" w:lineRule="atLeast"/>
              <w:ind w:firstLine="0" w:firstLineChars="0"/>
              <w:jc w:val="center"/>
              <w:rPr>
                <w:kern w:val="20"/>
                <w:sz w:val="21"/>
                <w:szCs w:val="20"/>
              </w:rPr>
            </w:pPr>
            <w:r>
              <w:rPr>
                <w:rFonts w:hint="eastAsia"/>
                <w:kern w:val="20"/>
                <w:sz w:val="21"/>
                <w:szCs w:val="2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restart"/>
            <w:vAlign w:val="center"/>
          </w:tcPr>
          <w:p>
            <w:pPr>
              <w:widowControl/>
              <w:spacing w:line="240" w:lineRule="atLeast"/>
              <w:ind w:firstLine="0" w:firstLineChars="0"/>
              <w:jc w:val="center"/>
              <w:rPr>
                <w:sz w:val="21"/>
                <w:szCs w:val="21"/>
              </w:rPr>
            </w:pPr>
            <w:r>
              <w:rPr>
                <w:rFonts w:hint="eastAsia"/>
                <w:sz w:val="21"/>
                <w:szCs w:val="21"/>
              </w:rPr>
              <w:t>项目东南面农灌渠上游1#</w:t>
            </w:r>
            <w:r>
              <w:rPr>
                <w:rFonts w:hint="eastAsia" w:ascii="宋体" w:hAnsi="宋体" w:cs="宋体"/>
                <w:sz w:val="21"/>
                <w:szCs w:val="21"/>
              </w:rPr>
              <w:t>☆</w:t>
            </w:r>
            <w:r>
              <w:rPr>
                <w:rFonts w:hint="eastAsia"/>
                <w:sz w:val="21"/>
                <w:szCs w:val="21"/>
              </w:rPr>
              <w:t>W2</w:t>
            </w:r>
          </w:p>
        </w:tc>
        <w:tc>
          <w:tcPr>
            <w:tcW w:w="735" w:type="dxa"/>
            <w:vMerge w:val="restart"/>
            <w:vAlign w:val="center"/>
          </w:tcPr>
          <w:p>
            <w:pPr>
              <w:spacing w:line="240" w:lineRule="atLeast"/>
              <w:ind w:firstLine="0" w:firstLineChars="0"/>
              <w:jc w:val="center"/>
              <w:rPr>
                <w:sz w:val="21"/>
                <w:szCs w:val="21"/>
              </w:rPr>
            </w:pPr>
            <w:r>
              <w:rPr>
                <w:sz w:val="21"/>
                <w:szCs w:val="21"/>
              </w:rPr>
              <w:t>淡黄色、无味</w:t>
            </w:r>
          </w:p>
        </w:tc>
        <w:tc>
          <w:tcPr>
            <w:tcW w:w="1418" w:type="dxa"/>
            <w:vAlign w:val="center"/>
          </w:tcPr>
          <w:p>
            <w:pPr>
              <w:pStyle w:val="32"/>
              <w:spacing w:line="240" w:lineRule="atLeast"/>
              <w:ind w:firstLine="0" w:firstLineChars="0"/>
              <w:jc w:val="center"/>
              <w:rPr>
                <w:rFonts w:ascii="Times New Roman" w:hAnsi="Times New Roman"/>
                <w:sz w:val="21"/>
                <w:szCs w:val="21"/>
                <w:lang w:bidi="ar"/>
              </w:rPr>
            </w:pPr>
            <w:r>
              <w:rPr>
                <w:rFonts w:ascii="Times New Roman" w:hAnsi="Times New Roman"/>
                <w:sz w:val="21"/>
                <w:szCs w:val="21"/>
              </w:rPr>
              <w:t>pH</w:t>
            </w:r>
          </w:p>
        </w:tc>
        <w:tc>
          <w:tcPr>
            <w:tcW w:w="858" w:type="dxa"/>
            <w:vAlign w:val="center"/>
          </w:tcPr>
          <w:p>
            <w:pPr>
              <w:widowControl/>
              <w:spacing w:line="240" w:lineRule="atLeast"/>
              <w:ind w:firstLine="0" w:firstLineChars="0"/>
              <w:jc w:val="center"/>
              <w:rPr>
                <w:sz w:val="21"/>
                <w:szCs w:val="21"/>
              </w:rPr>
            </w:pPr>
            <w:r>
              <w:rPr>
                <w:sz w:val="21"/>
                <w:szCs w:val="21"/>
              </w:rPr>
              <w:t>无量纲</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6.60</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6.64</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6.58</w:t>
            </w:r>
          </w:p>
        </w:tc>
        <w:tc>
          <w:tcPr>
            <w:tcW w:w="102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rPr>
            </w:pPr>
            <w:r>
              <w:rPr>
                <w:kern w:val="20"/>
                <w:sz w:val="21"/>
                <w:szCs w:val="20"/>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color w:val="000000"/>
                <w:sz w:val="21"/>
                <w:szCs w:val="21"/>
              </w:rPr>
            </w:pPr>
            <w:r>
              <w:rPr>
                <w:color w:val="000000"/>
                <w:sz w:val="21"/>
                <w:szCs w:val="21"/>
              </w:rPr>
              <w:t>化学需氧量</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14</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12</w:t>
            </w:r>
          </w:p>
        </w:tc>
        <w:tc>
          <w:tcPr>
            <w:tcW w:w="1020" w:type="dxa"/>
            <w:vAlign w:val="center"/>
          </w:tcPr>
          <w:p>
            <w:pPr>
              <w:spacing w:line="240" w:lineRule="atLeast"/>
              <w:ind w:firstLine="0" w:firstLineChars="0"/>
              <w:jc w:val="center"/>
              <w:rPr>
                <w:kern w:val="20"/>
                <w:sz w:val="21"/>
                <w:szCs w:val="20"/>
                <w:highlight w:val="yellow"/>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rPr>
            </w:pPr>
            <w:r>
              <w:rPr>
                <w:kern w:val="20"/>
                <w:sz w:val="21"/>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氨氮</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0.193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0.188</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0.178</w:t>
            </w:r>
          </w:p>
        </w:tc>
        <w:tc>
          <w:tcPr>
            <w:tcW w:w="102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rPr>
            </w:pPr>
            <w:r>
              <w:rPr>
                <w:kern w:val="20"/>
                <w:sz w:val="21"/>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总磷</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0.04</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0.03</w:t>
            </w:r>
          </w:p>
        </w:tc>
        <w:tc>
          <w:tcPr>
            <w:tcW w:w="102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rPr>
            </w:pPr>
            <w:r>
              <w:rPr>
                <w:kern w:val="20"/>
                <w:sz w:val="21"/>
                <w:szCs w:val="20"/>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粪大肠菌群</w:t>
            </w:r>
          </w:p>
        </w:tc>
        <w:tc>
          <w:tcPr>
            <w:tcW w:w="858" w:type="dxa"/>
            <w:vAlign w:val="center"/>
          </w:tcPr>
          <w:p>
            <w:pPr>
              <w:widowControl/>
              <w:spacing w:line="240" w:lineRule="atLeast"/>
              <w:ind w:firstLine="0" w:firstLineChars="0"/>
              <w:jc w:val="center"/>
              <w:rPr>
                <w:sz w:val="21"/>
                <w:szCs w:val="21"/>
              </w:rPr>
            </w:pPr>
            <w:r>
              <w:rPr>
                <w:rFonts w:hint="eastAsia"/>
                <w:color w:val="000000"/>
                <w:sz w:val="21"/>
                <w:szCs w:val="21"/>
              </w:rPr>
              <w:t>个</w:t>
            </w:r>
            <w:r>
              <w:rPr>
                <w:color w:val="000000"/>
                <w:sz w:val="21"/>
                <w:szCs w:val="21"/>
              </w:rPr>
              <w:t>/L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1.7×10</w:t>
            </w:r>
            <w:r>
              <w:rPr>
                <w:rFonts w:hint="eastAsia" w:eastAsiaTheme="minorEastAsia"/>
                <w:sz w:val="21"/>
                <w:szCs w:val="21"/>
                <w:vertAlign w:val="superscript"/>
              </w:rPr>
              <w:t>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1.5×10</w:t>
            </w:r>
            <w:r>
              <w:rPr>
                <w:rFonts w:hint="eastAsia" w:eastAsiaTheme="minorEastAsia"/>
                <w:sz w:val="21"/>
                <w:szCs w:val="21"/>
                <w:vertAlign w:val="superscript"/>
              </w:rPr>
              <w:t>3</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2.1×10</w:t>
            </w:r>
            <w:r>
              <w:rPr>
                <w:rFonts w:hint="eastAsia" w:eastAsiaTheme="minorEastAsia"/>
                <w:sz w:val="21"/>
                <w:szCs w:val="21"/>
                <w:vertAlign w:val="superscript"/>
              </w:rPr>
              <w:t>3</w:t>
            </w:r>
          </w:p>
        </w:tc>
        <w:tc>
          <w:tcPr>
            <w:tcW w:w="1020" w:type="dxa"/>
            <w:vAlign w:val="center"/>
          </w:tcPr>
          <w:p>
            <w:pPr>
              <w:spacing w:line="240" w:lineRule="atLeast"/>
              <w:ind w:firstLine="0" w:firstLineChars="0"/>
              <w:jc w:val="center"/>
              <w:rPr>
                <w:kern w:val="20"/>
                <w:sz w:val="21"/>
                <w:szCs w:val="20"/>
                <w:highlight w:val="yellow"/>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rPr>
            </w:pPr>
            <w:r>
              <w:rPr>
                <w:kern w:val="20"/>
                <w:sz w:val="21"/>
                <w:szCs w:val="20"/>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restart"/>
            <w:vAlign w:val="center"/>
          </w:tcPr>
          <w:p>
            <w:pPr>
              <w:widowControl/>
              <w:spacing w:line="240" w:lineRule="atLeast"/>
              <w:ind w:firstLine="0" w:firstLineChars="0"/>
              <w:jc w:val="center"/>
              <w:rPr>
                <w:sz w:val="21"/>
                <w:szCs w:val="21"/>
              </w:rPr>
            </w:pPr>
            <w:r>
              <w:rPr>
                <w:rFonts w:hint="eastAsia"/>
                <w:sz w:val="21"/>
                <w:szCs w:val="21"/>
              </w:rPr>
              <w:t>项目东南面农灌渠下游2#</w:t>
            </w:r>
            <w:r>
              <w:rPr>
                <w:rFonts w:hint="eastAsia" w:ascii="宋体" w:hAnsi="宋体" w:cs="宋体"/>
                <w:sz w:val="21"/>
                <w:szCs w:val="21"/>
              </w:rPr>
              <w:t>☆</w:t>
            </w:r>
            <w:r>
              <w:rPr>
                <w:rFonts w:hint="eastAsia"/>
                <w:sz w:val="21"/>
                <w:szCs w:val="21"/>
              </w:rPr>
              <w:t>W3</w:t>
            </w:r>
          </w:p>
        </w:tc>
        <w:tc>
          <w:tcPr>
            <w:tcW w:w="735" w:type="dxa"/>
            <w:vMerge w:val="restart"/>
            <w:vAlign w:val="center"/>
          </w:tcPr>
          <w:p>
            <w:pPr>
              <w:spacing w:line="240" w:lineRule="atLeast"/>
              <w:ind w:firstLine="0" w:firstLineChars="0"/>
              <w:jc w:val="center"/>
              <w:rPr>
                <w:sz w:val="21"/>
                <w:szCs w:val="21"/>
              </w:rPr>
            </w:pPr>
            <w:r>
              <w:rPr>
                <w:sz w:val="21"/>
                <w:szCs w:val="21"/>
              </w:rPr>
              <w:t>淡黄色、无味</w:t>
            </w:r>
          </w:p>
        </w:tc>
        <w:tc>
          <w:tcPr>
            <w:tcW w:w="1418" w:type="dxa"/>
            <w:vAlign w:val="center"/>
          </w:tcPr>
          <w:p>
            <w:pPr>
              <w:pStyle w:val="32"/>
              <w:spacing w:line="240" w:lineRule="atLeast"/>
              <w:ind w:firstLine="0" w:firstLineChars="0"/>
              <w:jc w:val="center"/>
              <w:rPr>
                <w:rFonts w:ascii="Times New Roman" w:hAnsi="Times New Roman"/>
                <w:sz w:val="21"/>
                <w:szCs w:val="21"/>
                <w:lang w:bidi="ar"/>
              </w:rPr>
            </w:pPr>
            <w:r>
              <w:rPr>
                <w:rFonts w:ascii="Times New Roman" w:hAnsi="Times New Roman"/>
                <w:sz w:val="21"/>
                <w:szCs w:val="21"/>
              </w:rPr>
              <w:t>pH</w:t>
            </w:r>
          </w:p>
        </w:tc>
        <w:tc>
          <w:tcPr>
            <w:tcW w:w="858" w:type="dxa"/>
            <w:vAlign w:val="center"/>
          </w:tcPr>
          <w:p>
            <w:pPr>
              <w:widowControl/>
              <w:spacing w:line="240" w:lineRule="atLeast"/>
              <w:ind w:firstLine="0" w:firstLineChars="0"/>
              <w:jc w:val="center"/>
              <w:rPr>
                <w:sz w:val="21"/>
                <w:szCs w:val="21"/>
              </w:rPr>
            </w:pPr>
            <w:r>
              <w:rPr>
                <w:sz w:val="21"/>
                <w:szCs w:val="21"/>
              </w:rPr>
              <w:t>无量纲</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6.53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6.57</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6.52</w:t>
            </w:r>
          </w:p>
        </w:tc>
        <w:tc>
          <w:tcPr>
            <w:tcW w:w="1020" w:type="dxa"/>
            <w:vAlign w:val="center"/>
          </w:tcPr>
          <w:p>
            <w:pPr>
              <w:spacing w:line="240" w:lineRule="atLeast"/>
              <w:ind w:firstLine="0" w:firstLineChars="0"/>
              <w:jc w:val="center"/>
              <w:rPr>
                <w:kern w:val="20"/>
                <w:sz w:val="21"/>
                <w:szCs w:val="20"/>
                <w:highlight w:val="yellow"/>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highlight w:val="yellow"/>
              </w:rPr>
            </w:pPr>
            <w:r>
              <w:rPr>
                <w:kern w:val="20"/>
                <w:sz w:val="21"/>
                <w:szCs w:val="20"/>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color w:val="000000"/>
                <w:sz w:val="21"/>
                <w:szCs w:val="21"/>
              </w:rPr>
              <w:t>化学需氧量</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15</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16</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14</w:t>
            </w:r>
          </w:p>
        </w:tc>
        <w:tc>
          <w:tcPr>
            <w:tcW w:w="1020" w:type="dxa"/>
            <w:vAlign w:val="center"/>
          </w:tcPr>
          <w:p>
            <w:pPr>
              <w:spacing w:line="240" w:lineRule="atLeast"/>
              <w:ind w:firstLine="0" w:firstLineChars="0"/>
              <w:jc w:val="center"/>
              <w:rPr>
                <w:kern w:val="20"/>
                <w:sz w:val="21"/>
                <w:szCs w:val="20"/>
                <w:highlight w:val="yellow"/>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highlight w:val="yellow"/>
              </w:rPr>
            </w:pPr>
            <w:r>
              <w:rPr>
                <w:kern w:val="20"/>
                <w:sz w:val="21"/>
                <w:szCs w:val="20"/>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氨氮</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0.230</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0.218</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0.190</w:t>
            </w:r>
          </w:p>
        </w:tc>
        <w:tc>
          <w:tcPr>
            <w:tcW w:w="1020" w:type="dxa"/>
            <w:vAlign w:val="center"/>
          </w:tcPr>
          <w:p>
            <w:pPr>
              <w:spacing w:line="240" w:lineRule="atLeast"/>
              <w:ind w:firstLine="0" w:firstLineChars="0"/>
              <w:jc w:val="center"/>
              <w:rPr>
                <w:kern w:val="20"/>
                <w:sz w:val="21"/>
                <w:szCs w:val="20"/>
                <w:highlight w:val="yellow"/>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highlight w:val="yellow"/>
              </w:rPr>
            </w:pPr>
            <w:r>
              <w:rPr>
                <w:kern w:val="20"/>
                <w:sz w:val="21"/>
                <w:szCs w:val="20"/>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总磷</w:t>
            </w:r>
          </w:p>
        </w:tc>
        <w:tc>
          <w:tcPr>
            <w:tcW w:w="858" w:type="dxa"/>
            <w:vAlign w:val="center"/>
          </w:tcPr>
          <w:p>
            <w:pPr>
              <w:widowControl/>
              <w:spacing w:line="240" w:lineRule="atLeast"/>
              <w:ind w:firstLine="0" w:firstLineChars="0"/>
              <w:jc w:val="center"/>
              <w:rPr>
                <w:sz w:val="21"/>
                <w:szCs w:val="21"/>
              </w:rPr>
            </w:pPr>
            <w:r>
              <w:rPr>
                <w:sz w:val="21"/>
                <w:szCs w:val="21"/>
              </w:rPr>
              <w:t>mg/L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0.05</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0.06</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0.06</w:t>
            </w:r>
          </w:p>
        </w:tc>
        <w:tc>
          <w:tcPr>
            <w:tcW w:w="1020" w:type="dxa"/>
            <w:vAlign w:val="center"/>
          </w:tcPr>
          <w:p>
            <w:pPr>
              <w:spacing w:line="240" w:lineRule="atLeast"/>
              <w:ind w:firstLine="0" w:firstLineChars="0"/>
              <w:jc w:val="center"/>
              <w:rPr>
                <w:kern w:val="20"/>
                <w:sz w:val="21"/>
                <w:szCs w:val="20"/>
                <w:highlight w:val="yellow"/>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highlight w:val="yellow"/>
              </w:rPr>
            </w:pPr>
            <w:r>
              <w:rPr>
                <w:kern w:val="20"/>
                <w:sz w:val="21"/>
                <w:szCs w:val="20"/>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5" w:type="dxa"/>
            <w:vMerge w:val="continue"/>
            <w:vAlign w:val="center"/>
          </w:tcPr>
          <w:p>
            <w:pPr>
              <w:widowControl/>
              <w:spacing w:line="240" w:lineRule="atLeast"/>
              <w:ind w:firstLine="0" w:firstLineChars="0"/>
              <w:jc w:val="center"/>
              <w:rPr>
                <w:sz w:val="21"/>
                <w:szCs w:val="21"/>
              </w:rPr>
            </w:pPr>
          </w:p>
        </w:tc>
        <w:tc>
          <w:tcPr>
            <w:tcW w:w="735"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粪大肠菌群</w:t>
            </w:r>
          </w:p>
        </w:tc>
        <w:tc>
          <w:tcPr>
            <w:tcW w:w="858" w:type="dxa"/>
            <w:vAlign w:val="center"/>
          </w:tcPr>
          <w:p>
            <w:pPr>
              <w:widowControl/>
              <w:spacing w:line="240" w:lineRule="atLeast"/>
              <w:ind w:firstLine="0" w:firstLineChars="0"/>
              <w:jc w:val="center"/>
              <w:rPr>
                <w:sz w:val="21"/>
                <w:szCs w:val="21"/>
              </w:rPr>
            </w:pPr>
            <w:r>
              <w:rPr>
                <w:rFonts w:hint="eastAsia"/>
                <w:color w:val="000000"/>
                <w:sz w:val="21"/>
                <w:szCs w:val="21"/>
              </w:rPr>
              <w:t>个</w:t>
            </w:r>
            <w:r>
              <w:rPr>
                <w:color w:val="000000"/>
                <w:sz w:val="21"/>
                <w:szCs w:val="21"/>
              </w:rPr>
              <w:t>/L</w:t>
            </w:r>
          </w:p>
        </w:tc>
        <w:tc>
          <w:tcPr>
            <w:tcW w:w="93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2.2×10</w:t>
            </w:r>
            <w:r>
              <w:rPr>
                <w:rFonts w:hint="eastAsia" w:eastAsiaTheme="minorEastAsia"/>
                <w:sz w:val="21"/>
                <w:szCs w:val="21"/>
                <w:vertAlign w:val="superscript"/>
              </w:rPr>
              <w:t>3</w:t>
            </w:r>
          </w:p>
        </w:tc>
        <w:tc>
          <w:tcPr>
            <w:tcW w:w="96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1.7×10</w:t>
            </w:r>
            <w:r>
              <w:rPr>
                <w:rFonts w:hint="eastAsia" w:eastAsiaTheme="minorEastAsia"/>
                <w:sz w:val="21"/>
                <w:szCs w:val="21"/>
                <w:vertAlign w:val="superscript"/>
              </w:rPr>
              <w:t>3</w:t>
            </w:r>
          </w:p>
        </w:tc>
        <w:tc>
          <w:tcPr>
            <w:tcW w:w="900" w:type="dxa"/>
            <w:vAlign w:val="center"/>
          </w:tcPr>
          <w:p>
            <w:pPr>
              <w:spacing w:line="240" w:lineRule="atLeast"/>
              <w:ind w:firstLine="0" w:firstLineChars="0"/>
              <w:jc w:val="center"/>
              <w:rPr>
                <w:rFonts w:eastAsiaTheme="minorEastAsia"/>
                <w:szCs w:val="21"/>
              </w:rPr>
            </w:pPr>
            <w:r>
              <w:rPr>
                <w:rFonts w:hint="eastAsia" w:eastAsiaTheme="minorEastAsia"/>
                <w:sz w:val="21"/>
                <w:szCs w:val="21"/>
              </w:rPr>
              <w:t>2.4×10</w:t>
            </w:r>
            <w:r>
              <w:rPr>
                <w:rFonts w:hint="eastAsia" w:eastAsiaTheme="minorEastAsia"/>
                <w:sz w:val="21"/>
                <w:szCs w:val="21"/>
                <w:vertAlign w:val="superscript"/>
              </w:rPr>
              <w:t>3</w:t>
            </w:r>
          </w:p>
        </w:tc>
        <w:tc>
          <w:tcPr>
            <w:tcW w:w="1020" w:type="dxa"/>
            <w:vAlign w:val="center"/>
          </w:tcPr>
          <w:p>
            <w:pPr>
              <w:spacing w:line="240" w:lineRule="atLeast"/>
              <w:ind w:firstLine="0" w:firstLineChars="0"/>
              <w:jc w:val="center"/>
              <w:rPr>
                <w:kern w:val="20"/>
                <w:sz w:val="21"/>
                <w:szCs w:val="20"/>
                <w:highlight w:val="yellow"/>
              </w:rPr>
            </w:pPr>
            <w:r>
              <w:rPr>
                <w:rFonts w:hint="eastAsia"/>
                <w:kern w:val="20"/>
                <w:sz w:val="21"/>
                <w:szCs w:val="20"/>
              </w:rPr>
              <w:t>/</w:t>
            </w:r>
          </w:p>
        </w:tc>
        <w:tc>
          <w:tcPr>
            <w:tcW w:w="1000" w:type="dxa"/>
            <w:vAlign w:val="center"/>
          </w:tcPr>
          <w:p>
            <w:pPr>
              <w:spacing w:line="240" w:lineRule="atLeast"/>
              <w:ind w:firstLine="0" w:firstLineChars="0"/>
              <w:jc w:val="center"/>
              <w:rPr>
                <w:kern w:val="20"/>
                <w:sz w:val="21"/>
                <w:szCs w:val="20"/>
              </w:rPr>
            </w:pPr>
            <w:r>
              <w:rPr>
                <w:rFonts w:hint="eastAsia"/>
                <w:kern w:val="20"/>
                <w:sz w:val="21"/>
                <w:szCs w:val="20"/>
              </w:rPr>
              <w:t>/</w:t>
            </w:r>
          </w:p>
        </w:tc>
        <w:tc>
          <w:tcPr>
            <w:tcW w:w="876" w:type="dxa"/>
            <w:vAlign w:val="center"/>
          </w:tcPr>
          <w:p>
            <w:pPr>
              <w:spacing w:line="240" w:lineRule="atLeast"/>
              <w:ind w:firstLine="0" w:firstLineChars="0"/>
              <w:jc w:val="center"/>
              <w:rPr>
                <w:kern w:val="20"/>
                <w:sz w:val="21"/>
                <w:szCs w:val="20"/>
                <w:highlight w:val="yellow"/>
              </w:rPr>
            </w:pPr>
            <w:r>
              <w:rPr>
                <w:kern w:val="20"/>
                <w:sz w:val="21"/>
                <w:szCs w:val="20"/>
              </w:rPr>
              <w:t>≤10000</w:t>
            </w:r>
          </w:p>
        </w:tc>
      </w:tr>
    </w:tbl>
    <w:p>
      <w:pPr>
        <w:spacing w:before="120" w:beforeLines="50"/>
        <w:ind w:firstLine="480"/>
        <w:rPr>
          <w:highlight w:val="yellow"/>
        </w:rPr>
      </w:pPr>
      <w:r>
        <w:rPr>
          <w:rFonts w:hint="eastAsia"/>
        </w:rPr>
        <w:t>据以上监测结果可知，南面水塘各监测因子均可达到《农田灌溉水质标准》（GB5084-2005）水作、旱作类标准中最严格限值；东南面农灌渠各监测因子均可达到《地表水环境质量标准》（GB3838-2002）III类标准。</w:t>
      </w:r>
    </w:p>
    <w:p>
      <w:pPr>
        <w:pStyle w:val="5"/>
        <w:spacing w:before="48" w:after="48"/>
      </w:pPr>
      <w:bookmarkStart w:id="167" w:name="_Toc468689172"/>
      <w:bookmarkStart w:id="168" w:name="_Toc489916028"/>
      <w:r>
        <w:rPr>
          <w:rFonts w:hint="eastAsia"/>
        </w:rPr>
        <w:t>3.2.2</w:t>
      </w:r>
      <w:r>
        <w:t>环境空气质量现状监测与评价</w:t>
      </w:r>
      <w:bookmarkEnd w:id="167"/>
      <w:bookmarkEnd w:id="168"/>
    </w:p>
    <w:p>
      <w:pPr>
        <w:spacing w:line="480" w:lineRule="exact"/>
        <w:ind w:firstLine="480"/>
        <w:rPr>
          <w:color w:val="000000"/>
          <w:lang w:bidi="ar"/>
        </w:rPr>
      </w:pPr>
      <w:r>
        <w:rPr>
          <w:rFonts w:hint="eastAsia"/>
          <w:color w:val="000000"/>
          <w:lang w:bidi="ar"/>
        </w:rPr>
        <w:t>为了解工程所在地的环境空气质量状况，本项目收集了2019年澧县环保局（坐标：</w:t>
      </w:r>
      <w:r>
        <w:rPr>
          <w:rFonts w:hint="eastAsia"/>
          <w:color w:val="000000"/>
          <w:kern w:val="0"/>
        </w:rPr>
        <w:t>东经111°45′7.74″，北纬29°37′51.87″</w:t>
      </w:r>
      <w:r>
        <w:rPr>
          <w:rFonts w:hint="eastAsia"/>
          <w:color w:val="000000"/>
          <w:lang w:bidi="ar"/>
        </w:rPr>
        <w:t>，位于本项目东南面约18.4km处）环境空气质量监测点位的常规监测数据，环境空气质量现状评价见表6.2-1、基本污染物环境质量现状详见表6.2-2。</w:t>
      </w:r>
    </w:p>
    <w:p>
      <w:pPr>
        <w:spacing w:line="480" w:lineRule="exact"/>
        <w:ind w:firstLine="422"/>
        <w:jc w:val="center"/>
        <w:rPr>
          <w:b/>
          <w:sz w:val="21"/>
          <w:szCs w:val="21"/>
        </w:rPr>
      </w:pPr>
      <w:r>
        <w:rPr>
          <w:rFonts w:hint="eastAsia"/>
          <w:b/>
          <w:sz w:val="21"/>
          <w:szCs w:val="21"/>
        </w:rPr>
        <w:t>表4-3    2019年澧县环保局环境空气质量现状评价表</w:t>
      </w:r>
    </w:p>
    <w:tbl>
      <w:tblPr>
        <w:tblStyle w:val="21"/>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0"/>
        <w:gridCol w:w="1863"/>
        <w:gridCol w:w="1826"/>
        <w:gridCol w:w="1406"/>
        <w:gridCol w:w="1406"/>
        <w:gridCol w:w="14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0"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污染物</w:t>
            </w:r>
          </w:p>
        </w:tc>
        <w:tc>
          <w:tcPr>
            <w:tcW w:w="1863"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年评价指标</w:t>
            </w:r>
          </w:p>
        </w:tc>
        <w:tc>
          <w:tcPr>
            <w:tcW w:w="1826" w:type="dxa"/>
            <w:vAlign w:val="center"/>
          </w:tcPr>
          <w:p>
            <w:pPr>
              <w:spacing w:line="300" w:lineRule="exact"/>
              <w:ind w:firstLine="0" w:firstLineChars="0"/>
              <w:jc w:val="center"/>
              <w:rPr>
                <w:bCs/>
                <w:color w:val="000000"/>
                <w:sz w:val="21"/>
                <w:szCs w:val="21"/>
                <w:lang w:bidi="ar"/>
              </w:rPr>
            </w:pPr>
            <w:r>
              <w:rPr>
                <w:bCs/>
                <w:color w:val="000000"/>
                <w:sz w:val="21"/>
                <w:szCs w:val="21"/>
                <w:lang w:bidi="ar"/>
              </w:rPr>
              <w:t>现状浓度/</w:t>
            </w:r>
          </w:p>
          <w:p>
            <w:pPr>
              <w:spacing w:line="300" w:lineRule="exact"/>
              <w:ind w:firstLine="0" w:firstLineChars="0"/>
              <w:jc w:val="center"/>
              <w:rPr>
                <w:bCs/>
                <w:color w:val="000000"/>
                <w:sz w:val="21"/>
                <w:szCs w:val="21"/>
                <w:lang w:bidi="ar"/>
              </w:rPr>
            </w:pPr>
            <w:r>
              <w:rPr>
                <w:bCs/>
                <w:color w:val="000000"/>
                <w:sz w:val="21"/>
                <w:szCs w:val="21"/>
                <w:lang w:bidi="ar"/>
              </w:rPr>
              <w:t>（mg/Nm</w:t>
            </w:r>
            <w:r>
              <w:rPr>
                <w:bCs/>
                <w:color w:val="000000"/>
                <w:sz w:val="21"/>
                <w:szCs w:val="21"/>
                <w:vertAlign w:val="superscript"/>
                <w:lang w:bidi="ar"/>
              </w:rPr>
              <w:t>3</w:t>
            </w:r>
            <w:r>
              <w:rPr>
                <w:bCs/>
                <w:color w:val="000000"/>
                <w:sz w:val="21"/>
                <w:szCs w:val="21"/>
                <w:lang w:bidi="ar"/>
              </w:rPr>
              <w:t>）</w:t>
            </w:r>
          </w:p>
        </w:tc>
        <w:tc>
          <w:tcPr>
            <w:tcW w:w="1406" w:type="dxa"/>
            <w:vAlign w:val="center"/>
          </w:tcPr>
          <w:p>
            <w:pPr>
              <w:spacing w:line="300" w:lineRule="exact"/>
              <w:ind w:firstLine="0" w:firstLineChars="0"/>
              <w:jc w:val="center"/>
              <w:rPr>
                <w:bCs/>
                <w:color w:val="000000"/>
                <w:sz w:val="21"/>
                <w:szCs w:val="21"/>
                <w:lang w:bidi="ar"/>
              </w:rPr>
            </w:pPr>
            <w:r>
              <w:rPr>
                <w:bCs/>
                <w:color w:val="000000"/>
                <w:sz w:val="21"/>
                <w:szCs w:val="21"/>
                <w:lang w:bidi="ar"/>
              </w:rPr>
              <w:t>标准值/（mg/Nm</w:t>
            </w:r>
            <w:r>
              <w:rPr>
                <w:bCs/>
                <w:color w:val="000000"/>
                <w:sz w:val="21"/>
                <w:szCs w:val="21"/>
                <w:vertAlign w:val="superscript"/>
                <w:lang w:bidi="ar"/>
              </w:rPr>
              <w:t>3</w:t>
            </w:r>
            <w:r>
              <w:rPr>
                <w:bCs/>
                <w:color w:val="000000"/>
                <w:sz w:val="21"/>
                <w:szCs w:val="21"/>
                <w:lang w:bidi="ar"/>
              </w:rPr>
              <w:t>）</w:t>
            </w:r>
          </w:p>
        </w:tc>
        <w:tc>
          <w:tcPr>
            <w:tcW w:w="1406"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占标率/%</w:t>
            </w:r>
          </w:p>
        </w:tc>
        <w:tc>
          <w:tcPr>
            <w:tcW w:w="1406"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SO</w:t>
            </w:r>
            <w:r>
              <w:rPr>
                <w:color w:val="000000"/>
                <w:spacing w:val="-4"/>
                <w:sz w:val="21"/>
                <w:szCs w:val="21"/>
                <w:vertAlign w:val="subscript"/>
              </w:rPr>
              <w:t>2</w:t>
            </w:r>
          </w:p>
        </w:tc>
        <w:tc>
          <w:tcPr>
            <w:tcW w:w="1863" w:type="dxa"/>
            <w:vMerge w:val="restart"/>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年平均质量浓度</w:t>
            </w:r>
            <w:r>
              <w:rPr>
                <w:rFonts w:hint="eastAsia"/>
                <w:bCs/>
                <w:color w:val="000000"/>
                <w:szCs w:val="21"/>
                <w:lang w:bidi="ar"/>
              </w:rPr>
              <w:t>/8h平均质量浓度</w:t>
            </w:r>
          </w:p>
        </w:tc>
        <w:tc>
          <w:tcPr>
            <w:tcW w:w="1826" w:type="dxa"/>
            <w:vAlign w:val="center"/>
          </w:tcPr>
          <w:p>
            <w:pPr>
              <w:spacing w:line="300" w:lineRule="exact"/>
              <w:ind w:firstLine="0" w:firstLineChars="0"/>
              <w:jc w:val="center"/>
              <w:rPr>
                <w:bCs/>
                <w:color w:val="0000FF"/>
                <w:sz w:val="21"/>
                <w:szCs w:val="21"/>
                <w:lang w:bidi="ar"/>
              </w:rPr>
            </w:pPr>
            <w:r>
              <w:rPr>
                <w:color w:val="000000"/>
                <w:sz w:val="21"/>
                <w:szCs w:val="21"/>
              </w:rPr>
              <w:t>0.0</w:t>
            </w:r>
            <w:r>
              <w:rPr>
                <w:rFonts w:hint="eastAsia"/>
                <w:color w:val="000000"/>
                <w:sz w:val="21"/>
                <w:szCs w:val="21"/>
              </w:rPr>
              <w:t>08</w:t>
            </w:r>
          </w:p>
        </w:tc>
        <w:tc>
          <w:tcPr>
            <w:tcW w:w="1406" w:type="dxa"/>
            <w:vAlign w:val="center"/>
          </w:tcPr>
          <w:p>
            <w:pPr>
              <w:spacing w:line="300" w:lineRule="exact"/>
              <w:ind w:firstLine="0" w:firstLineChars="0"/>
              <w:jc w:val="center"/>
              <w:rPr>
                <w:bCs/>
                <w:color w:val="000000"/>
                <w:sz w:val="21"/>
                <w:szCs w:val="21"/>
                <w:lang w:bidi="ar"/>
              </w:rPr>
            </w:pPr>
            <w:r>
              <w:rPr>
                <w:color w:val="000000"/>
                <w:sz w:val="21"/>
                <w:szCs w:val="21"/>
              </w:rPr>
              <w:t>0.06</w:t>
            </w:r>
          </w:p>
        </w:tc>
        <w:tc>
          <w:tcPr>
            <w:tcW w:w="1406" w:type="dxa"/>
            <w:vAlign w:val="center"/>
          </w:tcPr>
          <w:p>
            <w:pPr>
              <w:pStyle w:val="20"/>
              <w:spacing w:after="0" w:line="300" w:lineRule="exact"/>
              <w:ind w:left="0" w:leftChars="0" w:firstLine="0" w:firstLineChars="0"/>
              <w:jc w:val="center"/>
              <w:rPr>
                <w:bCs/>
                <w:color w:val="0000FF"/>
                <w:szCs w:val="21"/>
                <w:highlight w:val="yellow"/>
                <w:lang w:bidi="ar"/>
              </w:rPr>
            </w:pPr>
            <w:r>
              <w:rPr>
                <w:rFonts w:hint="eastAsia"/>
                <w:bCs/>
                <w:color w:val="000000"/>
                <w:szCs w:val="21"/>
                <w:lang w:bidi="ar"/>
              </w:rPr>
              <w:t>13.33</w:t>
            </w:r>
          </w:p>
        </w:tc>
        <w:tc>
          <w:tcPr>
            <w:tcW w:w="1406" w:type="dxa"/>
            <w:vMerge w:val="restart"/>
            <w:vAlign w:val="center"/>
          </w:tcPr>
          <w:p>
            <w:pPr>
              <w:pStyle w:val="20"/>
              <w:spacing w:after="0" w:line="300" w:lineRule="exact"/>
              <w:ind w:left="0" w:leftChars="0" w:firstLine="0" w:firstLineChars="0"/>
              <w:jc w:val="center"/>
              <w:rPr>
                <w:bCs/>
                <w:color w:val="0000FF"/>
                <w:szCs w:val="21"/>
                <w:lang w:bidi="ar"/>
              </w:rPr>
            </w:pPr>
            <w:r>
              <w:rPr>
                <w:bCs/>
                <w:color w:val="000000"/>
                <w:szCs w:val="21"/>
                <w:lang w:bidi="ar"/>
              </w:rPr>
              <w:t>不达标区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NO</w:t>
            </w:r>
            <w:r>
              <w:rPr>
                <w:color w:val="000000"/>
                <w:spacing w:val="-4"/>
                <w:sz w:val="21"/>
                <w:szCs w:val="21"/>
                <w:vertAlign w:val="subscript"/>
              </w:rPr>
              <w:t>2</w:t>
            </w:r>
          </w:p>
        </w:tc>
        <w:tc>
          <w:tcPr>
            <w:tcW w:w="1863" w:type="dxa"/>
            <w:vMerge w:val="continue"/>
            <w:vAlign w:val="center"/>
          </w:tcPr>
          <w:p>
            <w:pPr>
              <w:pStyle w:val="20"/>
              <w:spacing w:after="0" w:line="300" w:lineRule="exact"/>
              <w:ind w:left="0" w:leftChars="0" w:firstLine="0" w:firstLineChars="0"/>
              <w:jc w:val="center"/>
              <w:rPr>
                <w:bCs/>
                <w:color w:val="0000FF"/>
                <w:szCs w:val="21"/>
                <w:highlight w:val="yellow"/>
                <w:lang w:bidi="ar"/>
              </w:rPr>
            </w:pPr>
          </w:p>
        </w:tc>
        <w:tc>
          <w:tcPr>
            <w:tcW w:w="1826" w:type="dxa"/>
            <w:vAlign w:val="center"/>
          </w:tcPr>
          <w:p>
            <w:pPr>
              <w:spacing w:line="300" w:lineRule="exact"/>
              <w:ind w:firstLine="0" w:firstLineChars="0"/>
              <w:jc w:val="center"/>
              <w:rPr>
                <w:bCs/>
                <w:color w:val="0000FF"/>
                <w:sz w:val="21"/>
                <w:szCs w:val="21"/>
                <w:lang w:bidi="ar"/>
              </w:rPr>
            </w:pPr>
            <w:r>
              <w:rPr>
                <w:color w:val="000000"/>
                <w:sz w:val="21"/>
                <w:szCs w:val="21"/>
              </w:rPr>
              <w:t>0.0</w:t>
            </w:r>
            <w:r>
              <w:rPr>
                <w:rFonts w:hint="eastAsia"/>
                <w:color w:val="000000"/>
                <w:sz w:val="21"/>
                <w:szCs w:val="21"/>
              </w:rPr>
              <w:t>16</w:t>
            </w:r>
          </w:p>
        </w:tc>
        <w:tc>
          <w:tcPr>
            <w:tcW w:w="1406" w:type="dxa"/>
            <w:vAlign w:val="center"/>
          </w:tcPr>
          <w:p>
            <w:pPr>
              <w:spacing w:line="300" w:lineRule="exact"/>
              <w:ind w:firstLine="0" w:firstLineChars="0"/>
              <w:jc w:val="center"/>
              <w:rPr>
                <w:bCs/>
                <w:color w:val="000000"/>
                <w:sz w:val="21"/>
                <w:szCs w:val="21"/>
                <w:lang w:bidi="ar"/>
              </w:rPr>
            </w:pPr>
            <w:r>
              <w:rPr>
                <w:color w:val="000000"/>
                <w:spacing w:val="-4"/>
                <w:sz w:val="21"/>
                <w:szCs w:val="21"/>
              </w:rPr>
              <w:t>0.04</w:t>
            </w:r>
          </w:p>
        </w:tc>
        <w:tc>
          <w:tcPr>
            <w:tcW w:w="1406" w:type="dxa"/>
            <w:vAlign w:val="center"/>
          </w:tcPr>
          <w:p>
            <w:pPr>
              <w:pStyle w:val="20"/>
              <w:spacing w:after="0" w:line="300" w:lineRule="exact"/>
              <w:ind w:left="0" w:leftChars="0" w:firstLine="0" w:firstLineChars="0"/>
              <w:jc w:val="center"/>
              <w:rPr>
                <w:bCs/>
                <w:color w:val="0000FF"/>
                <w:szCs w:val="21"/>
                <w:highlight w:val="yellow"/>
                <w:lang w:bidi="ar"/>
              </w:rPr>
            </w:pPr>
            <w:r>
              <w:rPr>
                <w:rFonts w:hint="eastAsia"/>
                <w:bCs/>
                <w:color w:val="000000"/>
                <w:szCs w:val="21"/>
                <w:lang w:bidi="ar"/>
              </w:rPr>
              <w:t>40</w:t>
            </w:r>
          </w:p>
        </w:tc>
        <w:tc>
          <w:tcPr>
            <w:tcW w:w="1406" w:type="dxa"/>
            <w:vMerge w:val="continue"/>
            <w:vAlign w:val="center"/>
          </w:tcPr>
          <w:p>
            <w:pPr>
              <w:pStyle w:val="20"/>
              <w:spacing w:after="0" w:line="300" w:lineRule="exact"/>
              <w:ind w:left="0" w:leftChars="0" w:firstLine="0" w:firstLineChars="0"/>
              <w:jc w:val="center"/>
              <w:rPr>
                <w:bCs/>
                <w:color w:val="0000FF"/>
                <w:szCs w:val="21"/>
                <w:highlight w:val="yellow"/>
                <w:lang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PM</w:t>
            </w:r>
            <w:r>
              <w:rPr>
                <w:color w:val="000000"/>
                <w:spacing w:val="-4"/>
                <w:sz w:val="21"/>
                <w:szCs w:val="21"/>
                <w:vertAlign w:val="subscript"/>
              </w:rPr>
              <w:t>10</w:t>
            </w:r>
          </w:p>
        </w:tc>
        <w:tc>
          <w:tcPr>
            <w:tcW w:w="1863" w:type="dxa"/>
            <w:vMerge w:val="continue"/>
            <w:vAlign w:val="center"/>
          </w:tcPr>
          <w:p>
            <w:pPr>
              <w:pStyle w:val="20"/>
              <w:spacing w:after="0" w:line="300" w:lineRule="exact"/>
              <w:ind w:left="0" w:leftChars="0" w:firstLine="0" w:firstLineChars="0"/>
              <w:jc w:val="center"/>
              <w:rPr>
                <w:bCs/>
                <w:color w:val="0000FF"/>
                <w:szCs w:val="21"/>
                <w:highlight w:val="yellow"/>
                <w:lang w:bidi="ar"/>
              </w:rPr>
            </w:pPr>
          </w:p>
        </w:tc>
        <w:tc>
          <w:tcPr>
            <w:tcW w:w="1826" w:type="dxa"/>
            <w:vAlign w:val="center"/>
          </w:tcPr>
          <w:p>
            <w:pPr>
              <w:spacing w:line="300" w:lineRule="exact"/>
              <w:ind w:firstLine="0" w:firstLineChars="0"/>
              <w:jc w:val="center"/>
              <w:rPr>
                <w:bCs/>
                <w:color w:val="0000FF"/>
                <w:sz w:val="21"/>
                <w:szCs w:val="21"/>
                <w:highlight w:val="yellow"/>
                <w:lang w:bidi="ar"/>
              </w:rPr>
            </w:pPr>
            <w:r>
              <w:rPr>
                <w:color w:val="000000"/>
                <w:sz w:val="21"/>
                <w:szCs w:val="21"/>
              </w:rPr>
              <w:t>0.0</w:t>
            </w:r>
            <w:r>
              <w:rPr>
                <w:rFonts w:hint="eastAsia"/>
                <w:color w:val="000000"/>
                <w:sz w:val="21"/>
                <w:szCs w:val="21"/>
              </w:rPr>
              <w:t>65</w:t>
            </w:r>
          </w:p>
        </w:tc>
        <w:tc>
          <w:tcPr>
            <w:tcW w:w="1406" w:type="dxa"/>
            <w:vAlign w:val="center"/>
          </w:tcPr>
          <w:p>
            <w:pPr>
              <w:spacing w:line="300" w:lineRule="exact"/>
              <w:ind w:firstLine="0" w:firstLineChars="0"/>
              <w:jc w:val="center"/>
              <w:rPr>
                <w:bCs/>
                <w:color w:val="000000"/>
                <w:sz w:val="21"/>
                <w:szCs w:val="21"/>
                <w:lang w:bidi="ar"/>
              </w:rPr>
            </w:pPr>
            <w:r>
              <w:rPr>
                <w:color w:val="000000"/>
                <w:spacing w:val="-4"/>
                <w:sz w:val="21"/>
                <w:szCs w:val="21"/>
              </w:rPr>
              <w:t>0.07</w:t>
            </w:r>
          </w:p>
        </w:tc>
        <w:tc>
          <w:tcPr>
            <w:tcW w:w="1406" w:type="dxa"/>
            <w:vAlign w:val="center"/>
          </w:tcPr>
          <w:p>
            <w:pPr>
              <w:pStyle w:val="20"/>
              <w:spacing w:after="0" w:line="300" w:lineRule="exact"/>
              <w:ind w:left="0" w:leftChars="0" w:firstLine="0" w:firstLineChars="0"/>
              <w:jc w:val="center"/>
              <w:rPr>
                <w:bCs/>
                <w:color w:val="0000FF"/>
                <w:szCs w:val="21"/>
                <w:lang w:bidi="ar"/>
              </w:rPr>
            </w:pPr>
            <w:r>
              <w:rPr>
                <w:rFonts w:hint="eastAsia"/>
                <w:bCs/>
                <w:color w:val="000000"/>
                <w:szCs w:val="21"/>
                <w:lang w:bidi="ar"/>
              </w:rPr>
              <w:t>92.86</w:t>
            </w:r>
          </w:p>
        </w:tc>
        <w:tc>
          <w:tcPr>
            <w:tcW w:w="1406" w:type="dxa"/>
            <w:vMerge w:val="continue"/>
            <w:vAlign w:val="center"/>
          </w:tcPr>
          <w:p>
            <w:pPr>
              <w:pStyle w:val="20"/>
              <w:spacing w:after="0" w:line="300" w:lineRule="exact"/>
              <w:ind w:left="0" w:leftChars="0" w:firstLine="0" w:firstLineChars="0"/>
              <w:jc w:val="center"/>
              <w:rPr>
                <w:bCs/>
                <w:color w:val="0000FF"/>
                <w:szCs w:val="21"/>
                <w:highlight w:val="yellow"/>
                <w:lang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PM</w:t>
            </w:r>
            <w:r>
              <w:rPr>
                <w:color w:val="000000"/>
                <w:spacing w:val="-4"/>
                <w:sz w:val="21"/>
                <w:szCs w:val="21"/>
                <w:vertAlign w:val="subscript"/>
              </w:rPr>
              <w:t>2.5</w:t>
            </w:r>
          </w:p>
        </w:tc>
        <w:tc>
          <w:tcPr>
            <w:tcW w:w="1863" w:type="dxa"/>
            <w:vMerge w:val="continue"/>
            <w:vAlign w:val="center"/>
          </w:tcPr>
          <w:p>
            <w:pPr>
              <w:pStyle w:val="20"/>
              <w:spacing w:after="0" w:line="300" w:lineRule="exact"/>
              <w:ind w:left="0" w:leftChars="0" w:firstLine="0" w:firstLineChars="0"/>
              <w:jc w:val="center"/>
              <w:rPr>
                <w:bCs/>
                <w:color w:val="0000FF"/>
                <w:szCs w:val="21"/>
                <w:highlight w:val="yellow"/>
                <w:lang w:bidi="ar"/>
              </w:rPr>
            </w:pPr>
          </w:p>
        </w:tc>
        <w:tc>
          <w:tcPr>
            <w:tcW w:w="1826" w:type="dxa"/>
            <w:vAlign w:val="center"/>
          </w:tcPr>
          <w:p>
            <w:pPr>
              <w:spacing w:line="300" w:lineRule="exact"/>
              <w:ind w:firstLine="0" w:firstLineChars="0"/>
              <w:jc w:val="center"/>
              <w:rPr>
                <w:bCs/>
                <w:color w:val="0000FF"/>
                <w:sz w:val="21"/>
                <w:szCs w:val="21"/>
                <w:highlight w:val="yellow"/>
                <w:lang w:bidi="ar"/>
              </w:rPr>
            </w:pPr>
            <w:r>
              <w:rPr>
                <w:color w:val="000000"/>
                <w:sz w:val="21"/>
                <w:szCs w:val="21"/>
              </w:rPr>
              <w:t>0.04</w:t>
            </w:r>
            <w:r>
              <w:rPr>
                <w:rFonts w:hint="eastAsia"/>
                <w:color w:val="000000"/>
                <w:sz w:val="21"/>
                <w:szCs w:val="21"/>
              </w:rPr>
              <w:t>2</w:t>
            </w:r>
          </w:p>
        </w:tc>
        <w:tc>
          <w:tcPr>
            <w:tcW w:w="1406" w:type="dxa"/>
            <w:vAlign w:val="center"/>
          </w:tcPr>
          <w:p>
            <w:pPr>
              <w:spacing w:line="300" w:lineRule="exact"/>
              <w:ind w:firstLine="0" w:firstLineChars="0"/>
              <w:jc w:val="center"/>
              <w:rPr>
                <w:bCs/>
                <w:color w:val="000000"/>
                <w:sz w:val="21"/>
                <w:szCs w:val="21"/>
                <w:lang w:bidi="ar"/>
              </w:rPr>
            </w:pPr>
            <w:r>
              <w:rPr>
                <w:color w:val="000000"/>
                <w:spacing w:val="-4"/>
                <w:sz w:val="21"/>
                <w:szCs w:val="21"/>
              </w:rPr>
              <w:t>0.035</w:t>
            </w:r>
          </w:p>
        </w:tc>
        <w:tc>
          <w:tcPr>
            <w:tcW w:w="1406" w:type="dxa"/>
            <w:vAlign w:val="center"/>
          </w:tcPr>
          <w:p>
            <w:pPr>
              <w:pStyle w:val="20"/>
              <w:spacing w:after="0" w:line="300" w:lineRule="exact"/>
              <w:ind w:left="0" w:leftChars="0" w:firstLine="0" w:firstLineChars="0"/>
              <w:jc w:val="center"/>
              <w:rPr>
                <w:bCs/>
                <w:color w:val="0000FF"/>
                <w:szCs w:val="21"/>
                <w:lang w:bidi="ar"/>
              </w:rPr>
            </w:pPr>
            <w:r>
              <w:rPr>
                <w:rFonts w:hint="eastAsia"/>
                <w:bCs/>
                <w:color w:val="000000"/>
                <w:szCs w:val="21"/>
                <w:lang w:bidi="ar"/>
              </w:rPr>
              <w:t>120</w:t>
            </w:r>
          </w:p>
        </w:tc>
        <w:tc>
          <w:tcPr>
            <w:tcW w:w="1406" w:type="dxa"/>
            <w:vMerge w:val="continue"/>
            <w:vAlign w:val="center"/>
          </w:tcPr>
          <w:p>
            <w:pPr>
              <w:pStyle w:val="20"/>
              <w:spacing w:after="0" w:line="300" w:lineRule="exact"/>
              <w:ind w:left="0" w:leftChars="0" w:firstLine="0" w:firstLineChars="0"/>
              <w:jc w:val="center"/>
              <w:rPr>
                <w:bCs/>
                <w:color w:val="0000FF"/>
                <w:szCs w:val="21"/>
                <w:highlight w:val="yellow"/>
                <w:lang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CO</w:t>
            </w:r>
          </w:p>
        </w:tc>
        <w:tc>
          <w:tcPr>
            <w:tcW w:w="1863" w:type="dxa"/>
            <w:vMerge w:val="continue"/>
            <w:vAlign w:val="center"/>
          </w:tcPr>
          <w:p>
            <w:pPr>
              <w:pStyle w:val="20"/>
              <w:spacing w:after="0" w:line="300" w:lineRule="exact"/>
              <w:ind w:left="0" w:leftChars="0" w:firstLine="0" w:firstLineChars="0"/>
              <w:jc w:val="center"/>
              <w:rPr>
                <w:bCs/>
                <w:color w:val="0000FF"/>
                <w:szCs w:val="21"/>
                <w:highlight w:val="yellow"/>
                <w:lang w:bidi="ar"/>
              </w:rPr>
            </w:pPr>
          </w:p>
        </w:tc>
        <w:tc>
          <w:tcPr>
            <w:tcW w:w="1826" w:type="dxa"/>
            <w:vAlign w:val="center"/>
          </w:tcPr>
          <w:p>
            <w:pPr>
              <w:spacing w:line="300" w:lineRule="exact"/>
              <w:ind w:firstLine="0" w:firstLineChars="0"/>
              <w:jc w:val="center"/>
              <w:rPr>
                <w:bCs/>
                <w:color w:val="0000FF"/>
                <w:sz w:val="21"/>
                <w:szCs w:val="21"/>
                <w:lang w:bidi="ar"/>
              </w:rPr>
            </w:pPr>
            <w:r>
              <w:rPr>
                <w:color w:val="000000"/>
                <w:sz w:val="21"/>
                <w:szCs w:val="21"/>
              </w:rPr>
              <w:t>0.</w:t>
            </w:r>
            <w:r>
              <w:rPr>
                <w:rFonts w:hint="eastAsia"/>
                <w:color w:val="000000"/>
                <w:sz w:val="21"/>
                <w:szCs w:val="21"/>
              </w:rPr>
              <w:t>7</w:t>
            </w:r>
          </w:p>
        </w:tc>
        <w:tc>
          <w:tcPr>
            <w:tcW w:w="1406" w:type="dxa"/>
            <w:vAlign w:val="center"/>
          </w:tcPr>
          <w:p>
            <w:pPr>
              <w:spacing w:line="320" w:lineRule="exact"/>
              <w:ind w:firstLine="0" w:firstLineChars="0"/>
              <w:jc w:val="center"/>
              <w:rPr>
                <w:bCs/>
                <w:color w:val="000000"/>
                <w:sz w:val="21"/>
                <w:szCs w:val="21"/>
                <w:lang w:bidi="ar"/>
              </w:rPr>
            </w:pPr>
            <w:r>
              <w:rPr>
                <w:rFonts w:hint="eastAsia"/>
                <w:color w:val="000000"/>
                <w:spacing w:val="-4"/>
                <w:sz w:val="21"/>
                <w:szCs w:val="21"/>
              </w:rPr>
              <w:t>4</w:t>
            </w:r>
          </w:p>
        </w:tc>
        <w:tc>
          <w:tcPr>
            <w:tcW w:w="1406" w:type="dxa"/>
            <w:vAlign w:val="center"/>
          </w:tcPr>
          <w:p>
            <w:pPr>
              <w:spacing w:line="320" w:lineRule="exact"/>
              <w:ind w:firstLine="0" w:firstLineChars="0"/>
              <w:jc w:val="center"/>
              <w:rPr>
                <w:bCs/>
                <w:color w:val="0000FF"/>
                <w:sz w:val="21"/>
                <w:szCs w:val="21"/>
                <w:lang w:bidi="ar"/>
              </w:rPr>
            </w:pPr>
            <w:r>
              <w:rPr>
                <w:rFonts w:hint="eastAsia"/>
                <w:color w:val="000000"/>
                <w:spacing w:val="-4"/>
                <w:sz w:val="21"/>
                <w:szCs w:val="21"/>
              </w:rPr>
              <w:t>17.5</w:t>
            </w:r>
          </w:p>
        </w:tc>
        <w:tc>
          <w:tcPr>
            <w:tcW w:w="1406" w:type="dxa"/>
            <w:vMerge w:val="continue"/>
            <w:vAlign w:val="center"/>
          </w:tcPr>
          <w:p>
            <w:pPr>
              <w:spacing w:line="300" w:lineRule="exact"/>
              <w:ind w:firstLine="420"/>
              <w:jc w:val="center"/>
              <w:rPr>
                <w:bCs/>
                <w:color w:val="0000FF"/>
                <w:sz w:val="21"/>
                <w:szCs w:val="21"/>
                <w:highlight w:val="yellow"/>
                <w:lang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O</w:t>
            </w:r>
            <w:r>
              <w:rPr>
                <w:color w:val="000000"/>
                <w:spacing w:val="-4"/>
                <w:sz w:val="21"/>
                <w:szCs w:val="21"/>
                <w:vertAlign w:val="subscript"/>
              </w:rPr>
              <w:t>3</w:t>
            </w:r>
          </w:p>
        </w:tc>
        <w:tc>
          <w:tcPr>
            <w:tcW w:w="1863" w:type="dxa"/>
            <w:vMerge w:val="continue"/>
            <w:vAlign w:val="center"/>
          </w:tcPr>
          <w:p>
            <w:pPr>
              <w:pStyle w:val="20"/>
              <w:spacing w:after="0" w:line="300" w:lineRule="exact"/>
              <w:ind w:left="0" w:leftChars="0" w:firstLine="0" w:firstLineChars="0"/>
              <w:jc w:val="center"/>
              <w:rPr>
                <w:bCs/>
                <w:color w:val="0000FF"/>
                <w:szCs w:val="21"/>
                <w:highlight w:val="yellow"/>
                <w:lang w:bidi="ar"/>
              </w:rPr>
            </w:pPr>
          </w:p>
        </w:tc>
        <w:tc>
          <w:tcPr>
            <w:tcW w:w="1826" w:type="dxa"/>
            <w:vAlign w:val="center"/>
          </w:tcPr>
          <w:p>
            <w:pPr>
              <w:spacing w:line="300" w:lineRule="exact"/>
              <w:ind w:firstLine="0" w:firstLineChars="0"/>
              <w:jc w:val="center"/>
              <w:rPr>
                <w:bCs/>
                <w:color w:val="0000FF"/>
                <w:sz w:val="21"/>
                <w:szCs w:val="21"/>
                <w:lang w:bidi="ar"/>
              </w:rPr>
            </w:pPr>
            <w:r>
              <w:rPr>
                <w:color w:val="000000"/>
                <w:sz w:val="21"/>
                <w:szCs w:val="21"/>
              </w:rPr>
              <w:t>0.0</w:t>
            </w:r>
            <w:r>
              <w:rPr>
                <w:rFonts w:hint="eastAsia"/>
                <w:color w:val="000000"/>
                <w:sz w:val="21"/>
                <w:szCs w:val="21"/>
              </w:rPr>
              <w:t>97</w:t>
            </w:r>
          </w:p>
        </w:tc>
        <w:tc>
          <w:tcPr>
            <w:tcW w:w="1406" w:type="dxa"/>
            <w:vAlign w:val="center"/>
          </w:tcPr>
          <w:p>
            <w:pPr>
              <w:spacing w:line="320" w:lineRule="exact"/>
              <w:ind w:firstLine="0" w:firstLineChars="0"/>
              <w:jc w:val="center"/>
              <w:rPr>
                <w:bCs/>
                <w:color w:val="000000"/>
                <w:sz w:val="21"/>
                <w:szCs w:val="21"/>
                <w:lang w:bidi="ar"/>
              </w:rPr>
            </w:pPr>
            <w:r>
              <w:rPr>
                <w:rFonts w:hint="eastAsia"/>
                <w:color w:val="000000"/>
                <w:spacing w:val="-4"/>
                <w:sz w:val="21"/>
                <w:szCs w:val="21"/>
              </w:rPr>
              <w:t>0.16</w:t>
            </w:r>
          </w:p>
        </w:tc>
        <w:tc>
          <w:tcPr>
            <w:tcW w:w="1406" w:type="dxa"/>
            <w:vAlign w:val="center"/>
          </w:tcPr>
          <w:p>
            <w:pPr>
              <w:spacing w:line="320" w:lineRule="exact"/>
              <w:ind w:firstLine="0" w:firstLineChars="0"/>
              <w:jc w:val="center"/>
              <w:rPr>
                <w:bCs/>
                <w:color w:val="0000FF"/>
                <w:sz w:val="21"/>
                <w:szCs w:val="21"/>
                <w:lang w:bidi="ar"/>
              </w:rPr>
            </w:pPr>
            <w:r>
              <w:rPr>
                <w:rFonts w:hint="eastAsia"/>
                <w:color w:val="000000"/>
                <w:spacing w:val="-4"/>
                <w:sz w:val="21"/>
                <w:szCs w:val="21"/>
              </w:rPr>
              <w:t>60.63</w:t>
            </w:r>
          </w:p>
        </w:tc>
        <w:tc>
          <w:tcPr>
            <w:tcW w:w="1406" w:type="dxa"/>
            <w:vMerge w:val="continue"/>
            <w:vAlign w:val="center"/>
          </w:tcPr>
          <w:p>
            <w:pPr>
              <w:spacing w:line="300" w:lineRule="exact"/>
              <w:ind w:firstLine="420"/>
              <w:jc w:val="center"/>
              <w:rPr>
                <w:bCs/>
                <w:color w:val="0000FF"/>
                <w:sz w:val="21"/>
                <w:szCs w:val="21"/>
                <w:highlight w:val="yellow"/>
                <w:lang w:bidi="ar"/>
              </w:rPr>
            </w:pPr>
          </w:p>
        </w:tc>
      </w:tr>
    </w:tbl>
    <w:p>
      <w:pPr>
        <w:spacing w:line="360" w:lineRule="exact"/>
        <w:ind w:firstLine="420"/>
        <w:jc w:val="left"/>
        <w:rPr>
          <w:b/>
          <w:color w:val="0000FF"/>
          <w:lang w:bidi="ar"/>
        </w:rPr>
      </w:pPr>
      <w:r>
        <w:rPr>
          <w:rFonts w:hint="eastAsia"/>
          <w:color w:val="000000"/>
          <w:sz w:val="21"/>
          <w:szCs w:val="21"/>
        </w:rPr>
        <w:t>备注：根据《环境空气质量评价技术规范（试行）》（</w:t>
      </w:r>
      <w:r>
        <w:rPr>
          <w:color w:val="000000"/>
          <w:sz w:val="21"/>
          <w:szCs w:val="21"/>
        </w:rPr>
        <w:t>HJ633-2013</w:t>
      </w:r>
      <w:r>
        <w:rPr>
          <w:rFonts w:hint="eastAsia"/>
          <w:color w:val="000000"/>
          <w:sz w:val="21"/>
          <w:szCs w:val="21"/>
        </w:rPr>
        <w:t>），</w:t>
      </w:r>
      <w:r>
        <w:rPr>
          <w:color w:val="000000"/>
          <w:sz w:val="21"/>
          <w:szCs w:val="21"/>
        </w:rPr>
        <w:t>CO</w:t>
      </w:r>
      <w:r>
        <w:rPr>
          <w:rFonts w:hint="eastAsia"/>
          <w:color w:val="000000"/>
          <w:sz w:val="21"/>
          <w:szCs w:val="21"/>
        </w:rPr>
        <w:t xml:space="preserve">取城市日均值百分之 </w:t>
      </w:r>
      <w:r>
        <w:rPr>
          <w:color w:val="000000"/>
          <w:sz w:val="21"/>
          <w:szCs w:val="21"/>
        </w:rPr>
        <w:t>95</w:t>
      </w:r>
      <w:r>
        <w:rPr>
          <w:rFonts w:hint="eastAsia"/>
          <w:color w:val="000000"/>
          <w:sz w:val="21"/>
          <w:szCs w:val="21"/>
        </w:rPr>
        <w:t>位数。</w:t>
      </w:r>
    </w:p>
    <w:p>
      <w:pPr>
        <w:spacing w:line="480" w:lineRule="exact"/>
        <w:ind w:firstLine="422"/>
        <w:jc w:val="center"/>
        <w:rPr>
          <w:b/>
          <w:sz w:val="21"/>
          <w:szCs w:val="21"/>
        </w:rPr>
      </w:pPr>
      <w:r>
        <w:rPr>
          <w:rFonts w:hint="eastAsia"/>
          <w:b/>
          <w:sz w:val="21"/>
          <w:szCs w:val="21"/>
        </w:rPr>
        <w:t>表4-4   2019年基本污染物环境质量现状</w:t>
      </w:r>
    </w:p>
    <w:tbl>
      <w:tblPr>
        <w:tblStyle w:val="21"/>
        <w:tblW w:w="905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1"/>
        <w:gridCol w:w="1150"/>
        <w:gridCol w:w="2028"/>
        <w:gridCol w:w="1435"/>
        <w:gridCol w:w="1347"/>
        <w:gridCol w:w="1052"/>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点位</w:t>
            </w:r>
          </w:p>
          <w:p>
            <w:pPr>
              <w:pStyle w:val="20"/>
              <w:spacing w:after="0" w:line="300" w:lineRule="exact"/>
              <w:ind w:left="0" w:leftChars="0" w:firstLine="0" w:firstLineChars="0"/>
              <w:jc w:val="center"/>
              <w:rPr>
                <w:bCs/>
                <w:color w:val="000000"/>
                <w:szCs w:val="21"/>
                <w:lang w:bidi="ar"/>
              </w:rPr>
            </w:pPr>
            <w:r>
              <w:rPr>
                <w:bCs/>
                <w:color w:val="000000"/>
                <w:szCs w:val="21"/>
                <w:lang w:bidi="ar"/>
              </w:rPr>
              <w:t>名称</w:t>
            </w:r>
          </w:p>
        </w:tc>
        <w:tc>
          <w:tcPr>
            <w:tcW w:w="1150"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污染物</w:t>
            </w:r>
          </w:p>
        </w:tc>
        <w:tc>
          <w:tcPr>
            <w:tcW w:w="2028"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年评价指标</w:t>
            </w:r>
          </w:p>
        </w:tc>
        <w:tc>
          <w:tcPr>
            <w:tcW w:w="1435"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评价标准/（mg/Nm</w:t>
            </w:r>
            <w:r>
              <w:rPr>
                <w:bCs/>
                <w:color w:val="000000"/>
                <w:szCs w:val="21"/>
                <w:vertAlign w:val="superscript"/>
                <w:lang w:bidi="ar"/>
              </w:rPr>
              <w:t>3</w:t>
            </w:r>
            <w:r>
              <w:rPr>
                <w:bCs/>
                <w:color w:val="000000"/>
                <w:szCs w:val="21"/>
                <w:lang w:bidi="ar"/>
              </w:rPr>
              <w:t>）</w:t>
            </w:r>
          </w:p>
        </w:tc>
        <w:tc>
          <w:tcPr>
            <w:tcW w:w="1347" w:type="dxa"/>
            <w:vAlign w:val="center"/>
          </w:tcPr>
          <w:p>
            <w:pPr>
              <w:spacing w:line="300" w:lineRule="exact"/>
              <w:ind w:firstLine="0" w:firstLineChars="0"/>
              <w:rPr>
                <w:bCs/>
                <w:color w:val="000000"/>
                <w:sz w:val="21"/>
                <w:szCs w:val="21"/>
                <w:lang w:bidi="ar"/>
              </w:rPr>
            </w:pPr>
            <w:r>
              <w:rPr>
                <w:bCs/>
                <w:color w:val="000000"/>
                <w:sz w:val="21"/>
                <w:szCs w:val="21"/>
                <w:lang w:bidi="ar"/>
              </w:rPr>
              <w:t>现状浓度/</w:t>
            </w:r>
          </w:p>
          <w:p>
            <w:pPr>
              <w:pStyle w:val="20"/>
              <w:spacing w:after="0" w:line="300" w:lineRule="exact"/>
              <w:ind w:left="0" w:leftChars="0" w:firstLine="0" w:firstLineChars="0"/>
              <w:jc w:val="center"/>
              <w:rPr>
                <w:bCs/>
                <w:color w:val="000000"/>
                <w:szCs w:val="21"/>
                <w:lang w:bidi="ar"/>
              </w:rPr>
            </w:pPr>
            <w:r>
              <w:rPr>
                <w:bCs/>
                <w:color w:val="000000"/>
                <w:szCs w:val="21"/>
                <w:lang w:bidi="ar"/>
              </w:rPr>
              <w:t>（mg/Nm</w:t>
            </w:r>
            <w:r>
              <w:rPr>
                <w:bCs/>
                <w:color w:val="000000"/>
                <w:szCs w:val="21"/>
                <w:vertAlign w:val="superscript"/>
                <w:lang w:bidi="ar"/>
              </w:rPr>
              <w:t>3</w:t>
            </w:r>
            <w:r>
              <w:rPr>
                <w:bCs/>
                <w:color w:val="000000"/>
                <w:szCs w:val="21"/>
                <w:lang w:bidi="ar"/>
              </w:rPr>
              <w:t>）</w:t>
            </w:r>
          </w:p>
        </w:tc>
        <w:tc>
          <w:tcPr>
            <w:tcW w:w="1052"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最大浓度占标率/%</w:t>
            </w:r>
          </w:p>
        </w:tc>
        <w:tc>
          <w:tcPr>
            <w:tcW w:w="994"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restart"/>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澧县</w:t>
            </w:r>
          </w:p>
          <w:p>
            <w:pPr>
              <w:pStyle w:val="20"/>
              <w:spacing w:after="0" w:line="300" w:lineRule="exact"/>
              <w:ind w:left="0" w:leftChars="0" w:firstLine="0" w:firstLineChars="0"/>
              <w:jc w:val="center"/>
              <w:rPr>
                <w:bCs/>
                <w:color w:val="000000"/>
                <w:szCs w:val="21"/>
                <w:lang w:bidi="ar"/>
              </w:rPr>
            </w:pPr>
            <w:r>
              <w:rPr>
                <w:bCs/>
                <w:color w:val="000000"/>
                <w:szCs w:val="21"/>
                <w:lang w:bidi="ar"/>
              </w:rPr>
              <w:t>环保局</w:t>
            </w:r>
          </w:p>
        </w:tc>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SO</w:t>
            </w:r>
            <w:r>
              <w:rPr>
                <w:color w:val="000000"/>
                <w:spacing w:val="-4"/>
                <w:sz w:val="21"/>
                <w:szCs w:val="21"/>
                <w:vertAlign w:val="subscript"/>
              </w:rPr>
              <w:t>2</w:t>
            </w:r>
          </w:p>
        </w:tc>
        <w:tc>
          <w:tcPr>
            <w:tcW w:w="2028"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年平均质量浓度</w:t>
            </w:r>
          </w:p>
        </w:tc>
        <w:tc>
          <w:tcPr>
            <w:tcW w:w="1435" w:type="dxa"/>
            <w:vAlign w:val="center"/>
          </w:tcPr>
          <w:p>
            <w:pPr>
              <w:spacing w:line="300" w:lineRule="exact"/>
              <w:ind w:firstLine="0" w:firstLineChars="0"/>
              <w:jc w:val="center"/>
              <w:rPr>
                <w:color w:val="000000"/>
                <w:sz w:val="21"/>
                <w:szCs w:val="21"/>
              </w:rPr>
            </w:pPr>
            <w:r>
              <w:rPr>
                <w:color w:val="000000"/>
                <w:sz w:val="21"/>
                <w:szCs w:val="21"/>
              </w:rPr>
              <w:t>0.06</w:t>
            </w:r>
          </w:p>
        </w:tc>
        <w:tc>
          <w:tcPr>
            <w:tcW w:w="1347" w:type="dxa"/>
            <w:vAlign w:val="center"/>
          </w:tcPr>
          <w:p>
            <w:pPr>
              <w:spacing w:line="300" w:lineRule="exact"/>
              <w:ind w:firstLine="0" w:firstLineChars="0"/>
              <w:jc w:val="center"/>
              <w:rPr>
                <w:color w:val="000000"/>
                <w:sz w:val="21"/>
                <w:szCs w:val="21"/>
              </w:rPr>
            </w:pPr>
            <w:r>
              <w:rPr>
                <w:color w:val="000000"/>
                <w:sz w:val="21"/>
                <w:szCs w:val="21"/>
              </w:rPr>
              <w:t>0.0</w:t>
            </w:r>
            <w:r>
              <w:rPr>
                <w:rFonts w:hint="eastAsia"/>
                <w:color w:val="000000"/>
                <w:sz w:val="21"/>
                <w:szCs w:val="21"/>
              </w:rPr>
              <w:t>08</w:t>
            </w:r>
          </w:p>
        </w:tc>
        <w:tc>
          <w:tcPr>
            <w:tcW w:w="1052" w:type="dxa"/>
            <w:vAlign w:val="center"/>
          </w:tcPr>
          <w:p>
            <w:pPr>
              <w:spacing w:line="300" w:lineRule="exact"/>
              <w:ind w:firstLine="0" w:firstLineChars="0"/>
              <w:jc w:val="center"/>
              <w:rPr>
                <w:color w:val="000000"/>
                <w:sz w:val="21"/>
                <w:szCs w:val="21"/>
              </w:rPr>
            </w:pPr>
            <w:r>
              <w:rPr>
                <w:rFonts w:hint="eastAsia"/>
                <w:color w:val="000000"/>
                <w:sz w:val="21"/>
                <w:szCs w:val="21"/>
              </w:rPr>
              <w:t>13.33</w:t>
            </w:r>
          </w:p>
        </w:tc>
        <w:tc>
          <w:tcPr>
            <w:tcW w:w="994"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20"/>
              <w:spacing w:after="0" w:line="300" w:lineRule="exact"/>
              <w:ind w:left="0" w:leftChars="0" w:firstLine="0" w:firstLineChars="0"/>
              <w:jc w:val="center"/>
              <w:rPr>
                <w:bCs/>
                <w:color w:val="000000"/>
                <w:szCs w:val="21"/>
                <w:lang w:bidi="ar"/>
              </w:rPr>
            </w:pPr>
          </w:p>
        </w:tc>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NO</w:t>
            </w:r>
            <w:r>
              <w:rPr>
                <w:color w:val="000000"/>
                <w:spacing w:val="-4"/>
                <w:sz w:val="21"/>
                <w:szCs w:val="21"/>
                <w:vertAlign w:val="subscript"/>
              </w:rPr>
              <w:t>2</w:t>
            </w:r>
          </w:p>
        </w:tc>
        <w:tc>
          <w:tcPr>
            <w:tcW w:w="2028"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年平均质量浓度</w:t>
            </w:r>
          </w:p>
        </w:tc>
        <w:tc>
          <w:tcPr>
            <w:tcW w:w="1435" w:type="dxa"/>
            <w:vAlign w:val="center"/>
          </w:tcPr>
          <w:p>
            <w:pPr>
              <w:spacing w:line="300" w:lineRule="exact"/>
              <w:ind w:firstLine="0" w:firstLineChars="0"/>
              <w:jc w:val="center"/>
              <w:rPr>
                <w:color w:val="000000"/>
                <w:sz w:val="21"/>
                <w:szCs w:val="21"/>
              </w:rPr>
            </w:pPr>
            <w:r>
              <w:rPr>
                <w:color w:val="000000"/>
                <w:sz w:val="21"/>
                <w:szCs w:val="21"/>
              </w:rPr>
              <w:t>0.04</w:t>
            </w:r>
          </w:p>
        </w:tc>
        <w:tc>
          <w:tcPr>
            <w:tcW w:w="1347" w:type="dxa"/>
            <w:vAlign w:val="center"/>
          </w:tcPr>
          <w:p>
            <w:pPr>
              <w:spacing w:line="300" w:lineRule="exact"/>
              <w:ind w:firstLine="0" w:firstLineChars="0"/>
              <w:jc w:val="center"/>
              <w:rPr>
                <w:color w:val="000000"/>
                <w:sz w:val="21"/>
                <w:szCs w:val="21"/>
              </w:rPr>
            </w:pPr>
            <w:r>
              <w:rPr>
                <w:color w:val="000000"/>
                <w:sz w:val="21"/>
                <w:szCs w:val="21"/>
              </w:rPr>
              <w:t>0.0</w:t>
            </w:r>
            <w:r>
              <w:rPr>
                <w:rFonts w:hint="eastAsia"/>
                <w:color w:val="000000"/>
                <w:sz w:val="21"/>
                <w:szCs w:val="21"/>
              </w:rPr>
              <w:t>16</w:t>
            </w:r>
          </w:p>
        </w:tc>
        <w:tc>
          <w:tcPr>
            <w:tcW w:w="1052" w:type="dxa"/>
            <w:vAlign w:val="center"/>
          </w:tcPr>
          <w:p>
            <w:pPr>
              <w:spacing w:line="300" w:lineRule="exact"/>
              <w:ind w:firstLine="0" w:firstLineChars="0"/>
              <w:jc w:val="center"/>
              <w:rPr>
                <w:color w:val="000000"/>
                <w:sz w:val="21"/>
                <w:szCs w:val="21"/>
              </w:rPr>
            </w:pPr>
            <w:r>
              <w:rPr>
                <w:rFonts w:hint="eastAsia"/>
                <w:color w:val="000000"/>
                <w:sz w:val="21"/>
                <w:szCs w:val="21"/>
              </w:rPr>
              <w:t>40</w:t>
            </w:r>
          </w:p>
        </w:tc>
        <w:tc>
          <w:tcPr>
            <w:tcW w:w="994"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20"/>
              <w:spacing w:after="0" w:line="300" w:lineRule="exact"/>
              <w:ind w:left="0" w:leftChars="0" w:firstLine="0" w:firstLineChars="0"/>
              <w:jc w:val="center"/>
              <w:rPr>
                <w:bCs/>
                <w:color w:val="000000"/>
                <w:szCs w:val="21"/>
                <w:lang w:bidi="ar"/>
              </w:rPr>
            </w:pPr>
          </w:p>
        </w:tc>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PM</w:t>
            </w:r>
            <w:r>
              <w:rPr>
                <w:color w:val="000000"/>
                <w:spacing w:val="-4"/>
                <w:sz w:val="21"/>
                <w:szCs w:val="21"/>
                <w:vertAlign w:val="subscript"/>
              </w:rPr>
              <w:t>10</w:t>
            </w:r>
          </w:p>
        </w:tc>
        <w:tc>
          <w:tcPr>
            <w:tcW w:w="2028"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年平均质量浓度</w:t>
            </w:r>
          </w:p>
        </w:tc>
        <w:tc>
          <w:tcPr>
            <w:tcW w:w="1435" w:type="dxa"/>
            <w:vAlign w:val="center"/>
          </w:tcPr>
          <w:p>
            <w:pPr>
              <w:spacing w:line="300" w:lineRule="exact"/>
              <w:ind w:firstLine="0" w:firstLineChars="0"/>
              <w:jc w:val="center"/>
              <w:rPr>
                <w:color w:val="000000"/>
                <w:sz w:val="21"/>
                <w:szCs w:val="21"/>
              </w:rPr>
            </w:pPr>
            <w:r>
              <w:rPr>
                <w:color w:val="000000"/>
                <w:sz w:val="21"/>
                <w:szCs w:val="21"/>
              </w:rPr>
              <w:t>0.07</w:t>
            </w:r>
          </w:p>
        </w:tc>
        <w:tc>
          <w:tcPr>
            <w:tcW w:w="1347" w:type="dxa"/>
            <w:vAlign w:val="center"/>
          </w:tcPr>
          <w:p>
            <w:pPr>
              <w:spacing w:line="300" w:lineRule="exact"/>
              <w:ind w:firstLine="0" w:firstLineChars="0"/>
              <w:jc w:val="center"/>
              <w:rPr>
                <w:color w:val="000000"/>
                <w:sz w:val="21"/>
                <w:szCs w:val="21"/>
              </w:rPr>
            </w:pPr>
            <w:r>
              <w:rPr>
                <w:color w:val="000000"/>
                <w:sz w:val="21"/>
                <w:szCs w:val="21"/>
              </w:rPr>
              <w:t>0.0</w:t>
            </w:r>
            <w:r>
              <w:rPr>
                <w:rFonts w:hint="eastAsia"/>
                <w:color w:val="000000"/>
                <w:sz w:val="21"/>
                <w:szCs w:val="21"/>
              </w:rPr>
              <w:t>65</w:t>
            </w:r>
          </w:p>
        </w:tc>
        <w:tc>
          <w:tcPr>
            <w:tcW w:w="1052" w:type="dxa"/>
            <w:vAlign w:val="center"/>
          </w:tcPr>
          <w:p>
            <w:pPr>
              <w:spacing w:line="300" w:lineRule="exact"/>
              <w:ind w:firstLine="0" w:firstLineChars="0"/>
              <w:jc w:val="center"/>
              <w:rPr>
                <w:color w:val="000000"/>
                <w:sz w:val="21"/>
                <w:szCs w:val="21"/>
              </w:rPr>
            </w:pPr>
            <w:r>
              <w:rPr>
                <w:rFonts w:hint="eastAsia"/>
                <w:color w:val="000000"/>
                <w:sz w:val="21"/>
                <w:szCs w:val="21"/>
              </w:rPr>
              <w:t>92.86</w:t>
            </w:r>
          </w:p>
        </w:tc>
        <w:tc>
          <w:tcPr>
            <w:tcW w:w="994"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20"/>
              <w:spacing w:after="0" w:line="300" w:lineRule="exact"/>
              <w:ind w:left="0" w:leftChars="0" w:firstLine="0" w:firstLineChars="0"/>
              <w:jc w:val="center"/>
              <w:rPr>
                <w:bCs/>
                <w:color w:val="000000"/>
                <w:szCs w:val="21"/>
                <w:lang w:bidi="ar"/>
              </w:rPr>
            </w:pPr>
          </w:p>
        </w:tc>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PM</w:t>
            </w:r>
            <w:r>
              <w:rPr>
                <w:color w:val="000000"/>
                <w:spacing w:val="-4"/>
                <w:sz w:val="21"/>
                <w:szCs w:val="21"/>
                <w:vertAlign w:val="subscript"/>
              </w:rPr>
              <w:t>2.5</w:t>
            </w:r>
          </w:p>
        </w:tc>
        <w:tc>
          <w:tcPr>
            <w:tcW w:w="2028"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年平均质量浓度</w:t>
            </w:r>
          </w:p>
        </w:tc>
        <w:tc>
          <w:tcPr>
            <w:tcW w:w="1435" w:type="dxa"/>
            <w:vAlign w:val="center"/>
          </w:tcPr>
          <w:p>
            <w:pPr>
              <w:spacing w:line="300" w:lineRule="exact"/>
              <w:ind w:firstLine="0" w:firstLineChars="0"/>
              <w:jc w:val="center"/>
              <w:rPr>
                <w:color w:val="000000"/>
                <w:sz w:val="21"/>
                <w:szCs w:val="21"/>
              </w:rPr>
            </w:pPr>
            <w:r>
              <w:rPr>
                <w:color w:val="000000"/>
                <w:sz w:val="21"/>
                <w:szCs w:val="21"/>
              </w:rPr>
              <w:t>0.035</w:t>
            </w:r>
          </w:p>
        </w:tc>
        <w:tc>
          <w:tcPr>
            <w:tcW w:w="1347" w:type="dxa"/>
            <w:vAlign w:val="center"/>
          </w:tcPr>
          <w:p>
            <w:pPr>
              <w:spacing w:line="300" w:lineRule="exact"/>
              <w:ind w:firstLine="0" w:firstLineChars="0"/>
              <w:jc w:val="center"/>
              <w:rPr>
                <w:color w:val="000000"/>
                <w:sz w:val="21"/>
                <w:szCs w:val="21"/>
              </w:rPr>
            </w:pPr>
            <w:r>
              <w:rPr>
                <w:color w:val="000000"/>
                <w:sz w:val="21"/>
                <w:szCs w:val="21"/>
              </w:rPr>
              <w:t>0.04</w:t>
            </w:r>
            <w:r>
              <w:rPr>
                <w:rFonts w:hint="eastAsia"/>
                <w:color w:val="000000"/>
                <w:sz w:val="21"/>
                <w:szCs w:val="21"/>
              </w:rPr>
              <w:t>2</w:t>
            </w:r>
          </w:p>
        </w:tc>
        <w:tc>
          <w:tcPr>
            <w:tcW w:w="1052" w:type="dxa"/>
            <w:vAlign w:val="center"/>
          </w:tcPr>
          <w:p>
            <w:pPr>
              <w:spacing w:line="300" w:lineRule="exact"/>
              <w:ind w:firstLine="0" w:firstLineChars="0"/>
              <w:jc w:val="center"/>
              <w:rPr>
                <w:color w:val="000000"/>
                <w:sz w:val="21"/>
                <w:szCs w:val="21"/>
              </w:rPr>
            </w:pPr>
            <w:r>
              <w:rPr>
                <w:rFonts w:hint="eastAsia"/>
                <w:color w:val="000000"/>
                <w:sz w:val="21"/>
                <w:szCs w:val="21"/>
              </w:rPr>
              <w:t>120</w:t>
            </w:r>
          </w:p>
        </w:tc>
        <w:tc>
          <w:tcPr>
            <w:tcW w:w="994" w:type="dxa"/>
            <w:vAlign w:val="center"/>
          </w:tcPr>
          <w:p>
            <w:pPr>
              <w:pStyle w:val="20"/>
              <w:spacing w:after="0" w:line="300" w:lineRule="exact"/>
              <w:ind w:left="0" w:leftChars="0" w:firstLine="0" w:firstLineChars="0"/>
              <w:jc w:val="center"/>
              <w:rPr>
                <w:bCs/>
                <w:color w:val="000000"/>
                <w:szCs w:val="21"/>
                <w:lang w:bidi="ar"/>
              </w:rPr>
            </w:pPr>
            <w:r>
              <w:rPr>
                <w:bCs/>
                <w:color w:val="000000"/>
                <w:szCs w:val="21"/>
                <w:lang w:bidi="ar"/>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20"/>
              <w:spacing w:after="0" w:line="300" w:lineRule="exact"/>
              <w:ind w:left="0" w:leftChars="0" w:firstLine="0" w:firstLineChars="0"/>
              <w:jc w:val="center"/>
              <w:rPr>
                <w:bCs/>
                <w:color w:val="000000"/>
                <w:szCs w:val="21"/>
                <w:lang w:bidi="ar"/>
              </w:rPr>
            </w:pPr>
          </w:p>
        </w:tc>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CO</w:t>
            </w:r>
          </w:p>
        </w:tc>
        <w:tc>
          <w:tcPr>
            <w:tcW w:w="2028" w:type="dxa"/>
            <w:vAlign w:val="center"/>
          </w:tcPr>
          <w:p>
            <w:pPr>
              <w:spacing w:line="300" w:lineRule="exact"/>
              <w:ind w:firstLine="420"/>
              <w:jc w:val="center"/>
              <w:rPr>
                <w:bCs/>
                <w:color w:val="000000"/>
                <w:sz w:val="21"/>
                <w:szCs w:val="21"/>
                <w:lang w:bidi="ar"/>
              </w:rPr>
            </w:pPr>
            <w:r>
              <w:rPr>
                <w:bCs/>
                <w:color w:val="000000"/>
                <w:sz w:val="21"/>
                <w:szCs w:val="21"/>
                <w:lang w:bidi="ar"/>
              </w:rPr>
              <w:t>城市日均值百分之95位数</w:t>
            </w:r>
          </w:p>
        </w:tc>
        <w:tc>
          <w:tcPr>
            <w:tcW w:w="1435" w:type="dxa"/>
            <w:vAlign w:val="center"/>
          </w:tcPr>
          <w:p>
            <w:pPr>
              <w:spacing w:line="300" w:lineRule="exact"/>
              <w:ind w:firstLine="0" w:firstLineChars="0"/>
              <w:jc w:val="center"/>
              <w:rPr>
                <w:color w:val="000000"/>
                <w:sz w:val="21"/>
                <w:szCs w:val="21"/>
              </w:rPr>
            </w:pPr>
            <w:r>
              <w:rPr>
                <w:rFonts w:hint="eastAsia"/>
                <w:color w:val="000000"/>
                <w:sz w:val="21"/>
                <w:szCs w:val="21"/>
              </w:rPr>
              <w:t>4</w:t>
            </w:r>
          </w:p>
        </w:tc>
        <w:tc>
          <w:tcPr>
            <w:tcW w:w="1347" w:type="dxa"/>
            <w:vAlign w:val="center"/>
          </w:tcPr>
          <w:p>
            <w:pPr>
              <w:spacing w:line="300" w:lineRule="exact"/>
              <w:ind w:firstLine="0" w:firstLineChars="0"/>
              <w:jc w:val="center"/>
              <w:rPr>
                <w:color w:val="000000"/>
                <w:sz w:val="21"/>
                <w:szCs w:val="21"/>
              </w:rPr>
            </w:pPr>
            <w:r>
              <w:rPr>
                <w:color w:val="000000"/>
                <w:sz w:val="21"/>
                <w:szCs w:val="21"/>
              </w:rPr>
              <w:t>0.</w:t>
            </w:r>
            <w:r>
              <w:rPr>
                <w:rFonts w:hint="eastAsia"/>
                <w:color w:val="000000"/>
                <w:sz w:val="21"/>
                <w:szCs w:val="21"/>
              </w:rPr>
              <w:t>7</w:t>
            </w:r>
          </w:p>
        </w:tc>
        <w:tc>
          <w:tcPr>
            <w:tcW w:w="1052" w:type="dxa"/>
            <w:vAlign w:val="center"/>
          </w:tcPr>
          <w:p>
            <w:pPr>
              <w:spacing w:line="300" w:lineRule="exact"/>
              <w:ind w:firstLine="0" w:firstLineChars="0"/>
              <w:jc w:val="center"/>
              <w:rPr>
                <w:color w:val="000000"/>
                <w:sz w:val="21"/>
                <w:szCs w:val="21"/>
              </w:rPr>
            </w:pPr>
            <w:r>
              <w:rPr>
                <w:rFonts w:hint="eastAsia"/>
                <w:color w:val="000000"/>
                <w:sz w:val="21"/>
                <w:szCs w:val="21"/>
              </w:rPr>
              <w:t>17.5</w:t>
            </w:r>
          </w:p>
        </w:tc>
        <w:tc>
          <w:tcPr>
            <w:tcW w:w="994" w:type="dxa"/>
            <w:vAlign w:val="center"/>
          </w:tcPr>
          <w:p>
            <w:pPr>
              <w:pStyle w:val="20"/>
              <w:spacing w:after="0" w:line="300" w:lineRule="exact"/>
              <w:ind w:left="0" w:leftChars="0" w:firstLine="0" w:firstLineChars="0"/>
              <w:jc w:val="center"/>
              <w:rPr>
                <w:bCs/>
                <w:color w:val="0000FF"/>
                <w:szCs w:val="21"/>
                <w:lang w:bidi="ar"/>
              </w:rPr>
            </w:pPr>
            <w:r>
              <w:rPr>
                <w:bCs/>
                <w:color w:val="000000"/>
                <w:szCs w:val="21"/>
                <w:lang w:bidi="ar"/>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20"/>
              <w:spacing w:after="0" w:line="300" w:lineRule="exact"/>
              <w:ind w:left="0" w:leftChars="0" w:firstLine="0" w:firstLineChars="0"/>
              <w:jc w:val="center"/>
              <w:rPr>
                <w:bCs/>
                <w:color w:val="000000"/>
                <w:szCs w:val="21"/>
                <w:lang w:bidi="ar"/>
              </w:rPr>
            </w:pPr>
          </w:p>
        </w:tc>
        <w:tc>
          <w:tcPr>
            <w:tcW w:w="1150" w:type="dxa"/>
            <w:vAlign w:val="center"/>
          </w:tcPr>
          <w:p>
            <w:pPr>
              <w:spacing w:line="300" w:lineRule="exact"/>
              <w:ind w:firstLine="404"/>
              <w:jc w:val="center"/>
              <w:rPr>
                <w:bCs/>
                <w:color w:val="000000"/>
                <w:sz w:val="21"/>
                <w:szCs w:val="21"/>
                <w:lang w:bidi="ar"/>
              </w:rPr>
            </w:pPr>
            <w:r>
              <w:rPr>
                <w:color w:val="000000"/>
                <w:spacing w:val="-4"/>
                <w:sz w:val="21"/>
                <w:szCs w:val="21"/>
              </w:rPr>
              <w:t>O</w:t>
            </w:r>
            <w:r>
              <w:rPr>
                <w:color w:val="000000"/>
                <w:spacing w:val="-4"/>
                <w:sz w:val="21"/>
                <w:szCs w:val="21"/>
                <w:vertAlign w:val="subscript"/>
              </w:rPr>
              <w:t>3</w:t>
            </w:r>
          </w:p>
        </w:tc>
        <w:tc>
          <w:tcPr>
            <w:tcW w:w="2028" w:type="dxa"/>
            <w:vAlign w:val="center"/>
          </w:tcPr>
          <w:p>
            <w:pPr>
              <w:spacing w:line="300" w:lineRule="exact"/>
              <w:ind w:firstLine="420"/>
              <w:jc w:val="center"/>
              <w:rPr>
                <w:bCs/>
                <w:color w:val="000000"/>
                <w:sz w:val="21"/>
                <w:szCs w:val="21"/>
                <w:lang w:bidi="ar"/>
              </w:rPr>
            </w:pPr>
            <w:r>
              <w:rPr>
                <w:bCs/>
                <w:color w:val="000000"/>
                <w:sz w:val="21"/>
                <w:szCs w:val="21"/>
                <w:lang w:bidi="ar"/>
              </w:rPr>
              <w:t>8h平均质量浓度</w:t>
            </w:r>
          </w:p>
        </w:tc>
        <w:tc>
          <w:tcPr>
            <w:tcW w:w="1435" w:type="dxa"/>
            <w:vAlign w:val="center"/>
          </w:tcPr>
          <w:p>
            <w:pPr>
              <w:spacing w:line="300" w:lineRule="exact"/>
              <w:ind w:firstLine="0" w:firstLineChars="0"/>
              <w:jc w:val="center"/>
              <w:rPr>
                <w:color w:val="000000"/>
                <w:sz w:val="21"/>
                <w:szCs w:val="21"/>
              </w:rPr>
            </w:pPr>
            <w:r>
              <w:rPr>
                <w:rFonts w:hint="eastAsia"/>
                <w:color w:val="000000"/>
                <w:sz w:val="21"/>
                <w:szCs w:val="21"/>
              </w:rPr>
              <w:t>0.16</w:t>
            </w:r>
          </w:p>
        </w:tc>
        <w:tc>
          <w:tcPr>
            <w:tcW w:w="1347" w:type="dxa"/>
            <w:vAlign w:val="center"/>
          </w:tcPr>
          <w:p>
            <w:pPr>
              <w:spacing w:line="300" w:lineRule="exact"/>
              <w:ind w:firstLine="0" w:firstLineChars="0"/>
              <w:jc w:val="center"/>
              <w:rPr>
                <w:color w:val="000000"/>
                <w:sz w:val="21"/>
                <w:szCs w:val="21"/>
              </w:rPr>
            </w:pPr>
            <w:r>
              <w:rPr>
                <w:color w:val="000000"/>
                <w:sz w:val="21"/>
                <w:szCs w:val="21"/>
              </w:rPr>
              <w:t>0.0</w:t>
            </w:r>
            <w:r>
              <w:rPr>
                <w:rFonts w:hint="eastAsia"/>
                <w:color w:val="000000"/>
                <w:sz w:val="21"/>
                <w:szCs w:val="21"/>
              </w:rPr>
              <w:t>97</w:t>
            </w:r>
          </w:p>
        </w:tc>
        <w:tc>
          <w:tcPr>
            <w:tcW w:w="1052" w:type="dxa"/>
            <w:vAlign w:val="center"/>
          </w:tcPr>
          <w:p>
            <w:pPr>
              <w:spacing w:line="300" w:lineRule="exact"/>
              <w:ind w:firstLine="0" w:firstLineChars="0"/>
              <w:jc w:val="center"/>
              <w:rPr>
                <w:color w:val="000000"/>
                <w:sz w:val="21"/>
                <w:szCs w:val="21"/>
              </w:rPr>
            </w:pPr>
            <w:r>
              <w:rPr>
                <w:rFonts w:hint="eastAsia"/>
                <w:color w:val="000000"/>
                <w:sz w:val="21"/>
                <w:szCs w:val="21"/>
              </w:rPr>
              <w:t>60.63</w:t>
            </w:r>
          </w:p>
        </w:tc>
        <w:tc>
          <w:tcPr>
            <w:tcW w:w="994" w:type="dxa"/>
            <w:vAlign w:val="center"/>
          </w:tcPr>
          <w:p>
            <w:pPr>
              <w:pStyle w:val="20"/>
              <w:spacing w:after="0" w:line="300" w:lineRule="exact"/>
              <w:ind w:left="0" w:leftChars="0" w:firstLine="0" w:firstLineChars="0"/>
              <w:jc w:val="center"/>
              <w:rPr>
                <w:bCs/>
                <w:color w:val="0000FF"/>
                <w:szCs w:val="21"/>
                <w:lang w:bidi="ar"/>
              </w:rPr>
            </w:pPr>
            <w:r>
              <w:rPr>
                <w:bCs/>
                <w:color w:val="000000"/>
                <w:szCs w:val="21"/>
                <w:lang w:bidi="ar"/>
              </w:rPr>
              <w:t>达标</w:t>
            </w:r>
          </w:p>
        </w:tc>
      </w:tr>
    </w:tbl>
    <w:p>
      <w:pPr>
        <w:ind w:firstLine="480"/>
        <w:rPr>
          <w:rFonts w:cs="宋体"/>
          <w:color w:val="000000"/>
          <w:spacing w:val="-4"/>
          <w:szCs w:val="21"/>
          <w:lang w:bidi="ar"/>
        </w:rPr>
      </w:pPr>
      <w:r>
        <w:rPr>
          <w:color w:val="000000"/>
        </w:rPr>
        <w:t>由上表可知，</w:t>
      </w:r>
      <w:r>
        <w:rPr>
          <w:rFonts w:hint="eastAsia"/>
          <w:color w:val="000000"/>
        </w:rPr>
        <w:t>澧县</w:t>
      </w:r>
      <w:r>
        <w:rPr>
          <w:color w:val="000000"/>
        </w:rPr>
        <w:t>环保局常规监测</w:t>
      </w:r>
      <w:r>
        <w:rPr>
          <w:rFonts w:hint="eastAsia"/>
          <w:color w:val="000000"/>
        </w:rPr>
        <w:t>点位</w:t>
      </w:r>
      <w:r>
        <w:rPr>
          <w:color w:val="000000"/>
          <w:kern w:val="0"/>
        </w:rPr>
        <w:t>的环境空气污染物SO</w:t>
      </w:r>
      <w:r>
        <w:rPr>
          <w:color w:val="000000"/>
          <w:kern w:val="0"/>
          <w:vertAlign w:val="subscript"/>
        </w:rPr>
        <w:t>2</w:t>
      </w:r>
      <w:r>
        <w:rPr>
          <w:color w:val="000000"/>
          <w:kern w:val="0"/>
        </w:rPr>
        <w:t>、NO</w:t>
      </w:r>
      <w:r>
        <w:rPr>
          <w:color w:val="000000"/>
          <w:kern w:val="0"/>
          <w:vertAlign w:val="subscript"/>
        </w:rPr>
        <w:t>2</w:t>
      </w:r>
      <w:r>
        <w:rPr>
          <w:color w:val="000000"/>
          <w:kern w:val="0"/>
        </w:rPr>
        <w:t>、</w:t>
      </w:r>
      <w:r>
        <w:rPr>
          <w:color w:val="000000"/>
          <w:lang w:bidi="ar"/>
        </w:rPr>
        <w:t>PM</w:t>
      </w:r>
      <w:r>
        <w:rPr>
          <w:color w:val="000000"/>
          <w:vertAlign w:val="subscript"/>
          <w:lang w:bidi="ar"/>
        </w:rPr>
        <w:t>10</w:t>
      </w:r>
      <w:r>
        <w:rPr>
          <w:color w:val="000000"/>
          <w:kern w:val="0"/>
        </w:rPr>
        <w:t>、</w:t>
      </w:r>
      <w:r>
        <w:rPr>
          <w:rFonts w:hint="eastAsia" w:cs="宋体"/>
          <w:color w:val="000000"/>
          <w:lang w:bidi="ar"/>
        </w:rPr>
        <w:t>CO、O</w:t>
      </w:r>
      <w:r>
        <w:rPr>
          <w:rFonts w:hint="eastAsia" w:cs="宋体"/>
          <w:color w:val="000000"/>
          <w:vertAlign w:val="subscript"/>
          <w:lang w:bidi="ar"/>
        </w:rPr>
        <w:t>3</w:t>
      </w:r>
      <w:r>
        <w:rPr>
          <w:color w:val="000000"/>
          <w:kern w:val="0"/>
        </w:rPr>
        <w:t>年均浓度值均低于《环境空气质量标准》（GB3095-2012）中二级标准的要求，</w:t>
      </w:r>
      <w:r>
        <w:rPr>
          <w:color w:val="000000"/>
          <w:lang w:bidi="ar"/>
        </w:rPr>
        <w:t>PM</w:t>
      </w:r>
      <w:r>
        <w:rPr>
          <w:color w:val="000000"/>
          <w:vertAlign w:val="subscript"/>
          <w:lang w:bidi="ar"/>
        </w:rPr>
        <w:t>2.5</w:t>
      </w:r>
      <w:r>
        <w:rPr>
          <w:rFonts w:hint="eastAsia" w:cs="宋体"/>
          <w:color w:val="000000"/>
          <w:lang w:bidi="ar"/>
        </w:rPr>
        <w:t>的年平均值为0.042</w:t>
      </w:r>
      <w:r>
        <w:rPr>
          <w:color w:val="000000"/>
          <w:lang w:bidi="ar"/>
        </w:rPr>
        <w:t>mg/m</w:t>
      </w:r>
      <w:r>
        <w:rPr>
          <w:color w:val="000000"/>
          <w:vertAlign w:val="superscript"/>
          <w:lang w:bidi="ar"/>
        </w:rPr>
        <w:t>3</w:t>
      </w:r>
      <w:r>
        <w:rPr>
          <w:rFonts w:hint="eastAsia" w:cs="宋体"/>
          <w:color w:val="000000"/>
          <w:lang w:bidi="ar"/>
        </w:rPr>
        <w:t>，</w:t>
      </w:r>
      <w:r>
        <w:rPr>
          <w:rFonts w:hint="eastAsia"/>
          <w:color w:val="000000"/>
          <w:kern w:val="0"/>
        </w:rPr>
        <w:t>未能达到</w:t>
      </w:r>
      <w:r>
        <w:rPr>
          <w:color w:val="000000"/>
          <w:kern w:val="0"/>
        </w:rPr>
        <w:t>《环境空气质量标准》（GB3095-2012）中二级标准的要求</w:t>
      </w:r>
      <w:r>
        <w:rPr>
          <w:rFonts w:hint="eastAsia"/>
          <w:color w:val="000000"/>
          <w:kern w:val="0"/>
        </w:rPr>
        <w:t>。</w:t>
      </w:r>
      <w:r>
        <w:rPr>
          <w:rFonts w:hint="eastAsia" w:cs="宋体"/>
          <w:color w:val="000000"/>
          <w:spacing w:val="-4"/>
          <w:szCs w:val="21"/>
          <w:lang w:bidi="ar"/>
        </w:rPr>
        <w:t>项目所在区域为不达标区。因此区域要求有限期达标规划。</w:t>
      </w:r>
    </w:p>
    <w:p>
      <w:pPr>
        <w:ind w:firstLine="480"/>
      </w:pPr>
      <w:r>
        <w:t>针对本项目区域的环境空</w:t>
      </w:r>
      <w:r>
        <w:rPr>
          <w:rFonts w:hint="eastAsia"/>
        </w:rPr>
        <w:t>气质量和特征因子，本项目进行了现场补充监测。</w:t>
      </w:r>
    </w:p>
    <w:p>
      <w:pPr>
        <w:ind w:firstLine="480"/>
      </w:pPr>
      <w:r>
        <w:rPr>
          <w:rFonts w:hint="eastAsia"/>
        </w:rPr>
        <w:t>（</w:t>
      </w:r>
      <w:r>
        <w:t>1</w:t>
      </w:r>
      <w:r>
        <w:rPr>
          <w:rFonts w:hint="eastAsia"/>
        </w:rPr>
        <w:t>）监测点位及监测项目</w:t>
      </w:r>
    </w:p>
    <w:p>
      <w:pPr>
        <w:ind w:firstLine="480"/>
        <w:rPr>
          <w:rFonts w:hint="eastAsia"/>
        </w:rPr>
      </w:pPr>
      <w:r>
        <w:rPr>
          <w:rFonts w:hint="eastAsia"/>
        </w:rPr>
        <w:t>本次评价布设1个环境空气质量监测点，代表项目所在区域的环境空气质量现状。委托监测单位为湖南宏润检测有限公司，监测点位情况见表</w:t>
      </w:r>
      <w:r>
        <w:t>4-</w:t>
      </w:r>
      <w:r>
        <w:rPr>
          <w:rFonts w:hint="eastAsia"/>
        </w:rPr>
        <w:t>5，监测点位置分布见附图</w:t>
      </w:r>
      <w:r>
        <w:t>5</w:t>
      </w:r>
      <w:r>
        <w:rPr>
          <w:rFonts w:hint="eastAsia"/>
        </w:rPr>
        <w:t>。</w:t>
      </w:r>
    </w:p>
    <w:p>
      <w:pPr>
        <w:ind w:firstLine="480"/>
      </w:pPr>
    </w:p>
    <w:p>
      <w:pPr>
        <w:ind w:firstLine="0" w:firstLineChars="0"/>
        <w:jc w:val="center"/>
        <w:rPr>
          <w:b/>
          <w:bCs/>
        </w:rPr>
      </w:pPr>
      <w:r>
        <w:rPr>
          <w:rFonts w:hint="eastAsia"/>
          <w:b/>
          <w:bCs/>
        </w:rPr>
        <w:t>表</w:t>
      </w:r>
      <w:r>
        <w:rPr>
          <w:b/>
          <w:bCs/>
        </w:rPr>
        <w:t>4-</w:t>
      </w:r>
      <w:r>
        <w:rPr>
          <w:rFonts w:hint="eastAsia"/>
          <w:b/>
          <w:bCs/>
        </w:rPr>
        <w:t>5 环境空气质量现状监测布点表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2"/>
        <w:gridCol w:w="4096"/>
        <w:gridCol w:w="3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91" w:type="pct"/>
            <w:vAlign w:val="center"/>
          </w:tcPr>
          <w:p>
            <w:pPr>
              <w:pStyle w:val="8"/>
              <w:ind w:firstLine="420"/>
            </w:pPr>
            <w:r>
              <w:rPr>
                <w:rFonts w:hint="eastAsia"/>
              </w:rPr>
              <w:t>序号</w:t>
            </w:r>
          </w:p>
        </w:tc>
        <w:tc>
          <w:tcPr>
            <w:tcW w:w="2261" w:type="pct"/>
            <w:vAlign w:val="center"/>
          </w:tcPr>
          <w:p>
            <w:pPr>
              <w:pStyle w:val="8"/>
              <w:ind w:firstLine="420"/>
            </w:pPr>
            <w:r>
              <w:rPr>
                <w:rFonts w:hint="eastAsia"/>
              </w:rPr>
              <w:t>测点名称</w:t>
            </w:r>
          </w:p>
        </w:tc>
        <w:tc>
          <w:tcPr>
            <w:tcW w:w="2047" w:type="pct"/>
            <w:vAlign w:val="center"/>
          </w:tcPr>
          <w:p>
            <w:pPr>
              <w:pStyle w:val="8"/>
              <w:ind w:firstLine="420"/>
            </w:pPr>
            <w:r>
              <w:rPr>
                <w:rFonts w:hint="eastAsia"/>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1" w:type="pct"/>
            <w:vAlign w:val="center"/>
          </w:tcPr>
          <w:p>
            <w:pPr>
              <w:pStyle w:val="8"/>
              <w:ind w:firstLine="420"/>
            </w:pPr>
            <w:r>
              <w:rPr>
                <w:rFonts w:hint="eastAsia"/>
              </w:rPr>
              <w:t>G</w:t>
            </w:r>
            <w:r>
              <w:t>1</w:t>
            </w:r>
          </w:p>
        </w:tc>
        <w:tc>
          <w:tcPr>
            <w:tcW w:w="2261" w:type="pct"/>
            <w:vAlign w:val="center"/>
          </w:tcPr>
          <w:p>
            <w:pPr>
              <w:pStyle w:val="8"/>
              <w:ind w:firstLine="420"/>
            </w:pPr>
            <w:r>
              <w:rPr>
                <w:rFonts w:hint="eastAsia"/>
              </w:rPr>
              <w:t>养殖场下风向</w:t>
            </w:r>
          </w:p>
        </w:tc>
        <w:tc>
          <w:tcPr>
            <w:tcW w:w="2047" w:type="pct"/>
            <w:vAlign w:val="center"/>
          </w:tcPr>
          <w:p>
            <w:pPr>
              <w:pStyle w:val="8"/>
              <w:ind w:firstLine="420"/>
            </w:pPr>
            <w:r>
              <w:t>NH</w:t>
            </w:r>
            <w:r>
              <w:rPr>
                <w:vertAlign w:val="subscript"/>
              </w:rPr>
              <w:t>3</w:t>
            </w:r>
            <w:r>
              <w:rPr>
                <w:rFonts w:hint="eastAsia"/>
              </w:rPr>
              <w:t>、</w:t>
            </w:r>
            <w:r>
              <w:t>H</w:t>
            </w:r>
            <w:r>
              <w:rPr>
                <w:vertAlign w:val="subscript"/>
              </w:rPr>
              <w:t>2</w:t>
            </w:r>
            <w:r>
              <w:t>S</w:t>
            </w:r>
          </w:p>
        </w:tc>
      </w:tr>
    </w:tbl>
    <w:p>
      <w:pPr>
        <w:ind w:firstLine="480"/>
        <w:rPr>
          <w:highlight w:val="yellow"/>
        </w:rPr>
      </w:pPr>
      <w:r>
        <w:rPr>
          <w:rFonts w:hint="eastAsia"/>
        </w:rPr>
        <w:t>（</w:t>
      </w:r>
      <w:r>
        <w:t>2</w:t>
      </w:r>
      <w:r>
        <w:rPr>
          <w:rFonts w:hint="eastAsia"/>
        </w:rPr>
        <w:t>）监测时间、频率和方法</w:t>
      </w:r>
    </w:p>
    <w:p>
      <w:pPr>
        <w:ind w:firstLine="480"/>
      </w:pPr>
      <w:r>
        <w:rPr>
          <w:rFonts w:hint="eastAsia"/>
        </w:rPr>
        <w:t>监测时间为</w:t>
      </w:r>
      <w:r>
        <w:t>20</w:t>
      </w:r>
      <w:r>
        <w:rPr>
          <w:rFonts w:hint="eastAsia"/>
        </w:rPr>
        <w:t>20年10月24日至10月30日，连续监测</w:t>
      </w:r>
      <w:r>
        <w:t>7</w:t>
      </w:r>
      <w:r>
        <w:rPr>
          <w:rFonts w:hint="eastAsia"/>
        </w:rPr>
        <w:t>天。</w:t>
      </w:r>
    </w:p>
    <w:p>
      <w:pPr>
        <w:ind w:firstLine="480"/>
      </w:pPr>
      <w:r>
        <w:rPr>
          <w:rFonts w:hint="eastAsia"/>
        </w:rPr>
        <w:t>监测因子的采样点、采样环境、采样高度及采样频率的要求，按《环境监测技术规范》</w:t>
      </w:r>
      <w:r>
        <w:t>(</w:t>
      </w:r>
      <w:r>
        <w:rPr>
          <w:rFonts w:hint="eastAsia"/>
        </w:rPr>
        <w:t>大气部分</w:t>
      </w:r>
      <w:r>
        <w:t>)</w:t>
      </w:r>
      <w:r>
        <w:rPr>
          <w:rFonts w:hint="eastAsia"/>
        </w:rPr>
        <w:t xml:space="preserve">执行，样品分析执行《空气和废气监测分析方法》中规定的方法。 </w:t>
      </w:r>
    </w:p>
    <w:p>
      <w:pPr>
        <w:ind w:firstLine="480"/>
      </w:pPr>
      <w:r>
        <w:rPr>
          <w:rFonts w:hint="eastAsia"/>
        </w:rPr>
        <w:t>（</w:t>
      </w:r>
      <w:r>
        <w:t>3</w:t>
      </w:r>
      <w:r>
        <w:rPr>
          <w:rFonts w:hint="eastAsia"/>
        </w:rPr>
        <w:t>）评价结果与分析</w:t>
      </w:r>
    </w:p>
    <w:p>
      <w:pPr>
        <w:ind w:firstLine="480"/>
      </w:pPr>
      <w:r>
        <w:rPr>
          <w:rFonts w:hint="eastAsia"/>
        </w:rPr>
        <w:t>环境空气监测及评价结果见表</w:t>
      </w:r>
      <w:r>
        <w:t>4-</w:t>
      </w:r>
      <w:r>
        <w:rPr>
          <w:rFonts w:hint="eastAsia"/>
        </w:rPr>
        <w:t>6。</w:t>
      </w:r>
    </w:p>
    <w:p>
      <w:pPr>
        <w:ind w:firstLine="0" w:firstLineChars="0"/>
        <w:jc w:val="center"/>
        <w:rPr>
          <w:b/>
          <w:bCs/>
        </w:rPr>
      </w:pPr>
      <w:r>
        <w:rPr>
          <w:rFonts w:hint="eastAsia"/>
          <w:b/>
          <w:bCs/>
        </w:rPr>
        <w:t>表</w:t>
      </w:r>
      <w:r>
        <w:rPr>
          <w:b/>
          <w:bCs/>
        </w:rPr>
        <w:t>4-</w:t>
      </w:r>
      <w:r>
        <w:rPr>
          <w:rFonts w:hint="eastAsia"/>
          <w:b/>
          <w:bCs/>
        </w:rPr>
        <w:t>6 环境空气质量现状监测和评价结果</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1"/>
        <w:gridCol w:w="1173"/>
        <w:gridCol w:w="1153"/>
        <w:gridCol w:w="865"/>
        <w:gridCol w:w="867"/>
        <w:gridCol w:w="867"/>
        <w:gridCol w:w="867"/>
        <w:gridCol w:w="867"/>
        <w:gridCol w:w="893"/>
        <w:gridCol w:w="5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 w:type="pct"/>
            <w:vMerge w:val="restart"/>
            <w:vAlign w:val="center"/>
          </w:tcPr>
          <w:p>
            <w:pPr>
              <w:pStyle w:val="8"/>
              <w:adjustRightInd w:val="0"/>
              <w:snapToGrid w:val="0"/>
              <w:spacing w:line="240" w:lineRule="atLeast"/>
              <w:ind w:firstLine="0" w:firstLineChars="0"/>
              <w:outlineLvl w:val="5"/>
            </w:pPr>
            <w:r>
              <w:t>采样</w:t>
            </w:r>
          </w:p>
          <w:p>
            <w:pPr>
              <w:pStyle w:val="8"/>
              <w:adjustRightInd w:val="0"/>
              <w:snapToGrid w:val="0"/>
              <w:spacing w:line="240" w:lineRule="atLeast"/>
              <w:ind w:firstLine="0" w:firstLineChars="0"/>
              <w:outlineLvl w:val="5"/>
            </w:pPr>
            <w:r>
              <w:t>点位</w:t>
            </w:r>
          </w:p>
        </w:tc>
        <w:tc>
          <w:tcPr>
            <w:tcW w:w="646" w:type="pct"/>
            <w:vMerge w:val="restart"/>
            <w:vAlign w:val="center"/>
          </w:tcPr>
          <w:p>
            <w:pPr>
              <w:pStyle w:val="8"/>
              <w:adjustRightInd w:val="0"/>
              <w:snapToGrid w:val="0"/>
              <w:spacing w:line="240" w:lineRule="atLeast"/>
              <w:ind w:firstLine="0" w:firstLineChars="0"/>
              <w:outlineLvl w:val="5"/>
            </w:pPr>
            <w:r>
              <w:t>检测</w:t>
            </w:r>
          </w:p>
          <w:p>
            <w:pPr>
              <w:pStyle w:val="8"/>
              <w:adjustRightInd w:val="0"/>
              <w:snapToGrid w:val="0"/>
              <w:spacing w:line="240" w:lineRule="atLeast"/>
              <w:ind w:firstLine="0" w:firstLineChars="0"/>
              <w:outlineLvl w:val="5"/>
            </w:pPr>
            <w:r>
              <w:t>项目</w:t>
            </w:r>
          </w:p>
        </w:tc>
        <w:tc>
          <w:tcPr>
            <w:tcW w:w="3524" w:type="pct"/>
            <w:gridSpan w:val="7"/>
            <w:vAlign w:val="center"/>
          </w:tcPr>
          <w:p>
            <w:pPr>
              <w:pStyle w:val="8"/>
              <w:adjustRightInd w:val="0"/>
              <w:snapToGrid w:val="0"/>
              <w:spacing w:line="240" w:lineRule="atLeast"/>
              <w:ind w:firstLine="0" w:firstLineChars="0"/>
              <w:outlineLvl w:val="5"/>
            </w:pPr>
            <w:r>
              <w:t>检测结果（mg/m</w:t>
            </w:r>
            <w:r>
              <w:rPr>
                <w:vertAlign w:val="superscript"/>
              </w:rPr>
              <w:t>3</w:t>
            </w:r>
            <w:r>
              <w:t>）</w:t>
            </w:r>
          </w:p>
        </w:tc>
        <w:tc>
          <w:tcPr>
            <w:tcW w:w="322" w:type="pct"/>
            <w:vMerge w:val="restart"/>
            <w:vAlign w:val="center"/>
          </w:tcPr>
          <w:p>
            <w:pPr>
              <w:pStyle w:val="8"/>
              <w:adjustRightInd w:val="0"/>
              <w:snapToGrid w:val="0"/>
              <w:spacing w:line="240" w:lineRule="atLeast"/>
              <w:ind w:firstLine="0" w:firstLineChars="0"/>
              <w:outlineLvl w:val="5"/>
            </w:pPr>
            <w:r>
              <w:t>参考限值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7" w:type="pct"/>
            <w:vMerge w:val="continue"/>
            <w:vAlign w:val="center"/>
          </w:tcPr>
          <w:p>
            <w:pPr>
              <w:pStyle w:val="8"/>
              <w:adjustRightInd w:val="0"/>
              <w:snapToGrid w:val="0"/>
              <w:spacing w:line="240" w:lineRule="atLeast"/>
              <w:ind w:firstLine="0" w:firstLineChars="0"/>
              <w:outlineLvl w:val="5"/>
              <w:rPr>
                <w:highlight w:val="yellow"/>
              </w:rPr>
            </w:pPr>
          </w:p>
        </w:tc>
        <w:tc>
          <w:tcPr>
            <w:tcW w:w="656" w:type="pct"/>
            <w:vMerge w:val="continue"/>
            <w:vAlign w:val="center"/>
          </w:tcPr>
          <w:p>
            <w:pPr>
              <w:pStyle w:val="8"/>
              <w:adjustRightInd w:val="0"/>
              <w:snapToGrid w:val="0"/>
              <w:spacing w:line="240" w:lineRule="atLeast"/>
              <w:ind w:firstLine="0" w:firstLineChars="0"/>
              <w:outlineLvl w:val="5"/>
              <w:rPr>
                <w:highlight w:val="yellow"/>
              </w:rPr>
            </w:pPr>
          </w:p>
        </w:tc>
        <w:tc>
          <w:tcPr>
            <w:tcW w:w="486" w:type="pct"/>
            <w:vAlign w:val="center"/>
          </w:tcPr>
          <w:p>
            <w:pPr>
              <w:pStyle w:val="8"/>
              <w:ind w:firstLine="0" w:firstLineChars="0"/>
              <w:outlineLvl w:val="5"/>
            </w:pPr>
            <w:r>
              <w:rPr>
                <w:rFonts w:hint="eastAsia"/>
              </w:rPr>
              <w:t>10.24</w:t>
            </w:r>
          </w:p>
        </w:tc>
        <w:tc>
          <w:tcPr>
            <w:tcW w:w="486" w:type="pct"/>
            <w:vAlign w:val="center"/>
          </w:tcPr>
          <w:p>
            <w:pPr>
              <w:pStyle w:val="8"/>
              <w:ind w:firstLine="0" w:firstLineChars="0"/>
              <w:outlineLvl w:val="5"/>
            </w:pPr>
            <w:r>
              <w:rPr>
                <w:rFonts w:hint="eastAsia"/>
              </w:rPr>
              <w:t>10.25</w:t>
            </w:r>
          </w:p>
        </w:tc>
        <w:tc>
          <w:tcPr>
            <w:tcW w:w="487" w:type="pct"/>
            <w:vAlign w:val="center"/>
          </w:tcPr>
          <w:p>
            <w:pPr>
              <w:pStyle w:val="8"/>
              <w:ind w:firstLine="0" w:firstLineChars="0"/>
              <w:outlineLvl w:val="5"/>
            </w:pPr>
            <w:r>
              <w:rPr>
                <w:rFonts w:hint="eastAsia"/>
              </w:rPr>
              <w:t>10.26</w:t>
            </w:r>
          </w:p>
        </w:tc>
        <w:tc>
          <w:tcPr>
            <w:tcW w:w="487" w:type="pct"/>
            <w:vAlign w:val="center"/>
          </w:tcPr>
          <w:p>
            <w:pPr>
              <w:pStyle w:val="8"/>
              <w:ind w:firstLine="0" w:firstLineChars="0"/>
              <w:outlineLvl w:val="5"/>
            </w:pPr>
            <w:r>
              <w:rPr>
                <w:rFonts w:hint="eastAsia"/>
              </w:rPr>
              <w:t>10.27</w:t>
            </w:r>
          </w:p>
        </w:tc>
        <w:tc>
          <w:tcPr>
            <w:tcW w:w="487" w:type="pct"/>
            <w:vAlign w:val="center"/>
          </w:tcPr>
          <w:p>
            <w:pPr>
              <w:pStyle w:val="8"/>
              <w:ind w:firstLine="0" w:firstLineChars="0"/>
              <w:outlineLvl w:val="5"/>
            </w:pPr>
            <w:r>
              <w:rPr>
                <w:rFonts w:hint="eastAsia"/>
              </w:rPr>
              <w:t>10.28</w:t>
            </w:r>
          </w:p>
        </w:tc>
        <w:tc>
          <w:tcPr>
            <w:tcW w:w="487" w:type="pct"/>
            <w:vAlign w:val="center"/>
          </w:tcPr>
          <w:p>
            <w:pPr>
              <w:pStyle w:val="8"/>
              <w:ind w:firstLine="0" w:firstLineChars="0"/>
              <w:outlineLvl w:val="5"/>
            </w:pPr>
            <w:r>
              <w:rPr>
                <w:rFonts w:hint="eastAsia"/>
              </w:rPr>
              <w:t>10.29</w:t>
            </w:r>
          </w:p>
        </w:tc>
        <w:tc>
          <w:tcPr>
            <w:tcW w:w="501" w:type="pct"/>
            <w:vAlign w:val="center"/>
          </w:tcPr>
          <w:p>
            <w:pPr>
              <w:pStyle w:val="8"/>
              <w:ind w:firstLine="0" w:firstLineChars="0"/>
              <w:outlineLvl w:val="5"/>
            </w:pPr>
            <w:r>
              <w:rPr>
                <w:rFonts w:hint="eastAsia"/>
              </w:rPr>
              <w:t>10.30</w:t>
            </w:r>
          </w:p>
        </w:tc>
        <w:tc>
          <w:tcPr>
            <w:tcW w:w="406" w:type="pct"/>
            <w:vMerge w:val="continue"/>
            <w:vAlign w:val="center"/>
          </w:tcPr>
          <w:p>
            <w:pPr>
              <w:pStyle w:val="8"/>
              <w:adjustRightInd w:val="0"/>
              <w:snapToGrid w:val="0"/>
              <w:spacing w:line="240" w:lineRule="atLeast"/>
              <w:ind w:firstLine="0" w:firstLineChars="0"/>
              <w:outlineLvl w:val="5"/>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17" w:type="pct"/>
            <w:vMerge w:val="restart"/>
            <w:vAlign w:val="center"/>
          </w:tcPr>
          <w:p>
            <w:pPr>
              <w:pStyle w:val="8"/>
              <w:adjustRightInd w:val="0"/>
              <w:snapToGrid w:val="0"/>
              <w:spacing w:line="240" w:lineRule="atLeast"/>
              <w:ind w:firstLine="0" w:firstLineChars="0"/>
              <w:outlineLvl w:val="5"/>
            </w:pPr>
            <w:r>
              <w:t>○G1</w:t>
            </w:r>
            <w:r>
              <w:rPr>
                <w:rFonts w:ascii="宋体" w:hAnsi="宋体"/>
                <w:szCs w:val="21"/>
              </w:rPr>
              <w:t>养殖场下风向</w:t>
            </w:r>
          </w:p>
        </w:tc>
        <w:tc>
          <w:tcPr>
            <w:tcW w:w="656" w:type="pct"/>
            <w:vMerge w:val="restart"/>
            <w:vAlign w:val="center"/>
          </w:tcPr>
          <w:p>
            <w:pPr>
              <w:pStyle w:val="31"/>
              <w:snapToGrid w:val="0"/>
              <w:spacing w:line="240" w:lineRule="atLeast"/>
              <w:jc w:val="center"/>
              <w:textAlignment w:val="baseline"/>
              <w:rPr>
                <w:rFonts w:hint="default"/>
              </w:rPr>
            </w:pPr>
            <w:r>
              <w:rPr>
                <w:rFonts w:ascii="宋体" w:hAnsi="宋体" w:eastAsia="宋体"/>
                <w:color w:val="auto"/>
                <w:kern w:val="2"/>
                <w:sz w:val="21"/>
                <w:szCs w:val="21"/>
              </w:rPr>
              <w:t>氨</w:t>
            </w:r>
          </w:p>
        </w:tc>
        <w:tc>
          <w:tcPr>
            <w:tcW w:w="486" w:type="pct"/>
            <w:vAlign w:val="center"/>
          </w:tcPr>
          <w:p>
            <w:pPr>
              <w:pStyle w:val="8"/>
              <w:ind w:firstLine="0" w:firstLineChars="0"/>
              <w:outlineLvl w:val="5"/>
            </w:pPr>
            <w:r>
              <w:rPr>
                <w:rFonts w:hint="eastAsia"/>
              </w:rPr>
              <w:t>0.03</w:t>
            </w:r>
          </w:p>
        </w:tc>
        <w:tc>
          <w:tcPr>
            <w:tcW w:w="486" w:type="pct"/>
            <w:vAlign w:val="center"/>
          </w:tcPr>
          <w:p>
            <w:pPr>
              <w:pStyle w:val="8"/>
              <w:ind w:firstLine="0" w:firstLineChars="0"/>
              <w:outlineLvl w:val="5"/>
            </w:pPr>
            <w:r>
              <w:rPr>
                <w:rFonts w:hint="eastAsia"/>
              </w:rPr>
              <w:t>0.04</w:t>
            </w:r>
          </w:p>
        </w:tc>
        <w:tc>
          <w:tcPr>
            <w:tcW w:w="487" w:type="pct"/>
            <w:vAlign w:val="center"/>
          </w:tcPr>
          <w:p>
            <w:pPr>
              <w:pStyle w:val="8"/>
              <w:ind w:firstLine="0" w:firstLineChars="0"/>
              <w:outlineLvl w:val="5"/>
            </w:pPr>
            <w:r>
              <w:rPr>
                <w:rFonts w:hint="eastAsia"/>
              </w:rPr>
              <w:t>0.03</w:t>
            </w:r>
          </w:p>
        </w:tc>
        <w:tc>
          <w:tcPr>
            <w:tcW w:w="487" w:type="pct"/>
            <w:vAlign w:val="center"/>
          </w:tcPr>
          <w:p>
            <w:pPr>
              <w:pStyle w:val="8"/>
              <w:ind w:firstLine="0" w:firstLineChars="0"/>
              <w:outlineLvl w:val="5"/>
            </w:pPr>
            <w:r>
              <w:rPr>
                <w:rFonts w:hint="eastAsia"/>
              </w:rPr>
              <w:t>0.03</w:t>
            </w:r>
          </w:p>
        </w:tc>
        <w:tc>
          <w:tcPr>
            <w:tcW w:w="487" w:type="pct"/>
            <w:vAlign w:val="center"/>
          </w:tcPr>
          <w:p>
            <w:pPr>
              <w:pStyle w:val="8"/>
              <w:ind w:firstLine="0" w:firstLineChars="0"/>
              <w:outlineLvl w:val="5"/>
            </w:pPr>
            <w:r>
              <w:rPr>
                <w:rFonts w:hint="eastAsia"/>
              </w:rPr>
              <w:t>0.03</w:t>
            </w:r>
          </w:p>
        </w:tc>
        <w:tc>
          <w:tcPr>
            <w:tcW w:w="487" w:type="pct"/>
            <w:vAlign w:val="center"/>
          </w:tcPr>
          <w:p>
            <w:pPr>
              <w:pStyle w:val="8"/>
              <w:ind w:firstLine="0" w:firstLineChars="0"/>
              <w:outlineLvl w:val="5"/>
            </w:pPr>
            <w:r>
              <w:rPr>
                <w:rFonts w:hint="eastAsia"/>
              </w:rPr>
              <w:t>0.03</w:t>
            </w:r>
          </w:p>
        </w:tc>
        <w:tc>
          <w:tcPr>
            <w:tcW w:w="501" w:type="pct"/>
            <w:vAlign w:val="center"/>
          </w:tcPr>
          <w:p>
            <w:pPr>
              <w:pStyle w:val="8"/>
              <w:ind w:firstLine="0" w:firstLineChars="0"/>
              <w:outlineLvl w:val="5"/>
            </w:pPr>
            <w:r>
              <w:rPr>
                <w:rFonts w:hint="eastAsia"/>
              </w:rPr>
              <w:t>0.02</w:t>
            </w:r>
          </w:p>
        </w:tc>
        <w:tc>
          <w:tcPr>
            <w:tcW w:w="406" w:type="pct"/>
            <w:vMerge w:val="restart"/>
            <w:vAlign w:val="center"/>
          </w:tcPr>
          <w:p>
            <w:pPr>
              <w:pStyle w:val="8"/>
              <w:adjustRightInd w:val="0"/>
              <w:snapToGrid w:val="0"/>
              <w:spacing w:line="240" w:lineRule="atLeast"/>
              <w:ind w:firstLine="0" w:firstLineChars="0"/>
              <w:outlineLvl w:val="5"/>
            </w:pPr>
            <w:r>
              <w:rPr>
                <w:rFonts w:hint="eastAsia"/>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9" w:type="pct"/>
            <w:vMerge w:val="continue"/>
            <w:vAlign w:val="center"/>
          </w:tcPr>
          <w:p>
            <w:pPr>
              <w:pStyle w:val="8"/>
              <w:adjustRightInd w:val="0"/>
              <w:snapToGrid w:val="0"/>
              <w:spacing w:line="240" w:lineRule="atLeast"/>
              <w:ind w:firstLine="0" w:firstLineChars="0"/>
              <w:outlineLvl w:val="5"/>
            </w:pPr>
          </w:p>
        </w:tc>
        <w:tc>
          <w:tcPr>
            <w:tcW w:w="638" w:type="pct"/>
            <w:vMerge w:val="continue"/>
            <w:vAlign w:val="center"/>
          </w:tcPr>
          <w:p>
            <w:pPr>
              <w:pStyle w:val="31"/>
              <w:snapToGrid w:val="0"/>
              <w:spacing w:line="240" w:lineRule="atLeast"/>
              <w:jc w:val="center"/>
              <w:textAlignment w:val="baseline"/>
              <w:rPr>
                <w:rFonts w:ascii="宋体" w:hAnsi="宋体" w:eastAsia="宋体"/>
                <w:color w:val="auto"/>
                <w:kern w:val="2"/>
                <w:sz w:val="21"/>
                <w:szCs w:val="21"/>
              </w:rPr>
            </w:pPr>
          </w:p>
        </w:tc>
        <w:tc>
          <w:tcPr>
            <w:tcW w:w="645" w:type="pct"/>
            <w:vAlign w:val="center"/>
          </w:tcPr>
          <w:p>
            <w:pPr>
              <w:pStyle w:val="8"/>
              <w:ind w:firstLine="0" w:firstLineChars="0"/>
              <w:outlineLvl w:val="5"/>
            </w:pPr>
            <w:r>
              <w:rPr>
                <w:rFonts w:hint="eastAsia"/>
              </w:rPr>
              <w:t>0.04</w:t>
            </w:r>
          </w:p>
        </w:tc>
        <w:tc>
          <w:tcPr>
            <w:tcW w:w="468" w:type="pct"/>
            <w:vAlign w:val="center"/>
          </w:tcPr>
          <w:p>
            <w:pPr>
              <w:pStyle w:val="8"/>
              <w:ind w:firstLine="0" w:firstLineChars="0"/>
              <w:outlineLvl w:val="5"/>
            </w:pPr>
            <w:r>
              <w:rPr>
                <w:rFonts w:hint="eastAsia"/>
              </w:rPr>
              <w:t>0.03</w:t>
            </w:r>
          </w:p>
        </w:tc>
        <w:tc>
          <w:tcPr>
            <w:tcW w:w="469" w:type="pct"/>
            <w:vAlign w:val="center"/>
          </w:tcPr>
          <w:p>
            <w:pPr>
              <w:pStyle w:val="8"/>
              <w:ind w:firstLine="0" w:firstLineChars="0"/>
              <w:outlineLvl w:val="5"/>
            </w:pPr>
            <w:r>
              <w:rPr>
                <w:rFonts w:hint="eastAsia"/>
              </w:rPr>
              <w:t>0.03</w:t>
            </w:r>
          </w:p>
        </w:tc>
        <w:tc>
          <w:tcPr>
            <w:tcW w:w="469" w:type="pct"/>
            <w:vAlign w:val="center"/>
          </w:tcPr>
          <w:p>
            <w:pPr>
              <w:pStyle w:val="8"/>
              <w:ind w:firstLine="0" w:firstLineChars="0"/>
              <w:outlineLvl w:val="5"/>
            </w:pPr>
            <w:r>
              <w:rPr>
                <w:rFonts w:hint="eastAsia"/>
              </w:rPr>
              <w:t>0.03</w:t>
            </w:r>
          </w:p>
        </w:tc>
        <w:tc>
          <w:tcPr>
            <w:tcW w:w="469" w:type="pct"/>
            <w:vAlign w:val="center"/>
          </w:tcPr>
          <w:p>
            <w:pPr>
              <w:pStyle w:val="8"/>
              <w:ind w:firstLine="0" w:firstLineChars="0"/>
              <w:outlineLvl w:val="5"/>
            </w:pPr>
            <w:r>
              <w:rPr>
                <w:rFonts w:hint="eastAsia"/>
              </w:rPr>
              <w:t>0.04</w:t>
            </w:r>
          </w:p>
        </w:tc>
        <w:tc>
          <w:tcPr>
            <w:tcW w:w="469" w:type="pct"/>
            <w:vAlign w:val="center"/>
          </w:tcPr>
          <w:p>
            <w:pPr>
              <w:pStyle w:val="8"/>
              <w:ind w:firstLine="0" w:firstLineChars="0"/>
              <w:outlineLvl w:val="5"/>
            </w:pPr>
            <w:r>
              <w:rPr>
                <w:rFonts w:hint="eastAsia"/>
              </w:rPr>
              <w:t>0.02</w:t>
            </w:r>
          </w:p>
        </w:tc>
        <w:tc>
          <w:tcPr>
            <w:tcW w:w="484" w:type="pct"/>
            <w:vAlign w:val="center"/>
          </w:tcPr>
          <w:p>
            <w:pPr>
              <w:pStyle w:val="8"/>
              <w:ind w:firstLine="0" w:firstLineChars="0"/>
              <w:outlineLvl w:val="5"/>
            </w:pPr>
            <w:r>
              <w:rPr>
                <w:rFonts w:hint="eastAsia"/>
              </w:rPr>
              <w:t>0.03</w:t>
            </w:r>
          </w:p>
        </w:tc>
        <w:tc>
          <w:tcPr>
            <w:tcW w:w="389" w:type="pct"/>
            <w:vMerge w:val="continue"/>
            <w:vAlign w:val="center"/>
          </w:tcPr>
          <w:p>
            <w:pPr>
              <w:pStyle w:val="8"/>
              <w:adjustRightInd w:val="0"/>
              <w:snapToGrid w:val="0"/>
              <w:spacing w:line="240" w:lineRule="atLeast"/>
              <w:ind w:firstLine="0" w:firstLineChars="0"/>
              <w:outlineLvl w:val="5"/>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9" w:type="pct"/>
            <w:vMerge w:val="continue"/>
            <w:vAlign w:val="center"/>
          </w:tcPr>
          <w:p>
            <w:pPr>
              <w:pStyle w:val="8"/>
              <w:adjustRightInd w:val="0"/>
              <w:snapToGrid w:val="0"/>
              <w:spacing w:line="240" w:lineRule="atLeast"/>
              <w:ind w:firstLine="0" w:firstLineChars="0"/>
              <w:outlineLvl w:val="5"/>
            </w:pPr>
          </w:p>
        </w:tc>
        <w:tc>
          <w:tcPr>
            <w:tcW w:w="638" w:type="pct"/>
            <w:vMerge w:val="continue"/>
            <w:vAlign w:val="center"/>
          </w:tcPr>
          <w:p>
            <w:pPr>
              <w:pStyle w:val="31"/>
              <w:snapToGrid w:val="0"/>
              <w:spacing w:line="240" w:lineRule="atLeast"/>
              <w:jc w:val="center"/>
              <w:textAlignment w:val="baseline"/>
              <w:rPr>
                <w:rFonts w:ascii="宋体" w:hAnsi="宋体" w:eastAsia="宋体"/>
                <w:color w:val="auto"/>
                <w:kern w:val="2"/>
                <w:sz w:val="21"/>
                <w:szCs w:val="21"/>
              </w:rPr>
            </w:pPr>
          </w:p>
        </w:tc>
        <w:tc>
          <w:tcPr>
            <w:tcW w:w="645" w:type="pct"/>
            <w:vAlign w:val="center"/>
          </w:tcPr>
          <w:p>
            <w:pPr>
              <w:pStyle w:val="8"/>
              <w:ind w:firstLine="0" w:firstLineChars="0"/>
              <w:outlineLvl w:val="5"/>
            </w:pPr>
            <w:r>
              <w:rPr>
                <w:rFonts w:hint="eastAsia"/>
              </w:rPr>
              <w:t>0.04</w:t>
            </w:r>
          </w:p>
        </w:tc>
        <w:tc>
          <w:tcPr>
            <w:tcW w:w="468" w:type="pct"/>
            <w:vAlign w:val="center"/>
          </w:tcPr>
          <w:p>
            <w:pPr>
              <w:pStyle w:val="8"/>
              <w:ind w:firstLine="0" w:firstLineChars="0"/>
              <w:outlineLvl w:val="5"/>
            </w:pPr>
            <w:r>
              <w:rPr>
                <w:rFonts w:hint="eastAsia"/>
              </w:rPr>
              <w:t>0.02</w:t>
            </w:r>
          </w:p>
        </w:tc>
        <w:tc>
          <w:tcPr>
            <w:tcW w:w="469" w:type="pct"/>
            <w:vAlign w:val="center"/>
          </w:tcPr>
          <w:p>
            <w:pPr>
              <w:pStyle w:val="8"/>
              <w:ind w:firstLine="0" w:firstLineChars="0"/>
              <w:outlineLvl w:val="5"/>
            </w:pPr>
            <w:r>
              <w:rPr>
                <w:rFonts w:hint="eastAsia"/>
              </w:rPr>
              <w:t>0.03</w:t>
            </w:r>
          </w:p>
        </w:tc>
        <w:tc>
          <w:tcPr>
            <w:tcW w:w="469" w:type="pct"/>
            <w:vAlign w:val="center"/>
          </w:tcPr>
          <w:p>
            <w:pPr>
              <w:pStyle w:val="8"/>
              <w:ind w:firstLine="0" w:firstLineChars="0"/>
              <w:outlineLvl w:val="5"/>
            </w:pPr>
            <w:r>
              <w:rPr>
                <w:rFonts w:hint="eastAsia"/>
              </w:rPr>
              <w:t>0.04</w:t>
            </w:r>
          </w:p>
        </w:tc>
        <w:tc>
          <w:tcPr>
            <w:tcW w:w="469" w:type="pct"/>
            <w:vAlign w:val="center"/>
          </w:tcPr>
          <w:p>
            <w:pPr>
              <w:pStyle w:val="8"/>
              <w:ind w:firstLine="0" w:firstLineChars="0"/>
              <w:outlineLvl w:val="5"/>
            </w:pPr>
            <w:r>
              <w:rPr>
                <w:rFonts w:hint="eastAsia"/>
              </w:rPr>
              <w:t>0.03</w:t>
            </w:r>
          </w:p>
        </w:tc>
        <w:tc>
          <w:tcPr>
            <w:tcW w:w="469" w:type="pct"/>
            <w:vAlign w:val="center"/>
          </w:tcPr>
          <w:p>
            <w:pPr>
              <w:pStyle w:val="8"/>
              <w:ind w:firstLine="0" w:firstLineChars="0"/>
              <w:outlineLvl w:val="5"/>
            </w:pPr>
            <w:r>
              <w:rPr>
                <w:rFonts w:hint="eastAsia"/>
              </w:rPr>
              <w:t>0.04</w:t>
            </w:r>
          </w:p>
        </w:tc>
        <w:tc>
          <w:tcPr>
            <w:tcW w:w="484" w:type="pct"/>
            <w:vAlign w:val="center"/>
          </w:tcPr>
          <w:p>
            <w:pPr>
              <w:pStyle w:val="8"/>
              <w:ind w:firstLine="0" w:firstLineChars="0"/>
              <w:outlineLvl w:val="5"/>
            </w:pPr>
            <w:r>
              <w:rPr>
                <w:rFonts w:hint="eastAsia"/>
              </w:rPr>
              <w:t>0.03</w:t>
            </w:r>
          </w:p>
        </w:tc>
        <w:tc>
          <w:tcPr>
            <w:tcW w:w="389" w:type="pct"/>
            <w:vMerge w:val="continue"/>
            <w:vAlign w:val="center"/>
          </w:tcPr>
          <w:p>
            <w:pPr>
              <w:pStyle w:val="8"/>
              <w:adjustRightInd w:val="0"/>
              <w:snapToGrid w:val="0"/>
              <w:spacing w:line="240" w:lineRule="atLeast"/>
              <w:ind w:firstLine="0" w:firstLineChars="0"/>
              <w:outlineLvl w:val="5"/>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9" w:type="pct"/>
            <w:vMerge w:val="continue"/>
            <w:vAlign w:val="center"/>
          </w:tcPr>
          <w:p>
            <w:pPr>
              <w:pStyle w:val="8"/>
              <w:adjustRightInd w:val="0"/>
              <w:snapToGrid w:val="0"/>
              <w:spacing w:line="240" w:lineRule="atLeast"/>
              <w:ind w:firstLine="0" w:firstLineChars="0"/>
              <w:outlineLvl w:val="5"/>
            </w:pPr>
          </w:p>
        </w:tc>
        <w:tc>
          <w:tcPr>
            <w:tcW w:w="638" w:type="pct"/>
            <w:vMerge w:val="continue"/>
            <w:vAlign w:val="center"/>
          </w:tcPr>
          <w:p>
            <w:pPr>
              <w:pStyle w:val="31"/>
              <w:snapToGrid w:val="0"/>
              <w:spacing w:line="240" w:lineRule="atLeast"/>
              <w:jc w:val="center"/>
              <w:textAlignment w:val="baseline"/>
              <w:rPr>
                <w:rFonts w:ascii="宋体" w:hAnsi="宋体" w:eastAsia="宋体"/>
                <w:color w:val="auto"/>
                <w:kern w:val="2"/>
                <w:sz w:val="21"/>
                <w:szCs w:val="21"/>
              </w:rPr>
            </w:pPr>
          </w:p>
        </w:tc>
        <w:tc>
          <w:tcPr>
            <w:tcW w:w="645" w:type="pct"/>
            <w:vAlign w:val="center"/>
          </w:tcPr>
          <w:p>
            <w:pPr>
              <w:pStyle w:val="8"/>
              <w:ind w:firstLine="0" w:firstLineChars="0"/>
              <w:outlineLvl w:val="5"/>
            </w:pPr>
            <w:r>
              <w:rPr>
                <w:rFonts w:hint="eastAsia"/>
              </w:rPr>
              <w:t>0.04</w:t>
            </w:r>
          </w:p>
        </w:tc>
        <w:tc>
          <w:tcPr>
            <w:tcW w:w="468" w:type="pct"/>
            <w:vAlign w:val="center"/>
          </w:tcPr>
          <w:p>
            <w:pPr>
              <w:pStyle w:val="8"/>
              <w:ind w:firstLine="0" w:firstLineChars="0"/>
              <w:outlineLvl w:val="5"/>
            </w:pPr>
            <w:r>
              <w:rPr>
                <w:rFonts w:hint="eastAsia"/>
              </w:rPr>
              <w:t>0.02</w:t>
            </w:r>
          </w:p>
        </w:tc>
        <w:tc>
          <w:tcPr>
            <w:tcW w:w="469" w:type="pct"/>
            <w:vAlign w:val="center"/>
          </w:tcPr>
          <w:p>
            <w:pPr>
              <w:pStyle w:val="8"/>
              <w:ind w:firstLine="0" w:firstLineChars="0"/>
              <w:outlineLvl w:val="5"/>
            </w:pPr>
            <w:r>
              <w:rPr>
                <w:rFonts w:hint="eastAsia"/>
              </w:rPr>
              <w:t>0.03</w:t>
            </w:r>
          </w:p>
        </w:tc>
        <w:tc>
          <w:tcPr>
            <w:tcW w:w="469" w:type="pct"/>
            <w:vAlign w:val="center"/>
          </w:tcPr>
          <w:p>
            <w:pPr>
              <w:pStyle w:val="8"/>
              <w:ind w:firstLine="0" w:firstLineChars="0"/>
              <w:outlineLvl w:val="5"/>
            </w:pPr>
            <w:r>
              <w:rPr>
                <w:rFonts w:hint="eastAsia"/>
              </w:rPr>
              <w:t>0.02</w:t>
            </w:r>
          </w:p>
        </w:tc>
        <w:tc>
          <w:tcPr>
            <w:tcW w:w="469" w:type="pct"/>
            <w:vAlign w:val="center"/>
          </w:tcPr>
          <w:p>
            <w:pPr>
              <w:pStyle w:val="8"/>
              <w:ind w:firstLine="0" w:firstLineChars="0"/>
              <w:outlineLvl w:val="5"/>
            </w:pPr>
            <w:r>
              <w:rPr>
                <w:rFonts w:hint="eastAsia"/>
              </w:rPr>
              <w:t>0.04</w:t>
            </w:r>
          </w:p>
        </w:tc>
        <w:tc>
          <w:tcPr>
            <w:tcW w:w="469" w:type="pct"/>
            <w:vAlign w:val="center"/>
          </w:tcPr>
          <w:p>
            <w:pPr>
              <w:pStyle w:val="8"/>
              <w:ind w:firstLine="0" w:firstLineChars="0"/>
              <w:outlineLvl w:val="5"/>
            </w:pPr>
            <w:r>
              <w:rPr>
                <w:rFonts w:hint="eastAsia"/>
              </w:rPr>
              <w:t>0.03</w:t>
            </w:r>
          </w:p>
        </w:tc>
        <w:tc>
          <w:tcPr>
            <w:tcW w:w="484" w:type="pct"/>
            <w:vAlign w:val="center"/>
          </w:tcPr>
          <w:p>
            <w:pPr>
              <w:pStyle w:val="8"/>
              <w:ind w:firstLine="0" w:firstLineChars="0"/>
              <w:outlineLvl w:val="5"/>
            </w:pPr>
            <w:r>
              <w:rPr>
                <w:rFonts w:hint="eastAsia"/>
              </w:rPr>
              <w:t>0.04</w:t>
            </w:r>
          </w:p>
        </w:tc>
        <w:tc>
          <w:tcPr>
            <w:tcW w:w="389" w:type="pct"/>
            <w:vMerge w:val="continue"/>
            <w:vAlign w:val="center"/>
          </w:tcPr>
          <w:p>
            <w:pPr>
              <w:pStyle w:val="8"/>
              <w:adjustRightInd w:val="0"/>
              <w:snapToGrid w:val="0"/>
              <w:spacing w:line="240" w:lineRule="atLeast"/>
              <w:ind w:firstLine="0" w:firstLineChars="0"/>
              <w:outlineLvl w:val="5"/>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99" w:type="pct"/>
            <w:vMerge w:val="continue"/>
            <w:vAlign w:val="center"/>
          </w:tcPr>
          <w:p>
            <w:pPr>
              <w:pStyle w:val="8"/>
              <w:adjustRightInd w:val="0"/>
              <w:snapToGrid w:val="0"/>
              <w:spacing w:line="240" w:lineRule="atLeast"/>
              <w:ind w:firstLine="0" w:firstLineChars="0"/>
              <w:outlineLvl w:val="5"/>
            </w:pPr>
          </w:p>
        </w:tc>
        <w:tc>
          <w:tcPr>
            <w:tcW w:w="638" w:type="pct"/>
            <w:vMerge w:val="restart"/>
            <w:vAlign w:val="center"/>
          </w:tcPr>
          <w:p>
            <w:pPr>
              <w:pStyle w:val="31"/>
              <w:snapToGrid w:val="0"/>
              <w:spacing w:line="240" w:lineRule="atLeast"/>
              <w:jc w:val="center"/>
              <w:textAlignment w:val="baseline"/>
              <w:rPr>
                <w:rFonts w:hint="default"/>
              </w:rPr>
            </w:pPr>
            <w:r>
              <w:rPr>
                <w:rFonts w:ascii="宋体" w:hAnsi="宋体" w:eastAsia="宋体"/>
                <w:kern w:val="2"/>
                <w:sz w:val="21"/>
                <w:szCs w:val="21"/>
              </w:rPr>
              <w:t>硫化氢</w:t>
            </w:r>
          </w:p>
        </w:tc>
        <w:tc>
          <w:tcPr>
            <w:tcW w:w="645" w:type="pct"/>
            <w:vAlign w:val="center"/>
          </w:tcPr>
          <w:p>
            <w:pPr>
              <w:pStyle w:val="8"/>
              <w:ind w:firstLine="0" w:firstLineChars="0"/>
              <w:outlineLvl w:val="5"/>
            </w:pPr>
            <w:r>
              <w:rPr>
                <w:rFonts w:hint="eastAsia"/>
              </w:rPr>
              <w:t>0.002</w:t>
            </w:r>
          </w:p>
        </w:tc>
        <w:tc>
          <w:tcPr>
            <w:tcW w:w="468" w:type="pct"/>
            <w:vAlign w:val="center"/>
          </w:tcPr>
          <w:p>
            <w:pPr>
              <w:pStyle w:val="8"/>
              <w:ind w:firstLine="0" w:firstLineChars="0"/>
              <w:outlineLvl w:val="5"/>
            </w:pPr>
            <w:r>
              <w:rPr>
                <w:rFonts w:hint="eastAsia"/>
              </w:rPr>
              <w:t>0.004</w:t>
            </w:r>
          </w:p>
        </w:tc>
        <w:tc>
          <w:tcPr>
            <w:tcW w:w="469" w:type="pct"/>
            <w:vAlign w:val="center"/>
          </w:tcPr>
          <w:p>
            <w:pPr>
              <w:pStyle w:val="8"/>
              <w:ind w:firstLine="0" w:firstLineChars="0"/>
              <w:outlineLvl w:val="5"/>
            </w:pPr>
            <w:r>
              <w:rPr>
                <w:rFonts w:hint="eastAsia"/>
              </w:rPr>
              <w:t>0.004</w:t>
            </w:r>
          </w:p>
        </w:tc>
        <w:tc>
          <w:tcPr>
            <w:tcW w:w="469" w:type="pct"/>
            <w:vAlign w:val="center"/>
          </w:tcPr>
          <w:p>
            <w:pPr>
              <w:pStyle w:val="8"/>
              <w:ind w:firstLine="0" w:firstLineChars="0"/>
              <w:outlineLvl w:val="5"/>
            </w:pPr>
            <w:r>
              <w:rPr>
                <w:rFonts w:hint="eastAsia"/>
              </w:rPr>
              <w:t>0.004</w:t>
            </w:r>
          </w:p>
        </w:tc>
        <w:tc>
          <w:tcPr>
            <w:tcW w:w="469" w:type="pct"/>
            <w:vAlign w:val="center"/>
          </w:tcPr>
          <w:p>
            <w:pPr>
              <w:pStyle w:val="8"/>
              <w:ind w:firstLine="0" w:firstLineChars="0"/>
              <w:outlineLvl w:val="5"/>
            </w:pPr>
            <w:r>
              <w:rPr>
                <w:rFonts w:hint="eastAsia"/>
              </w:rPr>
              <w:t>0.002</w:t>
            </w:r>
          </w:p>
        </w:tc>
        <w:tc>
          <w:tcPr>
            <w:tcW w:w="469" w:type="pct"/>
            <w:vAlign w:val="center"/>
          </w:tcPr>
          <w:p>
            <w:pPr>
              <w:pStyle w:val="8"/>
              <w:ind w:firstLine="0" w:firstLineChars="0"/>
              <w:outlineLvl w:val="5"/>
            </w:pPr>
            <w:r>
              <w:rPr>
                <w:rFonts w:hint="eastAsia"/>
              </w:rPr>
              <w:t>0.004</w:t>
            </w:r>
          </w:p>
        </w:tc>
        <w:tc>
          <w:tcPr>
            <w:tcW w:w="484" w:type="pct"/>
            <w:vAlign w:val="center"/>
          </w:tcPr>
          <w:p>
            <w:pPr>
              <w:pStyle w:val="8"/>
              <w:ind w:firstLine="0" w:firstLineChars="0"/>
              <w:outlineLvl w:val="5"/>
            </w:pPr>
            <w:r>
              <w:rPr>
                <w:rFonts w:hint="eastAsia"/>
              </w:rPr>
              <w:t>0.004</w:t>
            </w:r>
          </w:p>
        </w:tc>
        <w:tc>
          <w:tcPr>
            <w:tcW w:w="389" w:type="pct"/>
            <w:vMerge w:val="restart"/>
            <w:vAlign w:val="center"/>
          </w:tcPr>
          <w:p>
            <w:pPr>
              <w:pStyle w:val="8"/>
              <w:adjustRightInd w:val="0"/>
              <w:snapToGrid w:val="0"/>
              <w:spacing w:line="240" w:lineRule="atLeast"/>
              <w:ind w:firstLine="0" w:firstLineChars="0"/>
              <w:outlineLvl w:val="5"/>
            </w:pPr>
            <w:r>
              <w:rPr>
                <w:rFonts w:hint="eastAsia"/>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 w:type="pct"/>
            <w:vMerge w:val="continue"/>
            <w:vAlign w:val="center"/>
          </w:tcPr>
          <w:p>
            <w:pPr>
              <w:pStyle w:val="8"/>
              <w:adjustRightInd w:val="0"/>
              <w:snapToGrid w:val="0"/>
              <w:spacing w:line="240" w:lineRule="atLeast"/>
              <w:ind w:firstLine="0" w:firstLineChars="0"/>
              <w:outlineLvl w:val="5"/>
            </w:pPr>
          </w:p>
        </w:tc>
        <w:tc>
          <w:tcPr>
            <w:tcW w:w="646" w:type="pct"/>
            <w:vMerge w:val="continue"/>
            <w:vAlign w:val="center"/>
          </w:tcPr>
          <w:p>
            <w:pPr>
              <w:pStyle w:val="31"/>
              <w:snapToGrid w:val="0"/>
              <w:spacing w:line="240" w:lineRule="atLeast"/>
              <w:jc w:val="center"/>
              <w:textAlignment w:val="baseline"/>
              <w:rPr>
                <w:rFonts w:ascii="宋体" w:hAnsi="宋体" w:eastAsia="宋体"/>
                <w:kern w:val="2"/>
                <w:sz w:val="21"/>
                <w:szCs w:val="21"/>
              </w:rPr>
            </w:pPr>
          </w:p>
        </w:tc>
        <w:tc>
          <w:tcPr>
            <w:tcW w:w="645" w:type="pct"/>
            <w:vAlign w:val="center"/>
          </w:tcPr>
          <w:p>
            <w:pPr>
              <w:pStyle w:val="8"/>
              <w:ind w:firstLine="0" w:firstLineChars="0"/>
              <w:outlineLvl w:val="5"/>
            </w:pPr>
            <w:r>
              <w:rPr>
                <w:rFonts w:hint="eastAsia"/>
              </w:rPr>
              <w:t>0.002</w:t>
            </w:r>
          </w:p>
        </w:tc>
        <w:tc>
          <w:tcPr>
            <w:tcW w:w="476" w:type="pct"/>
            <w:vAlign w:val="center"/>
          </w:tcPr>
          <w:p>
            <w:pPr>
              <w:pStyle w:val="8"/>
              <w:ind w:firstLine="0" w:firstLineChars="0"/>
              <w:outlineLvl w:val="5"/>
            </w:pPr>
            <w:r>
              <w:rPr>
                <w:rFonts w:hint="eastAsia"/>
              </w:rPr>
              <w:t>0.002</w:t>
            </w:r>
          </w:p>
        </w:tc>
        <w:tc>
          <w:tcPr>
            <w:tcW w:w="478" w:type="pct"/>
            <w:vAlign w:val="center"/>
          </w:tcPr>
          <w:p>
            <w:pPr>
              <w:pStyle w:val="8"/>
              <w:ind w:firstLine="0" w:firstLineChars="0"/>
              <w:outlineLvl w:val="5"/>
            </w:pPr>
            <w:r>
              <w:rPr>
                <w:rFonts w:hint="eastAsia"/>
              </w:rPr>
              <w:t>0.003</w:t>
            </w:r>
          </w:p>
        </w:tc>
        <w:tc>
          <w:tcPr>
            <w:tcW w:w="478" w:type="pct"/>
            <w:vAlign w:val="center"/>
          </w:tcPr>
          <w:p>
            <w:pPr>
              <w:pStyle w:val="8"/>
              <w:ind w:firstLine="0" w:firstLineChars="0"/>
              <w:outlineLvl w:val="5"/>
            </w:pPr>
            <w:r>
              <w:rPr>
                <w:rFonts w:hint="eastAsia"/>
              </w:rPr>
              <w:t>0.004</w:t>
            </w:r>
          </w:p>
        </w:tc>
        <w:tc>
          <w:tcPr>
            <w:tcW w:w="478" w:type="pct"/>
            <w:vAlign w:val="center"/>
          </w:tcPr>
          <w:p>
            <w:pPr>
              <w:pStyle w:val="8"/>
              <w:ind w:firstLine="0" w:firstLineChars="0"/>
              <w:outlineLvl w:val="5"/>
            </w:pPr>
            <w:r>
              <w:rPr>
                <w:rFonts w:hint="eastAsia"/>
              </w:rPr>
              <w:t>0.003</w:t>
            </w:r>
          </w:p>
        </w:tc>
        <w:tc>
          <w:tcPr>
            <w:tcW w:w="478" w:type="pct"/>
            <w:vAlign w:val="center"/>
          </w:tcPr>
          <w:p>
            <w:pPr>
              <w:pStyle w:val="8"/>
              <w:ind w:firstLine="0" w:firstLineChars="0"/>
              <w:outlineLvl w:val="5"/>
            </w:pPr>
            <w:r>
              <w:rPr>
                <w:rFonts w:hint="eastAsia"/>
              </w:rPr>
              <w:t>0.004</w:t>
            </w:r>
          </w:p>
        </w:tc>
        <w:tc>
          <w:tcPr>
            <w:tcW w:w="492" w:type="pct"/>
            <w:vAlign w:val="center"/>
          </w:tcPr>
          <w:p>
            <w:pPr>
              <w:pStyle w:val="8"/>
              <w:ind w:firstLine="0" w:firstLineChars="0"/>
              <w:outlineLvl w:val="5"/>
            </w:pPr>
            <w:r>
              <w:rPr>
                <w:rFonts w:hint="eastAsia"/>
              </w:rPr>
              <w:t>0.003</w:t>
            </w:r>
          </w:p>
        </w:tc>
        <w:tc>
          <w:tcPr>
            <w:tcW w:w="322" w:type="pct"/>
            <w:vMerge w:val="continue"/>
            <w:vAlign w:val="center"/>
          </w:tcPr>
          <w:p>
            <w:pPr>
              <w:pStyle w:val="8"/>
              <w:adjustRightInd w:val="0"/>
              <w:snapToGrid w:val="0"/>
              <w:spacing w:line="240" w:lineRule="atLeast"/>
              <w:ind w:firstLine="0" w:firstLineChars="0"/>
              <w:outlineLvl w:val="5"/>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 w:type="pct"/>
            <w:vMerge w:val="continue"/>
            <w:vAlign w:val="center"/>
          </w:tcPr>
          <w:p>
            <w:pPr>
              <w:pStyle w:val="8"/>
              <w:adjustRightInd w:val="0"/>
              <w:snapToGrid w:val="0"/>
              <w:spacing w:line="240" w:lineRule="atLeast"/>
              <w:ind w:firstLine="0" w:firstLineChars="0"/>
              <w:outlineLvl w:val="5"/>
            </w:pPr>
          </w:p>
        </w:tc>
        <w:tc>
          <w:tcPr>
            <w:tcW w:w="646" w:type="pct"/>
            <w:vMerge w:val="continue"/>
            <w:vAlign w:val="center"/>
          </w:tcPr>
          <w:p>
            <w:pPr>
              <w:pStyle w:val="31"/>
              <w:snapToGrid w:val="0"/>
              <w:spacing w:line="240" w:lineRule="atLeast"/>
              <w:jc w:val="center"/>
              <w:textAlignment w:val="baseline"/>
              <w:rPr>
                <w:rFonts w:ascii="宋体" w:hAnsi="宋体" w:eastAsia="宋体"/>
                <w:kern w:val="2"/>
                <w:sz w:val="21"/>
                <w:szCs w:val="21"/>
              </w:rPr>
            </w:pPr>
          </w:p>
        </w:tc>
        <w:tc>
          <w:tcPr>
            <w:tcW w:w="645" w:type="pct"/>
            <w:vAlign w:val="center"/>
          </w:tcPr>
          <w:p>
            <w:pPr>
              <w:pStyle w:val="8"/>
              <w:ind w:firstLine="0" w:firstLineChars="0"/>
              <w:outlineLvl w:val="5"/>
            </w:pPr>
            <w:r>
              <w:rPr>
                <w:rFonts w:hint="eastAsia"/>
              </w:rPr>
              <w:t>0.002</w:t>
            </w:r>
          </w:p>
        </w:tc>
        <w:tc>
          <w:tcPr>
            <w:tcW w:w="476" w:type="pct"/>
            <w:vAlign w:val="center"/>
          </w:tcPr>
          <w:p>
            <w:pPr>
              <w:pStyle w:val="8"/>
              <w:ind w:firstLine="0" w:firstLineChars="0"/>
              <w:outlineLvl w:val="5"/>
            </w:pPr>
            <w:r>
              <w:rPr>
                <w:rFonts w:hint="eastAsia"/>
              </w:rPr>
              <w:t>0.003</w:t>
            </w:r>
          </w:p>
        </w:tc>
        <w:tc>
          <w:tcPr>
            <w:tcW w:w="478" w:type="pct"/>
            <w:vAlign w:val="center"/>
          </w:tcPr>
          <w:p>
            <w:pPr>
              <w:pStyle w:val="8"/>
              <w:ind w:firstLine="0" w:firstLineChars="0"/>
              <w:outlineLvl w:val="5"/>
            </w:pPr>
            <w:r>
              <w:rPr>
                <w:rFonts w:hint="eastAsia"/>
              </w:rPr>
              <w:t>0.004</w:t>
            </w:r>
          </w:p>
        </w:tc>
        <w:tc>
          <w:tcPr>
            <w:tcW w:w="478" w:type="pct"/>
            <w:vAlign w:val="center"/>
          </w:tcPr>
          <w:p>
            <w:pPr>
              <w:pStyle w:val="8"/>
              <w:ind w:firstLine="0" w:firstLineChars="0"/>
              <w:outlineLvl w:val="5"/>
            </w:pPr>
            <w:r>
              <w:rPr>
                <w:rFonts w:hint="eastAsia"/>
              </w:rPr>
              <w:t>0.003</w:t>
            </w:r>
          </w:p>
        </w:tc>
        <w:tc>
          <w:tcPr>
            <w:tcW w:w="478" w:type="pct"/>
            <w:vAlign w:val="center"/>
          </w:tcPr>
          <w:p>
            <w:pPr>
              <w:pStyle w:val="8"/>
              <w:ind w:firstLine="0" w:firstLineChars="0"/>
              <w:outlineLvl w:val="5"/>
            </w:pPr>
            <w:r>
              <w:rPr>
                <w:rFonts w:hint="eastAsia"/>
              </w:rPr>
              <w:t>0.003</w:t>
            </w:r>
          </w:p>
        </w:tc>
        <w:tc>
          <w:tcPr>
            <w:tcW w:w="478" w:type="pct"/>
            <w:vAlign w:val="center"/>
          </w:tcPr>
          <w:p>
            <w:pPr>
              <w:pStyle w:val="8"/>
              <w:ind w:firstLine="0" w:firstLineChars="0"/>
              <w:outlineLvl w:val="5"/>
            </w:pPr>
            <w:r>
              <w:rPr>
                <w:rFonts w:hint="eastAsia"/>
              </w:rPr>
              <w:t>0.003</w:t>
            </w:r>
          </w:p>
        </w:tc>
        <w:tc>
          <w:tcPr>
            <w:tcW w:w="492" w:type="pct"/>
            <w:vAlign w:val="center"/>
          </w:tcPr>
          <w:p>
            <w:pPr>
              <w:pStyle w:val="8"/>
              <w:ind w:firstLine="0" w:firstLineChars="0"/>
              <w:outlineLvl w:val="5"/>
            </w:pPr>
            <w:r>
              <w:rPr>
                <w:rFonts w:hint="eastAsia"/>
              </w:rPr>
              <w:t>0.004</w:t>
            </w:r>
          </w:p>
        </w:tc>
        <w:tc>
          <w:tcPr>
            <w:tcW w:w="322" w:type="pct"/>
            <w:vMerge w:val="continue"/>
            <w:vAlign w:val="center"/>
          </w:tcPr>
          <w:p>
            <w:pPr>
              <w:pStyle w:val="8"/>
              <w:adjustRightInd w:val="0"/>
              <w:snapToGrid w:val="0"/>
              <w:spacing w:line="240" w:lineRule="atLeast"/>
              <w:ind w:firstLine="0" w:firstLineChars="0"/>
              <w:outlineLvl w:val="5"/>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7" w:type="pct"/>
            <w:vMerge w:val="continue"/>
            <w:vAlign w:val="center"/>
          </w:tcPr>
          <w:p>
            <w:pPr>
              <w:pStyle w:val="8"/>
              <w:adjustRightInd w:val="0"/>
              <w:snapToGrid w:val="0"/>
              <w:spacing w:line="240" w:lineRule="atLeast"/>
              <w:ind w:firstLine="0" w:firstLineChars="0"/>
              <w:outlineLvl w:val="5"/>
            </w:pPr>
          </w:p>
        </w:tc>
        <w:tc>
          <w:tcPr>
            <w:tcW w:w="646" w:type="pct"/>
            <w:vMerge w:val="continue"/>
            <w:vAlign w:val="center"/>
          </w:tcPr>
          <w:p>
            <w:pPr>
              <w:pStyle w:val="31"/>
              <w:snapToGrid w:val="0"/>
              <w:spacing w:line="240" w:lineRule="atLeast"/>
              <w:jc w:val="center"/>
              <w:textAlignment w:val="baseline"/>
              <w:rPr>
                <w:rFonts w:ascii="宋体" w:hAnsi="宋体" w:eastAsia="宋体"/>
                <w:kern w:val="2"/>
                <w:sz w:val="21"/>
                <w:szCs w:val="21"/>
              </w:rPr>
            </w:pPr>
          </w:p>
        </w:tc>
        <w:tc>
          <w:tcPr>
            <w:tcW w:w="645" w:type="pct"/>
            <w:vAlign w:val="center"/>
          </w:tcPr>
          <w:p>
            <w:pPr>
              <w:pStyle w:val="8"/>
              <w:ind w:firstLine="0" w:firstLineChars="0"/>
              <w:outlineLvl w:val="5"/>
            </w:pPr>
            <w:r>
              <w:rPr>
                <w:rFonts w:hint="eastAsia"/>
              </w:rPr>
              <w:t>0.002</w:t>
            </w:r>
          </w:p>
        </w:tc>
        <w:tc>
          <w:tcPr>
            <w:tcW w:w="476" w:type="pct"/>
            <w:vAlign w:val="center"/>
          </w:tcPr>
          <w:p>
            <w:pPr>
              <w:pStyle w:val="8"/>
              <w:ind w:firstLine="0" w:firstLineChars="0"/>
              <w:outlineLvl w:val="5"/>
            </w:pPr>
            <w:r>
              <w:rPr>
                <w:rFonts w:hint="eastAsia"/>
              </w:rPr>
              <w:t>0.003</w:t>
            </w:r>
          </w:p>
        </w:tc>
        <w:tc>
          <w:tcPr>
            <w:tcW w:w="478" w:type="pct"/>
            <w:vAlign w:val="center"/>
          </w:tcPr>
          <w:p>
            <w:pPr>
              <w:pStyle w:val="8"/>
              <w:ind w:firstLine="0" w:firstLineChars="0"/>
              <w:outlineLvl w:val="5"/>
            </w:pPr>
            <w:r>
              <w:rPr>
                <w:rFonts w:hint="eastAsia"/>
              </w:rPr>
              <w:t>0.004</w:t>
            </w:r>
          </w:p>
        </w:tc>
        <w:tc>
          <w:tcPr>
            <w:tcW w:w="478" w:type="pct"/>
            <w:vAlign w:val="center"/>
          </w:tcPr>
          <w:p>
            <w:pPr>
              <w:pStyle w:val="8"/>
              <w:ind w:firstLine="0" w:firstLineChars="0"/>
              <w:outlineLvl w:val="5"/>
            </w:pPr>
            <w:r>
              <w:rPr>
                <w:rFonts w:hint="eastAsia"/>
              </w:rPr>
              <w:t>0.004</w:t>
            </w:r>
          </w:p>
        </w:tc>
        <w:tc>
          <w:tcPr>
            <w:tcW w:w="478" w:type="pct"/>
            <w:vAlign w:val="center"/>
          </w:tcPr>
          <w:p>
            <w:pPr>
              <w:pStyle w:val="8"/>
              <w:ind w:firstLine="0" w:firstLineChars="0"/>
              <w:outlineLvl w:val="5"/>
            </w:pPr>
            <w:r>
              <w:rPr>
                <w:rFonts w:hint="eastAsia"/>
              </w:rPr>
              <w:t>0.003</w:t>
            </w:r>
          </w:p>
        </w:tc>
        <w:tc>
          <w:tcPr>
            <w:tcW w:w="478" w:type="pct"/>
            <w:vAlign w:val="center"/>
          </w:tcPr>
          <w:p>
            <w:pPr>
              <w:pStyle w:val="8"/>
              <w:ind w:firstLine="0" w:firstLineChars="0"/>
              <w:outlineLvl w:val="5"/>
            </w:pPr>
            <w:r>
              <w:rPr>
                <w:rFonts w:hint="eastAsia"/>
              </w:rPr>
              <w:t>0.004</w:t>
            </w:r>
          </w:p>
        </w:tc>
        <w:tc>
          <w:tcPr>
            <w:tcW w:w="492" w:type="pct"/>
            <w:vAlign w:val="center"/>
          </w:tcPr>
          <w:p>
            <w:pPr>
              <w:pStyle w:val="8"/>
              <w:ind w:firstLine="0" w:firstLineChars="0"/>
              <w:outlineLvl w:val="5"/>
            </w:pPr>
            <w:r>
              <w:rPr>
                <w:rFonts w:hint="eastAsia"/>
              </w:rPr>
              <w:t>0.002</w:t>
            </w:r>
          </w:p>
        </w:tc>
        <w:tc>
          <w:tcPr>
            <w:tcW w:w="322" w:type="pct"/>
            <w:vMerge w:val="continue"/>
            <w:vAlign w:val="center"/>
          </w:tcPr>
          <w:p>
            <w:pPr>
              <w:pStyle w:val="8"/>
              <w:adjustRightInd w:val="0"/>
              <w:snapToGrid w:val="0"/>
              <w:spacing w:line="240" w:lineRule="atLeast"/>
              <w:ind w:firstLine="0" w:firstLineChars="0"/>
              <w:outlineLvl w:val="5"/>
              <w:rPr>
                <w:rFonts w:hint="eastAsia"/>
              </w:rPr>
            </w:pPr>
          </w:p>
        </w:tc>
      </w:tr>
    </w:tbl>
    <w:p>
      <w:pPr>
        <w:spacing w:before="120" w:beforeLines="50"/>
        <w:ind w:firstLine="480"/>
      </w:pPr>
      <w:r>
        <w:rPr>
          <w:rFonts w:hint="eastAsia"/>
        </w:rPr>
        <w:t>由表</w:t>
      </w:r>
      <w:r>
        <w:t>4-</w:t>
      </w:r>
      <w:r>
        <w:rPr>
          <w:rFonts w:hint="eastAsia"/>
        </w:rPr>
        <w:t>6可知，特征污染物</w:t>
      </w:r>
      <w:r>
        <w:t>NH</w:t>
      </w:r>
      <w:r>
        <w:rPr>
          <w:vertAlign w:val="subscript"/>
        </w:rPr>
        <w:t>3</w:t>
      </w:r>
      <w:r>
        <w:rPr>
          <w:rFonts w:hint="eastAsia"/>
        </w:rPr>
        <w:t>、</w:t>
      </w:r>
      <w:r>
        <w:t>H</w:t>
      </w:r>
      <w:r>
        <w:rPr>
          <w:vertAlign w:val="subscript"/>
        </w:rPr>
        <w:t>2</w:t>
      </w:r>
      <w:r>
        <w:t>S</w:t>
      </w:r>
      <w:r>
        <w:rPr>
          <w:rFonts w:hint="eastAsia"/>
        </w:rPr>
        <w:t>可</w:t>
      </w:r>
      <w:bookmarkStart w:id="169" w:name="_Hlk486192634"/>
      <w:r>
        <w:rPr>
          <w:rFonts w:hint="eastAsia"/>
        </w:rPr>
        <w:t>满足《环境影响评价技术导则 大气环境》（HJ2.2-2018）附录D1“其他污染物空气质量参考限值”，该区域环境空气质量较好。</w:t>
      </w:r>
    </w:p>
    <w:bookmarkEnd w:id="169"/>
    <w:p>
      <w:pPr>
        <w:pStyle w:val="5"/>
        <w:spacing w:before="48" w:after="48"/>
      </w:pPr>
      <w:bookmarkStart w:id="170" w:name="_Toc489916029"/>
      <w:bookmarkStart w:id="171" w:name="_Toc468689173"/>
      <w:r>
        <w:rPr>
          <w:rFonts w:hint="eastAsia"/>
        </w:rPr>
        <w:t>3.2.3</w:t>
      </w:r>
      <w:r>
        <w:t>声环境质量现状监测与评价</w:t>
      </w:r>
      <w:bookmarkEnd w:id="170"/>
      <w:bookmarkEnd w:id="171"/>
    </w:p>
    <w:p>
      <w:pPr>
        <w:ind w:firstLine="480"/>
      </w:pPr>
      <w:r>
        <w:rPr>
          <w:rFonts w:hint="eastAsia"/>
        </w:rPr>
        <w:t>（</w:t>
      </w:r>
      <w:r>
        <w:t>1</w:t>
      </w:r>
      <w:r>
        <w:rPr>
          <w:rFonts w:hint="eastAsia"/>
        </w:rPr>
        <w:t>）监测布点</w:t>
      </w:r>
    </w:p>
    <w:p>
      <w:pPr>
        <w:ind w:firstLine="480"/>
      </w:pPr>
      <w:r>
        <w:rPr>
          <w:rFonts w:hint="eastAsia"/>
        </w:rPr>
        <w:t>本次声环境现状共设置4处监测点，分别为项目养殖区东、南、西、北面。监测单位为湖南宏润检测有限公司，监测点位置分布见附图。</w:t>
      </w:r>
    </w:p>
    <w:p>
      <w:pPr>
        <w:ind w:firstLine="480"/>
      </w:pPr>
      <w:r>
        <w:rPr>
          <w:rFonts w:hint="eastAsia"/>
        </w:rPr>
        <w:t>（</w:t>
      </w:r>
      <w:r>
        <w:t>2</w:t>
      </w:r>
      <w:r>
        <w:rPr>
          <w:rFonts w:hint="eastAsia"/>
        </w:rPr>
        <w:t>）监测时间、频率及方法</w:t>
      </w:r>
    </w:p>
    <w:p>
      <w:pPr>
        <w:ind w:firstLine="480"/>
      </w:pPr>
      <w:r>
        <w:rPr>
          <w:rFonts w:hint="eastAsia"/>
        </w:rPr>
        <w:t>监测时间为</w:t>
      </w:r>
      <w:r>
        <w:t>20</w:t>
      </w:r>
      <w:r>
        <w:rPr>
          <w:rFonts w:hint="eastAsia"/>
        </w:rPr>
        <w:t>20年10月29日-10月30日，依据《声环境质量标准》（</w:t>
      </w:r>
      <w:r>
        <w:t>GB3096-2008</w:t>
      </w:r>
      <w:r>
        <w:rPr>
          <w:rFonts w:hint="eastAsia"/>
        </w:rPr>
        <w:t>），监测</w:t>
      </w:r>
      <w:r>
        <w:t>1</w:t>
      </w:r>
      <w:r>
        <w:rPr>
          <w:rFonts w:hint="eastAsia"/>
        </w:rPr>
        <w:t>天，每天进行昼间、夜间各测</w:t>
      </w:r>
      <w:r>
        <w:t>1</w:t>
      </w:r>
      <w:r>
        <w:rPr>
          <w:rFonts w:hint="eastAsia"/>
        </w:rPr>
        <w:t>次，每次连续监测</w:t>
      </w:r>
      <w:r>
        <w:t>20min</w:t>
      </w:r>
      <w:r>
        <w:rPr>
          <w:rFonts w:hint="eastAsia"/>
        </w:rPr>
        <w:t>。</w:t>
      </w:r>
    </w:p>
    <w:p>
      <w:pPr>
        <w:ind w:firstLine="480"/>
      </w:pPr>
      <w:r>
        <w:rPr>
          <w:rFonts w:hint="eastAsia"/>
        </w:rPr>
        <w:t>（</w:t>
      </w:r>
      <w:r>
        <w:t>3</w:t>
      </w:r>
      <w:r>
        <w:rPr>
          <w:rFonts w:hint="eastAsia"/>
        </w:rPr>
        <w:t>）监测结果</w:t>
      </w:r>
    </w:p>
    <w:p>
      <w:pPr>
        <w:ind w:firstLine="480"/>
        <w:rPr>
          <w:rFonts w:hint="eastAsia"/>
        </w:rPr>
      </w:pPr>
      <w:r>
        <w:rPr>
          <w:rFonts w:hint="eastAsia"/>
        </w:rPr>
        <w:t>各敏感点昼、夜间监测结果见表</w:t>
      </w:r>
      <w:r>
        <w:t>4-</w:t>
      </w:r>
      <w:r>
        <w:rPr>
          <w:rFonts w:hint="eastAsia"/>
        </w:rPr>
        <w:t>7。</w:t>
      </w:r>
    </w:p>
    <w:p>
      <w:pPr>
        <w:ind w:firstLine="480"/>
      </w:pPr>
    </w:p>
    <w:p>
      <w:pPr>
        <w:ind w:firstLine="0" w:firstLineChars="0"/>
        <w:jc w:val="center"/>
        <w:rPr>
          <w:b/>
          <w:bCs/>
        </w:rPr>
      </w:pPr>
      <w:r>
        <w:rPr>
          <w:rFonts w:hint="eastAsia"/>
          <w:b/>
          <w:bCs/>
        </w:rPr>
        <w:t>表</w:t>
      </w:r>
      <w:r>
        <w:rPr>
          <w:b/>
          <w:bCs/>
        </w:rPr>
        <w:t>4-</w:t>
      </w:r>
      <w:r>
        <w:rPr>
          <w:rFonts w:hint="eastAsia"/>
          <w:b/>
          <w:bCs/>
        </w:rPr>
        <w:t>7声环境质量现状监测统计结果单位：</w:t>
      </w:r>
      <w:r>
        <w:rPr>
          <w:b/>
          <w:bCs/>
        </w:rPr>
        <w:t>dB(A)</w:t>
      </w:r>
    </w:p>
    <w:tbl>
      <w:tblPr>
        <w:tblStyle w:val="22"/>
        <w:tblW w:w="949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1"/>
        <w:gridCol w:w="2957"/>
        <w:gridCol w:w="1002"/>
        <w:gridCol w:w="1301"/>
        <w:gridCol w:w="1598"/>
        <w:gridCol w:w="15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Align w:val="center"/>
          </w:tcPr>
          <w:p>
            <w:pPr>
              <w:pStyle w:val="8"/>
              <w:spacing w:line="240" w:lineRule="atLeast"/>
              <w:ind w:firstLine="0" w:firstLineChars="0"/>
              <w:outlineLvl w:val="5"/>
            </w:pPr>
            <w:r>
              <w:t>检测</w:t>
            </w:r>
          </w:p>
          <w:p>
            <w:pPr>
              <w:pStyle w:val="8"/>
              <w:spacing w:line="240" w:lineRule="atLeast"/>
              <w:ind w:firstLine="0" w:firstLineChars="0"/>
              <w:outlineLvl w:val="5"/>
            </w:pPr>
            <w:r>
              <w:t>类型</w:t>
            </w:r>
          </w:p>
        </w:tc>
        <w:tc>
          <w:tcPr>
            <w:tcW w:w="2957" w:type="dxa"/>
            <w:vAlign w:val="center"/>
          </w:tcPr>
          <w:p>
            <w:pPr>
              <w:pStyle w:val="8"/>
              <w:spacing w:line="240" w:lineRule="atLeast"/>
              <w:ind w:firstLine="0" w:firstLineChars="0"/>
              <w:outlineLvl w:val="5"/>
            </w:pPr>
            <w:r>
              <w:t>采样点位</w:t>
            </w:r>
          </w:p>
        </w:tc>
        <w:tc>
          <w:tcPr>
            <w:tcW w:w="2303" w:type="dxa"/>
            <w:gridSpan w:val="2"/>
            <w:vAlign w:val="center"/>
          </w:tcPr>
          <w:p>
            <w:pPr>
              <w:pStyle w:val="8"/>
              <w:spacing w:line="240" w:lineRule="atLeast"/>
              <w:ind w:firstLine="0" w:firstLineChars="0"/>
              <w:outlineLvl w:val="5"/>
            </w:pPr>
            <w:r>
              <w:t>采样时间</w:t>
            </w:r>
          </w:p>
        </w:tc>
        <w:tc>
          <w:tcPr>
            <w:tcW w:w="1598" w:type="dxa"/>
            <w:vAlign w:val="center"/>
          </w:tcPr>
          <w:p>
            <w:pPr>
              <w:pStyle w:val="8"/>
              <w:spacing w:line="240" w:lineRule="atLeast"/>
              <w:ind w:firstLine="0" w:firstLineChars="0"/>
              <w:outlineLvl w:val="5"/>
            </w:pPr>
            <w:r>
              <w:t>检测值</w:t>
            </w:r>
          </w:p>
          <w:p>
            <w:pPr>
              <w:pStyle w:val="8"/>
              <w:spacing w:line="240" w:lineRule="atLeast"/>
              <w:ind w:firstLine="0" w:firstLineChars="0"/>
              <w:outlineLvl w:val="5"/>
            </w:pPr>
            <w:r>
              <w:t>[dB（A）]</w:t>
            </w:r>
          </w:p>
        </w:tc>
        <w:tc>
          <w:tcPr>
            <w:tcW w:w="1590" w:type="dxa"/>
            <w:vAlign w:val="center"/>
          </w:tcPr>
          <w:p>
            <w:pPr>
              <w:pStyle w:val="8"/>
              <w:spacing w:line="240" w:lineRule="atLeast"/>
              <w:ind w:firstLine="0" w:firstLineChars="0"/>
              <w:outlineLvl w:val="5"/>
            </w:pPr>
            <w:r>
              <w:t>参考限值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restart"/>
            <w:vAlign w:val="center"/>
          </w:tcPr>
          <w:p>
            <w:pPr>
              <w:pStyle w:val="8"/>
              <w:spacing w:line="240" w:lineRule="atLeast"/>
              <w:ind w:firstLine="0" w:firstLineChars="0"/>
              <w:outlineLvl w:val="5"/>
            </w:pPr>
            <w:r>
              <w:t>噪声</w:t>
            </w:r>
          </w:p>
        </w:tc>
        <w:tc>
          <w:tcPr>
            <w:tcW w:w="2957" w:type="dxa"/>
            <w:vMerge w:val="restart"/>
            <w:vAlign w:val="center"/>
          </w:tcPr>
          <w:p>
            <w:pPr>
              <w:pStyle w:val="8"/>
              <w:spacing w:line="240" w:lineRule="atLeast"/>
              <w:ind w:firstLine="0" w:firstLineChars="0"/>
              <w:outlineLvl w:val="5"/>
            </w:pPr>
            <w:r>
              <w:rPr>
                <w:rFonts w:hint="eastAsia"/>
              </w:rPr>
              <w:t>场界东侧外1m</w:t>
            </w:r>
          </w:p>
          <w:p>
            <w:pPr>
              <w:pStyle w:val="8"/>
              <w:spacing w:line="240" w:lineRule="atLeast"/>
              <w:ind w:firstLine="0" w:firstLineChars="0"/>
              <w:outlineLvl w:val="5"/>
            </w:pPr>
            <w:r>
              <w:rPr>
                <w:rFonts w:hint="eastAsia"/>
              </w:rPr>
              <w:t>△</w:t>
            </w:r>
            <w:r>
              <w:t>N1</w:t>
            </w:r>
          </w:p>
        </w:tc>
        <w:tc>
          <w:tcPr>
            <w:tcW w:w="1002" w:type="dxa"/>
            <w:vMerge w:val="restart"/>
            <w:vAlign w:val="center"/>
          </w:tcPr>
          <w:p>
            <w:pPr>
              <w:spacing w:line="240" w:lineRule="atLeast"/>
              <w:ind w:firstLine="0" w:firstLineChars="0"/>
              <w:jc w:val="center"/>
              <w:rPr>
                <w:rFonts w:eastAsiaTheme="minorEastAsia"/>
                <w:szCs w:val="21"/>
              </w:rPr>
            </w:pPr>
            <w:r>
              <w:rPr>
                <w:rFonts w:hint="eastAsia" w:eastAsiaTheme="minorEastAsia"/>
                <w:sz w:val="21"/>
                <w:szCs w:val="21"/>
              </w:rPr>
              <w:t>10.29</w:t>
            </w:r>
          </w:p>
        </w:tc>
        <w:tc>
          <w:tcPr>
            <w:tcW w:w="1301" w:type="dxa"/>
            <w:vAlign w:val="center"/>
          </w:tcPr>
          <w:p>
            <w:pPr>
              <w:pStyle w:val="8"/>
              <w:spacing w:line="240" w:lineRule="atLeast"/>
              <w:ind w:firstLine="0" w:firstLineChars="0"/>
              <w:outlineLvl w:val="5"/>
            </w:pPr>
            <w:r>
              <w:t>昼间</w:t>
            </w:r>
          </w:p>
        </w:tc>
        <w:tc>
          <w:tcPr>
            <w:tcW w:w="1598" w:type="dxa"/>
            <w:vAlign w:val="center"/>
          </w:tcPr>
          <w:p>
            <w:pPr>
              <w:widowControl/>
              <w:spacing w:line="240" w:lineRule="atLeast"/>
              <w:ind w:firstLine="0" w:firstLineChars="0"/>
              <w:jc w:val="center"/>
              <w:textAlignment w:val="center"/>
              <w:rPr>
                <w:rFonts w:eastAsiaTheme="minorEastAsia"/>
                <w:szCs w:val="21"/>
              </w:rPr>
            </w:pPr>
            <w:r>
              <w:rPr>
                <w:rFonts w:hint="eastAsia" w:eastAsiaTheme="minorEastAsia"/>
                <w:sz w:val="21"/>
                <w:szCs w:val="21"/>
              </w:rPr>
              <w:t>52.6</w:t>
            </w:r>
          </w:p>
        </w:tc>
        <w:tc>
          <w:tcPr>
            <w:tcW w:w="1590" w:type="dxa"/>
            <w:vAlign w:val="center"/>
          </w:tcPr>
          <w:p>
            <w:pPr>
              <w:pStyle w:val="8"/>
              <w:spacing w:line="240" w:lineRule="atLeast"/>
              <w:ind w:firstLine="0" w:firstLineChars="0"/>
              <w:outlineLvl w:val="5"/>
            </w:pPr>
            <w: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continue"/>
            <w:vAlign w:val="center"/>
          </w:tcPr>
          <w:p>
            <w:pPr>
              <w:pStyle w:val="8"/>
              <w:spacing w:line="240" w:lineRule="atLeast"/>
              <w:ind w:firstLine="0" w:firstLineChars="0"/>
              <w:outlineLvl w:val="5"/>
            </w:pPr>
          </w:p>
        </w:tc>
        <w:tc>
          <w:tcPr>
            <w:tcW w:w="1301" w:type="dxa"/>
            <w:vAlign w:val="center"/>
          </w:tcPr>
          <w:p>
            <w:pPr>
              <w:pStyle w:val="8"/>
              <w:spacing w:line="240" w:lineRule="atLeast"/>
              <w:ind w:firstLine="0" w:firstLineChars="0"/>
              <w:outlineLvl w:val="5"/>
            </w:pPr>
            <w:r>
              <w:t>夜间</w:t>
            </w:r>
          </w:p>
        </w:tc>
        <w:tc>
          <w:tcPr>
            <w:tcW w:w="1598" w:type="dxa"/>
            <w:vAlign w:val="center"/>
          </w:tcPr>
          <w:p>
            <w:pPr>
              <w:widowControl/>
              <w:spacing w:line="240" w:lineRule="atLeast"/>
              <w:ind w:firstLine="0" w:firstLineChars="0"/>
              <w:jc w:val="center"/>
              <w:textAlignment w:val="center"/>
              <w:rPr>
                <w:rFonts w:eastAsiaTheme="minorEastAsia"/>
                <w:szCs w:val="21"/>
              </w:rPr>
            </w:pPr>
            <w:r>
              <w:rPr>
                <w:rFonts w:hint="eastAsia" w:eastAsiaTheme="minorEastAsia"/>
                <w:sz w:val="21"/>
                <w:szCs w:val="21"/>
              </w:rPr>
              <w:t>48.1</w:t>
            </w:r>
          </w:p>
        </w:tc>
        <w:tc>
          <w:tcPr>
            <w:tcW w:w="1590" w:type="dxa"/>
            <w:vAlign w:val="center"/>
          </w:tcPr>
          <w:p>
            <w:pPr>
              <w:pStyle w:val="8"/>
              <w:spacing w:line="240" w:lineRule="atLeast"/>
              <w:ind w:firstLine="0" w:firstLineChars="0"/>
              <w:outlineLvl w:val="5"/>
            </w:pPr>
            <w: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restart"/>
            <w:vAlign w:val="center"/>
          </w:tcPr>
          <w:p>
            <w:pPr>
              <w:pStyle w:val="31"/>
              <w:spacing w:line="240" w:lineRule="atLeast"/>
              <w:jc w:val="center"/>
              <w:rPr>
                <w:rFonts w:hint="default" w:ascii="Times New Roman" w:hAnsi="Times New Roman" w:eastAsiaTheme="minorEastAsia"/>
                <w:color w:val="auto"/>
                <w:sz w:val="21"/>
                <w:szCs w:val="21"/>
              </w:rPr>
            </w:pPr>
            <w:r>
              <w:rPr>
                <w:rFonts w:ascii="Times New Roman" w:hAnsi="Times New Roman" w:eastAsiaTheme="minorEastAsia"/>
                <w:color w:val="auto"/>
                <w:sz w:val="21"/>
                <w:szCs w:val="21"/>
              </w:rPr>
              <w:t>10.30</w:t>
            </w:r>
          </w:p>
        </w:tc>
        <w:tc>
          <w:tcPr>
            <w:tcW w:w="1301" w:type="dxa"/>
            <w:vAlign w:val="center"/>
          </w:tcPr>
          <w:p>
            <w:pPr>
              <w:pStyle w:val="8"/>
              <w:spacing w:line="240" w:lineRule="atLeast"/>
              <w:ind w:firstLine="0" w:firstLineChars="0"/>
              <w:outlineLvl w:val="5"/>
            </w:pPr>
            <w:r>
              <w:t>昼间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51.4</w:t>
            </w:r>
          </w:p>
        </w:tc>
        <w:tc>
          <w:tcPr>
            <w:tcW w:w="1590" w:type="dxa"/>
            <w:vAlign w:val="center"/>
          </w:tcPr>
          <w:p>
            <w:pPr>
              <w:pStyle w:val="8"/>
              <w:spacing w:line="240" w:lineRule="atLeast"/>
              <w:ind w:firstLine="0" w:firstLineChars="0"/>
              <w:outlineLvl w:val="5"/>
            </w:pPr>
            <w: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continue"/>
            <w:vAlign w:val="center"/>
          </w:tcPr>
          <w:p>
            <w:pPr>
              <w:pStyle w:val="8"/>
              <w:spacing w:line="240" w:lineRule="atLeast"/>
              <w:ind w:firstLine="0" w:firstLineChars="0"/>
              <w:outlineLvl w:val="5"/>
            </w:pPr>
          </w:p>
        </w:tc>
        <w:tc>
          <w:tcPr>
            <w:tcW w:w="1301" w:type="dxa"/>
            <w:vAlign w:val="center"/>
          </w:tcPr>
          <w:p>
            <w:pPr>
              <w:pStyle w:val="8"/>
              <w:spacing w:line="240" w:lineRule="atLeast"/>
              <w:ind w:firstLine="0" w:firstLineChars="0"/>
              <w:outlineLvl w:val="5"/>
            </w:pPr>
            <w:r>
              <w:t>夜间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46.0</w:t>
            </w:r>
          </w:p>
        </w:tc>
        <w:tc>
          <w:tcPr>
            <w:tcW w:w="1590" w:type="dxa"/>
            <w:vAlign w:val="center"/>
          </w:tcPr>
          <w:p>
            <w:pPr>
              <w:pStyle w:val="8"/>
              <w:spacing w:line="240" w:lineRule="atLeast"/>
              <w:ind w:firstLine="0" w:firstLineChars="0"/>
              <w:outlineLvl w:val="5"/>
            </w:pPr>
            <w: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restart"/>
            <w:vAlign w:val="center"/>
          </w:tcPr>
          <w:p>
            <w:pPr>
              <w:pStyle w:val="8"/>
              <w:spacing w:line="240" w:lineRule="atLeast"/>
              <w:ind w:firstLine="0" w:firstLineChars="0"/>
              <w:outlineLvl w:val="5"/>
            </w:pPr>
            <w:r>
              <w:rPr>
                <w:rFonts w:hint="eastAsia"/>
              </w:rPr>
              <w:t>场界南侧外1m</w:t>
            </w:r>
          </w:p>
          <w:p>
            <w:pPr>
              <w:pStyle w:val="8"/>
              <w:spacing w:line="240" w:lineRule="atLeast"/>
              <w:ind w:firstLine="0" w:firstLineChars="0"/>
              <w:outlineLvl w:val="5"/>
            </w:pPr>
            <w:r>
              <w:rPr>
                <w:rFonts w:hint="eastAsia"/>
              </w:rPr>
              <w:t>△N2</w:t>
            </w:r>
          </w:p>
        </w:tc>
        <w:tc>
          <w:tcPr>
            <w:tcW w:w="1002" w:type="dxa"/>
            <w:vMerge w:val="restart"/>
            <w:vAlign w:val="center"/>
          </w:tcPr>
          <w:p>
            <w:pPr>
              <w:spacing w:line="240" w:lineRule="atLeast"/>
              <w:ind w:firstLine="0" w:firstLineChars="0"/>
              <w:jc w:val="center"/>
              <w:rPr>
                <w:rFonts w:eastAsiaTheme="minorEastAsia"/>
                <w:szCs w:val="21"/>
              </w:rPr>
            </w:pPr>
            <w:r>
              <w:rPr>
                <w:rFonts w:hint="eastAsia" w:eastAsiaTheme="minorEastAsia"/>
                <w:sz w:val="21"/>
                <w:szCs w:val="21"/>
              </w:rPr>
              <w:t>10.29</w:t>
            </w:r>
          </w:p>
        </w:tc>
        <w:tc>
          <w:tcPr>
            <w:tcW w:w="1301" w:type="dxa"/>
            <w:vAlign w:val="center"/>
          </w:tcPr>
          <w:p>
            <w:pPr>
              <w:pStyle w:val="8"/>
              <w:spacing w:line="240" w:lineRule="atLeast"/>
              <w:ind w:firstLine="0" w:firstLineChars="0"/>
              <w:outlineLvl w:val="5"/>
            </w:pPr>
            <w:r>
              <w:t>昼间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51.1</w:t>
            </w:r>
          </w:p>
        </w:tc>
        <w:tc>
          <w:tcPr>
            <w:tcW w:w="1590" w:type="dxa"/>
            <w:vAlign w:val="center"/>
          </w:tcPr>
          <w:p>
            <w:pPr>
              <w:pStyle w:val="8"/>
              <w:spacing w:line="240" w:lineRule="atLeast"/>
              <w:ind w:firstLine="0" w:firstLineChars="0"/>
              <w:outlineLvl w:val="5"/>
            </w:pPr>
            <w: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continue"/>
            <w:vAlign w:val="center"/>
          </w:tcPr>
          <w:p>
            <w:pPr>
              <w:pStyle w:val="8"/>
              <w:spacing w:line="240" w:lineRule="atLeast"/>
              <w:ind w:firstLine="0" w:firstLineChars="0"/>
              <w:outlineLvl w:val="5"/>
            </w:pPr>
          </w:p>
        </w:tc>
        <w:tc>
          <w:tcPr>
            <w:tcW w:w="1301" w:type="dxa"/>
            <w:vAlign w:val="center"/>
          </w:tcPr>
          <w:p>
            <w:pPr>
              <w:pStyle w:val="8"/>
              <w:spacing w:line="240" w:lineRule="atLeast"/>
              <w:ind w:firstLine="0" w:firstLineChars="0"/>
              <w:outlineLvl w:val="5"/>
            </w:pPr>
            <w:r>
              <w:t>夜间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47.5</w:t>
            </w:r>
          </w:p>
        </w:tc>
        <w:tc>
          <w:tcPr>
            <w:tcW w:w="1590" w:type="dxa"/>
            <w:vAlign w:val="center"/>
          </w:tcPr>
          <w:p>
            <w:pPr>
              <w:pStyle w:val="8"/>
              <w:spacing w:line="240" w:lineRule="atLeast"/>
              <w:ind w:firstLine="0" w:firstLineChars="0"/>
              <w:outlineLvl w:val="5"/>
            </w:pPr>
            <w: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restart"/>
            <w:vAlign w:val="center"/>
          </w:tcPr>
          <w:p>
            <w:pPr>
              <w:pStyle w:val="31"/>
              <w:spacing w:line="240" w:lineRule="atLeast"/>
              <w:jc w:val="center"/>
              <w:rPr>
                <w:rFonts w:hint="default" w:ascii="Times New Roman" w:hAnsi="Times New Roman" w:eastAsiaTheme="minorEastAsia"/>
                <w:color w:val="auto"/>
                <w:sz w:val="21"/>
                <w:szCs w:val="21"/>
              </w:rPr>
            </w:pPr>
            <w:r>
              <w:rPr>
                <w:rFonts w:ascii="Times New Roman" w:hAnsi="Times New Roman" w:eastAsiaTheme="minorEastAsia"/>
                <w:color w:val="auto"/>
                <w:sz w:val="21"/>
                <w:szCs w:val="21"/>
              </w:rPr>
              <w:t>10.30</w:t>
            </w:r>
          </w:p>
        </w:tc>
        <w:tc>
          <w:tcPr>
            <w:tcW w:w="1301" w:type="dxa"/>
            <w:vAlign w:val="center"/>
          </w:tcPr>
          <w:p>
            <w:pPr>
              <w:pStyle w:val="8"/>
              <w:spacing w:line="240" w:lineRule="atLeast"/>
              <w:ind w:firstLine="0" w:firstLineChars="0"/>
              <w:outlineLvl w:val="5"/>
            </w:pPr>
            <w:r>
              <w:t>昼间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53.1</w:t>
            </w:r>
          </w:p>
        </w:tc>
        <w:tc>
          <w:tcPr>
            <w:tcW w:w="1590" w:type="dxa"/>
            <w:vAlign w:val="center"/>
          </w:tcPr>
          <w:p>
            <w:pPr>
              <w:pStyle w:val="8"/>
              <w:spacing w:line="240" w:lineRule="atLeast"/>
              <w:ind w:firstLine="0" w:firstLineChars="0"/>
              <w:outlineLvl w:val="5"/>
            </w:pPr>
            <w: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continue"/>
            <w:vAlign w:val="center"/>
          </w:tcPr>
          <w:p>
            <w:pPr>
              <w:pStyle w:val="8"/>
              <w:spacing w:line="240" w:lineRule="atLeast"/>
              <w:ind w:firstLine="0" w:firstLineChars="0"/>
              <w:outlineLvl w:val="5"/>
            </w:pPr>
          </w:p>
        </w:tc>
        <w:tc>
          <w:tcPr>
            <w:tcW w:w="1301" w:type="dxa"/>
            <w:vAlign w:val="center"/>
          </w:tcPr>
          <w:p>
            <w:pPr>
              <w:pStyle w:val="8"/>
              <w:spacing w:line="240" w:lineRule="atLeast"/>
              <w:ind w:firstLine="0" w:firstLineChars="0"/>
              <w:outlineLvl w:val="5"/>
            </w:pPr>
            <w:r>
              <w:t>夜间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46.4</w:t>
            </w:r>
          </w:p>
        </w:tc>
        <w:tc>
          <w:tcPr>
            <w:tcW w:w="1590" w:type="dxa"/>
            <w:vAlign w:val="center"/>
          </w:tcPr>
          <w:p>
            <w:pPr>
              <w:pStyle w:val="8"/>
              <w:spacing w:line="240" w:lineRule="atLeast"/>
              <w:ind w:firstLine="0" w:firstLineChars="0"/>
              <w:outlineLvl w:val="5"/>
            </w:pPr>
            <w: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restart"/>
            <w:vAlign w:val="center"/>
          </w:tcPr>
          <w:p>
            <w:pPr>
              <w:pStyle w:val="8"/>
              <w:spacing w:line="240" w:lineRule="atLeast"/>
              <w:ind w:firstLine="0" w:firstLineChars="0"/>
              <w:outlineLvl w:val="5"/>
            </w:pPr>
            <w:r>
              <w:rPr>
                <w:rFonts w:hint="eastAsia"/>
              </w:rPr>
              <w:t>场界西侧外1m</w:t>
            </w:r>
          </w:p>
          <w:p>
            <w:pPr>
              <w:pStyle w:val="8"/>
              <w:spacing w:line="240" w:lineRule="atLeast"/>
              <w:ind w:firstLine="0" w:firstLineChars="0"/>
              <w:outlineLvl w:val="5"/>
            </w:pPr>
            <w:r>
              <w:rPr>
                <w:rFonts w:hint="eastAsia"/>
              </w:rPr>
              <w:t>△N3</w:t>
            </w:r>
          </w:p>
        </w:tc>
        <w:tc>
          <w:tcPr>
            <w:tcW w:w="1002" w:type="dxa"/>
            <w:vMerge w:val="restart"/>
            <w:vAlign w:val="center"/>
          </w:tcPr>
          <w:p>
            <w:pPr>
              <w:spacing w:line="240" w:lineRule="atLeast"/>
              <w:ind w:firstLine="0" w:firstLineChars="0"/>
              <w:jc w:val="center"/>
              <w:rPr>
                <w:rFonts w:eastAsiaTheme="minorEastAsia"/>
                <w:szCs w:val="21"/>
              </w:rPr>
            </w:pPr>
            <w:r>
              <w:rPr>
                <w:rFonts w:hint="eastAsia" w:eastAsiaTheme="minorEastAsia"/>
                <w:sz w:val="21"/>
                <w:szCs w:val="21"/>
              </w:rPr>
              <w:t>10.29</w:t>
            </w:r>
          </w:p>
        </w:tc>
        <w:tc>
          <w:tcPr>
            <w:tcW w:w="1301" w:type="dxa"/>
            <w:vAlign w:val="center"/>
          </w:tcPr>
          <w:p>
            <w:pPr>
              <w:pStyle w:val="8"/>
              <w:spacing w:line="240" w:lineRule="atLeast"/>
              <w:ind w:firstLine="0" w:firstLineChars="0"/>
              <w:outlineLvl w:val="5"/>
            </w:pPr>
            <w:r>
              <w:t>昼间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52.0</w:t>
            </w:r>
          </w:p>
        </w:tc>
        <w:tc>
          <w:tcPr>
            <w:tcW w:w="1590" w:type="dxa"/>
            <w:vAlign w:val="center"/>
          </w:tcPr>
          <w:p>
            <w:pPr>
              <w:pStyle w:val="8"/>
              <w:spacing w:line="240" w:lineRule="atLeast"/>
              <w:ind w:firstLine="0" w:firstLineChars="0"/>
              <w:outlineLvl w:val="5"/>
            </w:pPr>
            <w: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continue"/>
            <w:vAlign w:val="center"/>
          </w:tcPr>
          <w:p>
            <w:pPr>
              <w:pStyle w:val="8"/>
              <w:spacing w:line="240" w:lineRule="atLeast"/>
              <w:ind w:firstLine="0" w:firstLineChars="0"/>
              <w:outlineLvl w:val="5"/>
            </w:pPr>
          </w:p>
        </w:tc>
        <w:tc>
          <w:tcPr>
            <w:tcW w:w="1301" w:type="dxa"/>
            <w:vAlign w:val="center"/>
          </w:tcPr>
          <w:p>
            <w:pPr>
              <w:pStyle w:val="8"/>
              <w:spacing w:line="240" w:lineRule="atLeast"/>
              <w:ind w:firstLine="0" w:firstLineChars="0"/>
              <w:outlineLvl w:val="5"/>
            </w:pPr>
            <w:r>
              <w:t>夜间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46.2</w:t>
            </w:r>
          </w:p>
        </w:tc>
        <w:tc>
          <w:tcPr>
            <w:tcW w:w="1590" w:type="dxa"/>
            <w:vAlign w:val="center"/>
          </w:tcPr>
          <w:p>
            <w:pPr>
              <w:pStyle w:val="8"/>
              <w:spacing w:line="240" w:lineRule="atLeast"/>
              <w:ind w:firstLine="0" w:firstLineChars="0"/>
              <w:outlineLvl w:val="5"/>
            </w:pPr>
            <w: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restart"/>
            <w:vAlign w:val="center"/>
          </w:tcPr>
          <w:p>
            <w:pPr>
              <w:pStyle w:val="31"/>
              <w:spacing w:line="240" w:lineRule="atLeast"/>
              <w:jc w:val="center"/>
              <w:rPr>
                <w:rFonts w:hint="default" w:ascii="Times New Roman" w:hAnsi="Times New Roman" w:eastAsiaTheme="minorEastAsia"/>
                <w:color w:val="auto"/>
                <w:sz w:val="21"/>
                <w:szCs w:val="21"/>
              </w:rPr>
            </w:pPr>
            <w:r>
              <w:rPr>
                <w:rFonts w:ascii="Times New Roman" w:hAnsi="Times New Roman" w:eastAsiaTheme="minorEastAsia"/>
                <w:color w:val="auto"/>
                <w:sz w:val="21"/>
                <w:szCs w:val="21"/>
              </w:rPr>
              <w:t>10.30</w:t>
            </w:r>
          </w:p>
        </w:tc>
        <w:tc>
          <w:tcPr>
            <w:tcW w:w="1301" w:type="dxa"/>
            <w:vAlign w:val="center"/>
          </w:tcPr>
          <w:p>
            <w:pPr>
              <w:pStyle w:val="8"/>
              <w:spacing w:line="240" w:lineRule="atLeast"/>
              <w:ind w:firstLine="0" w:firstLineChars="0"/>
              <w:outlineLvl w:val="5"/>
            </w:pPr>
            <w:r>
              <w:t>昼间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52.1</w:t>
            </w:r>
          </w:p>
        </w:tc>
        <w:tc>
          <w:tcPr>
            <w:tcW w:w="1590" w:type="dxa"/>
            <w:vAlign w:val="center"/>
          </w:tcPr>
          <w:p>
            <w:pPr>
              <w:pStyle w:val="8"/>
              <w:spacing w:line="240" w:lineRule="atLeast"/>
              <w:ind w:firstLine="0" w:firstLineChars="0"/>
              <w:outlineLvl w:val="5"/>
            </w:pPr>
            <w: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continue"/>
            <w:vAlign w:val="center"/>
          </w:tcPr>
          <w:p>
            <w:pPr>
              <w:pStyle w:val="8"/>
              <w:spacing w:line="240" w:lineRule="atLeast"/>
              <w:ind w:firstLine="0" w:firstLineChars="0"/>
              <w:outlineLvl w:val="5"/>
            </w:pPr>
          </w:p>
        </w:tc>
        <w:tc>
          <w:tcPr>
            <w:tcW w:w="1002" w:type="dxa"/>
            <w:vMerge w:val="continue"/>
            <w:vAlign w:val="center"/>
          </w:tcPr>
          <w:p>
            <w:pPr>
              <w:pStyle w:val="8"/>
              <w:spacing w:line="240" w:lineRule="atLeast"/>
              <w:ind w:firstLine="0" w:firstLineChars="0"/>
              <w:outlineLvl w:val="5"/>
            </w:pPr>
          </w:p>
        </w:tc>
        <w:tc>
          <w:tcPr>
            <w:tcW w:w="1301" w:type="dxa"/>
            <w:vAlign w:val="center"/>
          </w:tcPr>
          <w:p>
            <w:pPr>
              <w:pStyle w:val="8"/>
              <w:spacing w:line="240" w:lineRule="atLeast"/>
              <w:ind w:firstLine="0" w:firstLineChars="0"/>
              <w:outlineLvl w:val="5"/>
            </w:pPr>
            <w:r>
              <w:t>夜间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48.2</w:t>
            </w:r>
          </w:p>
        </w:tc>
        <w:tc>
          <w:tcPr>
            <w:tcW w:w="1590" w:type="dxa"/>
            <w:vAlign w:val="center"/>
          </w:tcPr>
          <w:p>
            <w:pPr>
              <w:pStyle w:val="8"/>
              <w:spacing w:line="240" w:lineRule="atLeast"/>
              <w:ind w:firstLine="0" w:firstLineChars="0"/>
              <w:outlineLvl w:val="5"/>
            </w:pPr>
            <w: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pPr>
          </w:p>
        </w:tc>
        <w:tc>
          <w:tcPr>
            <w:tcW w:w="2957" w:type="dxa"/>
            <w:vMerge w:val="restart"/>
            <w:vAlign w:val="center"/>
          </w:tcPr>
          <w:p>
            <w:pPr>
              <w:pStyle w:val="8"/>
              <w:spacing w:line="240" w:lineRule="atLeast"/>
              <w:ind w:firstLine="0" w:firstLineChars="0"/>
              <w:outlineLvl w:val="5"/>
            </w:pPr>
            <w:r>
              <w:rPr>
                <w:rFonts w:hint="eastAsia"/>
              </w:rPr>
              <w:t>场界北侧外1m</w:t>
            </w:r>
          </w:p>
          <w:p>
            <w:pPr>
              <w:pStyle w:val="8"/>
              <w:spacing w:line="240" w:lineRule="atLeast"/>
              <w:ind w:firstLine="0" w:firstLineChars="0"/>
              <w:outlineLvl w:val="5"/>
            </w:pPr>
            <w:r>
              <w:rPr>
                <w:rFonts w:hint="eastAsia"/>
              </w:rPr>
              <w:t>△N4</w:t>
            </w:r>
          </w:p>
        </w:tc>
        <w:tc>
          <w:tcPr>
            <w:tcW w:w="1002" w:type="dxa"/>
            <w:vMerge w:val="restart"/>
            <w:vAlign w:val="center"/>
          </w:tcPr>
          <w:p>
            <w:pPr>
              <w:spacing w:line="240" w:lineRule="atLeast"/>
              <w:ind w:firstLine="0" w:firstLineChars="0"/>
              <w:jc w:val="center"/>
              <w:rPr>
                <w:rFonts w:eastAsiaTheme="minorEastAsia"/>
                <w:szCs w:val="21"/>
              </w:rPr>
            </w:pPr>
            <w:r>
              <w:rPr>
                <w:rFonts w:hint="eastAsia" w:eastAsiaTheme="minorEastAsia"/>
                <w:sz w:val="21"/>
                <w:szCs w:val="21"/>
              </w:rPr>
              <w:t>10.29</w:t>
            </w:r>
          </w:p>
        </w:tc>
        <w:tc>
          <w:tcPr>
            <w:tcW w:w="1301" w:type="dxa"/>
            <w:vAlign w:val="center"/>
          </w:tcPr>
          <w:p>
            <w:pPr>
              <w:pStyle w:val="8"/>
              <w:spacing w:line="240" w:lineRule="atLeast"/>
              <w:ind w:firstLine="0" w:firstLineChars="0"/>
              <w:outlineLvl w:val="5"/>
            </w:pPr>
            <w:r>
              <w:t>昼间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51.7</w:t>
            </w:r>
          </w:p>
        </w:tc>
        <w:tc>
          <w:tcPr>
            <w:tcW w:w="1590" w:type="dxa"/>
            <w:vAlign w:val="center"/>
          </w:tcPr>
          <w:p>
            <w:pPr>
              <w:pStyle w:val="8"/>
              <w:spacing w:line="240" w:lineRule="atLeast"/>
              <w:ind w:firstLine="0" w:firstLineChars="0"/>
              <w:outlineLvl w:val="5"/>
            </w:pPr>
            <w: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rPr>
                <w:highlight w:val="yellow"/>
              </w:rPr>
            </w:pPr>
          </w:p>
        </w:tc>
        <w:tc>
          <w:tcPr>
            <w:tcW w:w="2957" w:type="dxa"/>
            <w:vMerge w:val="continue"/>
            <w:vAlign w:val="center"/>
          </w:tcPr>
          <w:p>
            <w:pPr>
              <w:pStyle w:val="8"/>
              <w:spacing w:line="240" w:lineRule="atLeast"/>
              <w:ind w:firstLine="0" w:firstLineChars="0"/>
              <w:outlineLvl w:val="5"/>
              <w:rPr>
                <w:highlight w:val="yellow"/>
              </w:rPr>
            </w:pPr>
          </w:p>
        </w:tc>
        <w:tc>
          <w:tcPr>
            <w:tcW w:w="1002" w:type="dxa"/>
            <w:vMerge w:val="continue"/>
            <w:vAlign w:val="center"/>
          </w:tcPr>
          <w:p>
            <w:pPr>
              <w:pStyle w:val="8"/>
              <w:spacing w:line="240" w:lineRule="atLeast"/>
              <w:ind w:firstLine="0" w:firstLineChars="0"/>
              <w:outlineLvl w:val="5"/>
            </w:pPr>
          </w:p>
        </w:tc>
        <w:tc>
          <w:tcPr>
            <w:tcW w:w="1301" w:type="dxa"/>
            <w:vAlign w:val="center"/>
          </w:tcPr>
          <w:p>
            <w:pPr>
              <w:pStyle w:val="8"/>
              <w:spacing w:line="240" w:lineRule="atLeast"/>
              <w:ind w:firstLine="0" w:firstLineChars="0"/>
              <w:outlineLvl w:val="5"/>
            </w:pPr>
            <w:r>
              <w:t>夜间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46.6</w:t>
            </w:r>
          </w:p>
        </w:tc>
        <w:tc>
          <w:tcPr>
            <w:tcW w:w="1590" w:type="dxa"/>
            <w:vAlign w:val="center"/>
          </w:tcPr>
          <w:p>
            <w:pPr>
              <w:pStyle w:val="8"/>
              <w:spacing w:line="240" w:lineRule="atLeast"/>
              <w:ind w:firstLine="0" w:firstLineChars="0"/>
              <w:outlineLvl w:val="5"/>
            </w:pPr>
            <w: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rPr>
                <w:highlight w:val="yellow"/>
              </w:rPr>
            </w:pPr>
          </w:p>
        </w:tc>
        <w:tc>
          <w:tcPr>
            <w:tcW w:w="2957" w:type="dxa"/>
            <w:vMerge w:val="continue"/>
            <w:vAlign w:val="center"/>
          </w:tcPr>
          <w:p>
            <w:pPr>
              <w:pStyle w:val="8"/>
              <w:spacing w:line="240" w:lineRule="atLeast"/>
              <w:ind w:firstLine="0" w:firstLineChars="0"/>
              <w:outlineLvl w:val="5"/>
              <w:rPr>
                <w:highlight w:val="yellow"/>
              </w:rPr>
            </w:pPr>
          </w:p>
        </w:tc>
        <w:tc>
          <w:tcPr>
            <w:tcW w:w="1002" w:type="dxa"/>
            <w:vMerge w:val="restart"/>
            <w:vAlign w:val="center"/>
          </w:tcPr>
          <w:p>
            <w:pPr>
              <w:pStyle w:val="31"/>
              <w:spacing w:line="240" w:lineRule="atLeast"/>
              <w:jc w:val="center"/>
              <w:rPr>
                <w:rFonts w:hint="default" w:ascii="Times New Roman" w:hAnsi="Times New Roman" w:eastAsiaTheme="minorEastAsia"/>
                <w:color w:val="auto"/>
                <w:sz w:val="21"/>
                <w:szCs w:val="21"/>
              </w:rPr>
            </w:pPr>
            <w:r>
              <w:rPr>
                <w:rFonts w:ascii="Times New Roman" w:hAnsi="Times New Roman" w:eastAsiaTheme="minorEastAsia"/>
                <w:color w:val="auto"/>
                <w:sz w:val="21"/>
                <w:szCs w:val="21"/>
              </w:rPr>
              <w:t>10.30</w:t>
            </w:r>
          </w:p>
        </w:tc>
        <w:tc>
          <w:tcPr>
            <w:tcW w:w="1301" w:type="dxa"/>
            <w:vAlign w:val="center"/>
          </w:tcPr>
          <w:p>
            <w:pPr>
              <w:pStyle w:val="8"/>
              <w:spacing w:line="240" w:lineRule="atLeast"/>
              <w:ind w:firstLine="0" w:firstLineChars="0"/>
              <w:outlineLvl w:val="5"/>
            </w:pPr>
            <w:r>
              <w:t>昼间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51.0</w:t>
            </w:r>
          </w:p>
        </w:tc>
        <w:tc>
          <w:tcPr>
            <w:tcW w:w="1590" w:type="dxa"/>
            <w:vAlign w:val="center"/>
          </w:tcPr>
          <w:p>
            <w:pPr>
              <w:pStyle w:val="8"/>
              <w:spacing w:line="240" w:lineRule="atLeast"/>
              <w:ind w:firstLine="0" w:firstLineChars="0"/>
              <w:outlineLvl w:val="5"/>
            </w:pPr>
            <w: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51" w:type="dxa"/>
            <w:vMerge w:val="continue"/>
            <w:vAlign w:val="center"/>
          </w:tcPr>
          <w:p>
            <w:pPr>
              <w:pStyle w:val="8"/>
              <w:spacing w:line="240" w:lineRule="atLeast"/>
              <w:ind w:firstLine="0" w:firstLineChars="0"/>
              <w:outlineLvl w:val="5"/>
              <w:rPr>
                <w:highlight w:val="yellow"/>
              </w:rPr>
            </w:pPr>
          </w:p>
        </w:tc>
        <w:tc>
          <w:tcPr>
            <w:tcW w:w="2957" w:type="dxa"/>
            <w:vMerge w:val="continue"/>
            <w:vAlign w:val="center"/>
          </w:tcPr>
          <w:p>
            <w:pPr>
              <w:pStyle w:val="8"/>
              <w:spacing w:line="240" w:lineRule="atLeast"/>
              <w:ind w:firstLine="0" w:firstLineChars="0"/>
              <w:outlineLvl w:val="5"/>
              <w:rPr>
                <w:highlight w:val="yellow"/>
              </w:rPr>
            </w:pPr>
          </w:p>
        </w:tc>
        <w:tc>
          <w:tcPr>
            <w:tcW w:w="1002" w:type="dxa"/>
            <w:vMerge w:val="continue"/>
            <w:vAlign w:val="center"/>
          </w:tcPr>
          <w:p>
            <w:pPr>
              <w:pStyle w:val="8"/>
              <w:spacing w:line="240" w:lineRule="atLeast"/>
              <w:ind w:firstLine="0" w:firstLineChars="0"/>
              <w:outlineLvl w:val="5"/>
            </w:pPr>
          </w:p>
        </w:tc>
        <w:tc>
          <w:tcPr>
            <w:tcW w:w="1301" w:type="dxa"/>
            <w:vAlign w:val="center"/>
          </w:tcPr>
          <w:p>
            <w:pPr>
              <w:pStyle w:val="8"/>
              <w:spacing w:line="240" w:lineRule="atLeast"/>
              <w:ind w:firstLine="0" w:firstLineChars="0"/>
              <w:outlineLvl w:val="5"/>
            </w:pPr>
            <w:r>
              <w:t>夜间</w:t>
            </w:r>
          </w:p>
        </w:tc>
        <w:tc>
          <w:tcPr>
            <w:tcW w:w="1598" w:type="dxa"/>
            <w:vAlign w:val="center"/>
          </w:tcPr>
          <w:p>
            <w:pPr>
              <w:widowControl/>
              <w:spacing w:line="240" w:lineRule="atLeast"/>
              <w:ind w:firstLine="0" w:firstLineChars="0"/>
              <w:jc w:val="center"/>
              <w:textAlignment w:val="center"/>
              <w:rPr>
                <w:rFonts w:eastAsiaTheme="minorEastAsia"/>
                <w:szCs w:val="21"/>
                <w:lang w:bidi="ar"/>
              </w:rPr>
            </w:pPr>
            <w:r>
              <w:rPr>
                <w:rFonts w:hint="eastAsia" w:eastAsiaTheme="minorEastAsia"/>
                <w:kern w:val="0"/>
                <w:sz w:val="21"/>
                <w:szCs w:val="21"/>
                <w:lang w:bidi="ar"/>
              </w:rPr>
              <w:t>48.8</w:t>
            </w:r>
          </w:p>
        </w:tc>
        <w:tc>
          <w:tcPr>
            <w:tcW w:w="1590" w:type="dxa"/>
            <w:vAlign w:val="center"/>
          </w:tcPr>
          <w:p>
            <w:pPr>
              <w:pStyle w:val="8"/>
              <w:spacing w:line="240" w:lineRule="atLeast"/>
              <w:ind w:firstLine="0" w:firstLineChars="0"/>
              <w:outlineLvl w:val="5"/>
            </w:pPr>
            <w: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499" w:type="dxa"/>
            <w:gridSpan w:val="6"/>
            <w:vAlign w:val="center"/>
          </w:tcPr>
          <w:p>
            <w:pPr>
              <w:pStyle w:val="8"/>
              <w:spacing w:line="240" w:lineRule="atLeast"/>
              <w:ind w:firstLine="0" w:firstLineChars="0"/>
              <w:jc w:val="left"/>
              <w:outlineLvl w:val="5"/>
              <w:rPr>
                <w:highlight w:val="yellow"/>
              </w:rPr>
            </w:pPr>
            <w:r>
              <w:t>备注：参考《声环境质量标准》（GB3095-2008）</w:t>
            </w:r>
          </w:p>
        </w:tc>
      </w:tr>
    </w:tbl>
    <w:p>
      <w:pPr>
        <w:ind w:firstLine="480"/>
      </w:pPr>
      <w:r>
        <w:rPr>
          <w:rFonts w:hint="eastAsia"/>
        </w:rPr>
        <w:t>从表</w:t>
      </w:r>
      <w:r>
        <w:t>4-</w:t>
      </w:r>
      <w:r>
        <w:rPr>
          <w:rFonts w:hint="eastAsia"/>
        </w:rPr>
        <w:t>7可知，工程拟建地周边环境噪声昼间、夜间监测值均满足《声环境质量标准》（</w:t>
      </w:r>
      <w:r>
        <w:t>GB3095-2008</w:t>
      </w:r>
      <w:r>
        <w:rPr>
          <w:rFonts w:hint="eastAsia"/>
        </w:rPr>
        <w:t>）中</w:t>
      </w:r>
      <w:r>
        <w:t>2</w:t>
      </w:r>
      <w:r>
        <w:rPr>
          <w:rFonts w:hint="eastAsia"/>
        </w:rPr>
        <w:t>类标准要求。项目所在地声环境质量良好。</w:t>
      </w:r>
    </w:p>
    <w:p>
      <w:pPr>
        <w:pStyle w:val="5"/>
        <w:spacing w:before="48" w:after="48"/>
      </w:pPr>
      <w:r>
        <w:rPr>
          <w:rFonts w:hint="eastAsia"/>
        </w:rPr>
        <w:t>3.2.5</w:t>
      </w:r>
      <w:r>
        <w:t>地下水环境质量现状</w:t>
      </w:r>
    </w:p>
    <w:p>
      <w:pPr>
        <w:ind w:firstLine="480"/>
      </w:pPr>
      <w:r>
        <w:t>(1)监测点位</w:t>
      </w:r>
    </w:p>
    <w:p>
      <w:pPr>
        <w:ind w:firstLine="480"/>
      </w:pPr>
      <w:r>
        <w:t>本</w:t>
      </w:r>
      <w:r>
        <w:rPr>
          <w:rFonts w:hint="eastAsia"/>
        </w:rPr>
        <w:t>环评</w:t>
      </w:r>
      <w:r>
        <w:t>地下水监测位点设置</w:t>
      </w:r>
      <w:r>
        <w:rPr>
          <w:rFonts w:hint="eastAsia"/>
        </w:rPr>
        <w:t>3</w:t>
      </w:r>
      <w:r>
        <w:t>处，</w:t>
      </w:r>
      <w:r>
        <w:rPr>
          <w:rFonts w:hint="eastAsia"/>
        </w:rPr>
        <w:t>监测点位分别位于项目东北面、项目西南面、项目东南面，</w:t>
      </w:r>
      <w:r>
        <w:t>委托</w:t>
      </w:r>
      <w:r>
        <w:rPr>
          <w:rFonts w:hint="eastAsia"/>
        </w:rPr>
        <w:t>湖南宏润检测有限公司进行监测分析。监测点位见表4-8，监测结果见表4-9</w:t>
      </w:r>
      <w:r>
        <w:t>。</w:t>
      </w:r>
    </w:p>
    <w:p>
      <w:pPr>
        <w:ind w:firstLine="0" w:firstLineChars="0"/>
        <w:jc w:val="center"/>
        <w:rPr>
          <w:b/>
          <w:bCs/>
        </w:rPr>
      </w:pPr>
      <w:r>
        <w:rPr>
          <w:b/>
          <w:bCs/>
        </w:rPr>
        <w:t>表4-</w:t>
      </w:r>
      <w:r>
        <w:rPr>
          <w:rFonts w:hint="eastAsia"/>
          <w:b/>
          <w:bCs/>
        </w:rPr>
        <w:t>8</w:t>
      </w:r>
      <w:r>
        <w:rPr>
          <w:b/>
          <w:bCs/>
        </w:rPr>
        <w:t xml:space="preserve"> 现状监测布点表</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1"/>
        <w:gridCol w:w="3414"/>
        <w:gridCol w:w="2457"/>
        <w:gridCol w:w="17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1061" w:type="dxa"/>
            <w:vAlign w:val="center"/>
          </w:tcPr>
          <w:p>
            <w:pPr>
              <w:pStyle w:val="8"/>
              <w:ind w:firstLine="0" w:firstLineChars="0"/>
            </w:pPr>
            <w:r>
              <w:t>序号</w:t>
            </w:r>
          </w:p>
        </w:tc>
        <w:tc>
          <w:tcPr>
            <w:tcW w:w="3414" w:type="dxa"/>
            <w:vAlign w:val="center"/>
          </w:tcPr>
          <w:p>
            <w:pPr>
              <w:pStyle w:val="8"/>
              <w:ind w:firstLine="0" w:firstLineChars="0"/>
            </w:pPr>
            <w:r>
              <w:t>测点名称</w:t>
            </w:r>
          </w:p>
        </w:tc>
        <w:tc>
          <w:tcPr>
            <w:tcW w:w="2457" w:type="dxa"/>
            <w:vAlign w:val="center"/>
          </w:tcPr>
          <w:p>
            <w:pPr>
              <w:pStyle w:val="8"/>
              <w:ind w:firstLine="0" w:firstLineChars="0"/>
            </w:pPr>
            <w:r>
              <w:t>监测项目</w:t>
            </w:r>
          </w:p>
        </w:tc>
        <w:tc>
          <w:tcPr>
            <w:tcW w:w="1799" w:type="dxa"/>
            <w:vAlign w:val="center"/>
          </w:tcPr>
          <w:p>
            <w:pPr>
              <w:pStyle w:val="8"/>
              <w:ind w:firstLine="0" w:firstLineChars="0"/>
            </w:pPr>
            <w:r>
              <w:t>水体类别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1061" w:type="dxa"/>
            <w:vAlign w:val="center"/>
          </w:tcPr>
          <w:p>
            <w:pPr>
              <w:pStyle w:val="8"/>
              <w:ind w:firstLine="0" w:firstLineChars="0"/>
            </w:pPr>
            <w:r>
              <w:rPr>
                <w:rFonts w:hint="eastAsia"/>
              </w:rPr>
              <w:t>U</w:t>
            </w:r>
            <w:r>
              <w:t>1</w:t>
            </w:r>
          </w:p>
        </w:tc>
        <w:tc>
          <w:tcPr>
            <w:tcW w:w="3414" w:type="dxa"/>
            <w:vAlign w:val="center"/>
          </w:tcPr>
          <w:p>
            <w:pPr>
              <w:pStyle w:val="8"/>
              <w:ind w:firstLine="0" w:firstLineChars="0"/>
              <w:rPr>
                <w:color w:val="000000"/>
              </w:rPr>
            </w:pPr>
            <w:r>
              <w:rPr>
                <w:rFonts w:hint="eastAsia"/>
              </w:rPr>
              <w:t>项目东北面</w:t>
            </w:r>
          </w:p>
        </w:tc>
        <w:tc>
          <w:tcPr>
            <w:tcW w:w="2457" w:type="dxa"/>
            <w:vMerge w:val="restart"/>
            <w:vAlign w:val="center"/>
          </w:tcPr>
          <w:p>
            <w:pPr>
              <w:pStyle w:val="8"/>
              <w:ind w:firstLine="0" w:firstLineChars="0"/>
              <w:rPr>
                <w:highlight w:val="yellow"/>
              </w:rPr>
            </w:pPr>
            <w:r>
              <w:rPr>
                <w:rFonts w:hint="eastAsia"/>
              </w:rPr>
              <w:t>pH、总硬度、硫酸盐、耗氧量、氨氮、氟化物、总大肠菌群、挥发酚类</w:t>
            </w:r>
          </w:p>
        </w:tc>
        <w:tc>
          <w:tcPr>
            <w:tcW w:w="1799" w:type="dxa"/>
            <w:vMerge w:val="restart"/>
            <w:vAlign w:val="center"/>
          </w:tcPr>
          <w:p>
            <w:pPr>
              <w:pStyle w:val="8"/>
              <w:ind w:firstLine="0" w:firstLineChars="0"/>
              <w:rPr>
                <w:highlight w:val="yellow"/>
              </w:rPr>
            </w:pPr>
            <w:r>
              <w:t>GB/T14848-</w:t>
            </w:r>
            <w:r>
              <w:rPr>
                <w:rFonts w:hint="eastAsia"/>
              </w:rPr>
              <w:t>2017中</w:t>
            </w:r>
            <w:r>
              <w:t>III</w:t>
            </w:r>
            <w:r>
              <w:rPr>
                <w:rFonts w:hint="eastAsia"/>
              </w:rPr>
              <w:t>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1061" w:type="dxa"/>
            <w:vAlign w:val="center"/>
          </w:tcPr>
          <w:p>
            <w:pPr>
              <w:pStyle w:val="8"/>
              <w:ind w:firstLine="0" w:firstLineChars="0"/>
            </w:pPr>
            <w:r>
              <w:rPr>
                <w:rFonts w:hint="eastAsia"/>
              </w:rPr>
              <w:t>U</w:t>
            </w:r>
            <w:r>
              <w:t>2</w:t>
            </w:r>
          </w:p>
        </w:tc>
        <w:tc>
          <w:tcPr>
            <w:tcW w:w="3414" w:type="dxa"/>
            <w:vAlign w:val="center"/>
          </w:tcPr>
          <w:p>
            <w:pPr>
              <w:pStyle w:val="8"/>
              <w:ind w:firstLine="0" w:firstLineChars="0"/>
              <w:rPr>
                <w:color w:val="000000"/>
              </w:rPr>
            </w:pPr>
            <w:r>
              <w:rPr>
                <w:rFonts w:hint="eastAsia"/>
              </w:rPr>
              <w:t>项目西南面</w:t>
            </w:r>
          </w:p>
        </w:tc>
        <w:tc>
          <w:tcPr>
            <w:tcW w:w="2457" w:type="dxa"/>
            <w:vMerge w:val="continue"/>
            <w:vAlign w:val="center"/>
          </w:tcPr>
          <w:p>
            <w:pPr>
              <w:pStyle w:val="8"/>
              <w:ind w:firstLine="0" w:firstLineChars="0"/>
              <w:rPr>
                <w:highlight w:val="yellow"/>
              </w:rPr>
            </w:pPr>
          </w:p>
        </w:tc>
        <w:tc>
          <w:tcPr>
            <w:tcW w:w="1799" w:type="dxa"/>
            <w:vMerge w:val="continue"/>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1061" w:type="dxa"/>
            <w:vAlign w:val="center"/>
          </w:tcPr>
          <w:p>
            <w:pPr>
              <w:pStyle w:val="8"/>
              <w:ind w:firstLine="0" w:firstLineChars="0"/>
            </w:pPr>
            <w:r>
              <w:rPr>
                <w:rFonts w:hint="eastAsia"/>
              </w:rPr>
              <w:t>U3</w:t>
            </w:r>
          </w:p>
        </w:tc>
        <w:tc>
          <w:tcPr>
            <w:tcW w:w="3414" w:type="dxa"/>
            <w:vAlign w:val="center"/>
          </w:tcPr>
          <w:p>
            <w:pPr>
              <w:pStyle w:val="8"/>
              <w:ind w:firstLine="0" w:firstLineChars="0"/>
              <w:rPr>
                <w:color w:val="000000"/>
              </w:rPr>
            </w:pPr>
            <w:r>
              <w:rPr>
                <w:rFonts w:hint="eastAsia"/>
              </w:rPr>
              <w:t>项目东南面</w:t>
            </w:r>
          </w:p>
        </w:tc>
        <w:tc>
          <w:tcPr>
            <w:tcW w:w="2457" w:type="dxa"/>
            <w:vMerge w:val="continue"/>
            <w:vAlign w:val="center"/>
          </w:tcPr>
          <w:p>
            <w:pPr>
              <w:pStyle w:val="8"/>
              <w:ind w:firstLine="0" w:firstLineChars="0"/>
              <w:rPr>
                <w:highlight w:val="yellow"/>
              </w:rPr>
            </w:pPr>
          </w:p>
        </w:tc>
        <w:tc>
          <w:tcPr>
            <w:tcW w:w="1799" w:type="dxa"/>
            <w:vMerge w:val="continue"/>
            <w:vAlign w:val="center"/>
          </w:tcPr>
          <w:p>
            <w:pPr>
              <w:pStyle w:val="8"/>
              <w:ind w:firstLine="0" w:firstLineChars="0"/>
              <w:rPr>
                <w:highlight w:val="yellow"/>
              </w:rPr>
            </w:pPr>
          </w:p>
        </w:tc>
      </w:tr>
    </w:tbl>
    <w:p>
      <w:pPr>
        <w:ind w:firstLine="480"/>
      </w:pPr>
      <w:r>
        <w:rPr>
          <w:rFonts w:hint="eastAsia"/>
        </w:rPr>
        <w:t>（2）</w:t>
      </w:r>
      <w:r>
        <w:t>监测时间</w:t>
      </w:r>
      <w:r>
        <w:rPr>
          <w:rFonts w:hint="eastAsia"/>
        </w:rPr>
        <w:t>、频次及方法</w:t>
      </w:r>
    </w:p>
    <w:p>
      <w:pPr>
        <w:ind w:firstLine="480"/>
      </w:pPr>
      <w:r>
        <w:t>监测时间为20</w:t>
      </w:r>
      <w:r>
        <w:rPr>
          <w:rFonts w:hint="eastAsia"/>
        </w:rPr>
        <w:t>20</w:t>
      </w:r>
      <w:r>
        <w:t>年</w:t>
      </w:r>
      <w:r>
        <w:rPr>
          <w:rFonts w:hint="eastAsia"/>
        </w:rPr>
        <w:t>10</w:t>
      </w:r>
      <w:r>
        <w:t>月</w:t>
      </w:r>
      <w:r>
        <w:rPr>
          <w:rFonts w:hint="eastAsia"/>
        </w:rPr>
        <w:t>28</w:t>
      </w:r>
      <w:r>
        <w:t>日</w:t>
      </w:r>
      <w:r>
        <w:rPr>
          <w:rFonts w:hint="eastAsia"/>
        </w:rPr>
        <w:t>-10月30日</w:t>
      </w:r>
      <w:r>
        <w:t>，监测</w:t>
      </w:r>
      <w:r>
        <w:rPr>
          <w:rFonts w:hint="eastAsia"/>
        </w:rPr>
        <w:t>3</w:t>
      </w:r>
      <w:r>
        <w:t>天，</w:t>
      </w:r>
      <w:r>
        <w:rPr>
          <w:rFonts w:hint="eastAsia"/>
        </w:rPr>
        <w:t>1天1次</w:t>
      </w:r>
      <w:r>
        <w:t>。</w:t>
      </w:r>
      <w:r>
        <w:rPr>
          <w:rFonts w:hint="eastAsia"/>
        </w:rPr>
        <w:t>监测方法依据《地下水环境监测技术规范》（HJ/T 164-2004）的规定执行。</w:t>
      </w:r>
    </w:p>
    <w:p>
      <w:pPr>
        <w:ind w:firstLine="480"/>
      </w:pPr>
      <w:r>
        <w:t>(3)监测结果</w:t>
      </w:r>
    </w:p>
    <w:p>
      <w:pPr>
        <w:ind w:firstLine="480"/>
      </w:pPr>
      <w:r>
        <w:t>监测结果详见表</w:t>
      </w:r>
      <w:r>
        <w:rPr>
          <w:rFonts w:hint="eastAsia"/>
        </w:rPr>
        <w:t>4</w:t>
      </w:r>
      <w:r>
        <w:t>-</w:t>
      </w:r>
      <w:r>
        <w:rPr>
          <w:rFonts w:hint="eastAsia"/>
        </w:rPr>
        <w:t>9</w:t>
      </w:r>
      <w:r>
        <w:t>。</w:t>
      </w:r>
    </w:p>
    <w:p>
      <w:pPr>
        <w:ind w:firstLine="0" w:firstLineChars="0"/>
        <w:jc w:val="center"/>
        <w:rPr>
          <w:b/>
          <w:bCs/>
        </w:rPr>
      </w:pPr>
      <w:r>
        <w:rPr>
          <w:b/>
          <w:bCs/>
        </w:rPr>
        <w:t>表4-</w:t>
      </w:r>
      <w:r>
        <w:rPr>
          <w:rFonts w:hint="eastAsia"/>
          <w:b/>
          <w:bCs/>
        </w:rPr>
        <w:t>9</w:t>
      </w:r>
      <w:r>
        <w:rPr>
          <w:b/>
          <w:bCs/>
        </w:rPr>
        <w:t xml:space="preserve">  地下水水质现状监测统计结果  </w:t>
      </w:r>
      <w:r>
        <w:rPr>
          <w:rFonts w:hint="eastAsia"/>
          <w:b/>
          <w:bCs/>
        </w:rPr>
        <w:t xml:space="preserve"> 单位(mg/L)</w:t>
      </w:r>
    </w:p>
    <w:tbl>
      <w:tblPr>
        <w:tblStyle w:val="21"/>
        <w:tblW w:w="92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850"/>
        <w:gridCol w:w="1418"/>
        <w:gridCol w:w="1417"/>
        <w:gridCol w:w="1394"/>
        <w:gridCol w:w="992"/>
        <w:gridCol w:w="1134"/>
        <w:gridCol w:w="11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widowControl/>
              <w:spacing w:line="240" w:lineRule="atLeast"/>
              <w:ind w:firstLine="0" w:firstLineChars="0"/>
              <w:jc w:val="center"/>
              <w:rPr>
                <w:sz w:val="21"/>
                <w:szCs w:val="21"/>
              </w:rPr>
            </w:pPr>
            <w:r>
              <w:rPr>
                <w:sz w:val="21"/>
                <w:szCs w:val="21"/>
              </w:rPr>
              <w:t>采样</w:t>
            </w:r>
          </w:p>
          <w:p>
            <w:pPr>
              <w:widowControl/>
              <w:spacing w:line="240" w:lineRule="atLeast"/>
              <w:ind w:firstLine="0" w:firstLineChars="0"/>
              <w:jc w:val="center"/>
              <w:rPr>
                <w:sz w:val="21"/>
                <w:szCs w:val="21"/>
              </w:rPr>
            </w:pPr>
            <w:r>
              <w:rPr>
                <w:sz w:val="21"/>
                <w:szCs w:val="21"/>
              </w:rPr>
              <w:t>点位</w:t>
            </w:r>
          </w:p>
        </w:tc>
        <w:tc>
          <w:tcPr>
            <w:tcW w:w="850" w:type="dxa"/>
            <w:vMerge w:val="restart"/>
            <w:vAlign w:val="center"/>
          </w:tcPr>
          <w:p>
            <w:pPr>
              <w:widowControl/>
              <w:spacing w:line="240" w:lineRule="atLeast"/>
              <w:ind w:firstLine="0" w:firstLineChars="0"/>
              <w:jc w:val="center"/>
              <w:rPr>
                <w:sz w:val="21"/>
                <w:szCs w:val="21"/>
              </w:rPr>
            </w:pPr>
            <w:r>
              <w:rPr>
                <w:sz w:val="21"/>
                <w:szCs w:val="21"/>
              </w:rPr>
              <w:t>样品</w:t>
            </w:r>
          </w:p>
          <w:p>
            <w:pPr>
              <w:widowControl/>
              <w:spacing w:line="240" w:lineRule="atLeast"/>
              <w:ind w:firstLine="0" w:firstLineChars="0"/>
              <w:jc w:val="center"/>
              <w:rPr>
                <w:sz w:val="21"/>
                <w:szCs w:val="21"/>
              </w:rPr>
            </w:pPr>
            <w:r>
              <w:rPr>
                <w:sz w:val="21"/>
                <w:szCs w:val="21"/>
              </w:rPr>
              <w:t>状态</w:t>
            </w:r>
          </w:p>
        </w:tc>
        <w:tc>
          <w:tcPr>
            <w:tcW w:w="1418" w:type="dxa"/>
            <w:vMerge w:val="restart"/>
            <w:vAlign w:val="center"/>
          </w:tcPr>
          <w:p>
            <w:pPr>
              <w:widowControl/>
              <w:spacing w:line="240" w:lineRule="atLeast"/>
              <w:ind w:firstLine="0" w:firstLineChars="0"/>
              <w:jc w:val="center"/>
              <w:rPr>
                <w:sz w:val="21"/>
                <w:szCs w:val="21"/>
              </w:rPr>
            </w:pPr>
            <w:r>
              <w:rPr>
                <w:sz w:val="21"/>
                <w:szCs w:val="21"/>
              </w:rPr>
              <w:t>检测项目</w:t>
            </w:r>
          </w:p>
        </w:tc>
        <w:tc>
          <w:tcPr>
            <w:tcW w:w="1417" w:type="dxa"/>
            <w:vMerge w:val="restart"/>
            <w:vAlign w:val="center"/>
          </w:tcPr>
          <w:p>
            <w:pPr>
              <w:widowControl/>
              <w:spacing w:line="240" w:lineRule="atLeast"/>
              <w:ind w:firstLine="0" w:firstLineChars="0"/>
              <w:jc w:val="center"/>
              <w:rPr>
                <w:sz w:val="21"/>
                <w:szCs w:val="21"/>
              </w:rPr>
            </w:pPr>
            <w:r>
              <w:rPr>
                <w:sz w:val="21"/>
                <w:szCs w:val="21"/>
              </w:rPr>
              <w:t>单位</w:t>
            </w:r>
          </w:p>
        </w:tc>
        <w:tc>
          <w:tcPr>
            <w:tcW w:w="3520" w:type="dxa"/>
            <w:gridSpan w:val="3"/>
            <w:vAlign w:val="center"/>
          </w:tcPr>
          <w:p>
            <w:pPr>
              <w:widowControl/>
              <w:spacing w:line="240" w:lineRule="atLeast"/>
              <w:ind w:firstLine="0" w:firstLineChars="0"/>
              <w:jc w:val="center"/>
              <w:rPr>
                <w:sz w:val="21"/>
                <w:szCs w:val="21"/>
              </w:rPr>
            </w:pPr>
            <w:r>
              <w:rPr>
                <w:sz w:val="21"/>
                <w:szCs w:val="21"/>
              </w:rPr>
              <w:t>检测结果</w:t>
            </w:r>
          </w:p>
        </w:tc>
        <w:tc>
          <w:tcPr>
            <w:tcW w:w="1133" w:type="dxa"/>
            <w:vMerge w:val="restart"/>
            <w:vAlign w:val="center"/>
          </w:tcPr>
          <w:p>
            <w:pPr>
              <w:widowControl/>
              <w:spacing w:line="240" w:lineRule="atLeast"/>
              <w:ind w:firstLine="0" w:firstLineChars="0"/>
              <w:jc w:val="center"/>
              <w:rPr>
                <w:sz w:val="21"/>
                <w:szCs w:val="21"/>
              </w:rPr>
            </w:pPr>
            <w:r>
              <w:rPr>
                <w:sz w:val="21"/>
                <w:szCs w:val="21"/>
              </w:rPr>
              <w:t>参考限值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Merge w:val="continue"/>
            <w:vAlign w:val="center"/>
          </w:tcPr>
          <w:p>
            <w:pPr>
              <w:widowControl/>
              <w:spacing w:line="240" w:lineRule="atLeast"/>
              <w:ind w:firstLine="0" w:firstLineChars="0"/>
              <w:jc w:val="center"/>
              <w:rPr>
                <w:sz w:val="21"/>
                <w:szCs w:val="21"/>
              </w:rPr>
            </w:pPr>
          </w:p>
        </w:tc>
        <w:tc>
          <w:tcPr>
            <w:tcW w:w="1417" w:type="dxa"/>
            <w:vMerge w:val="continue"/>
            <w:vAlign w:val="center"/>
          </w:tcPr>
          <w:p>
            <w:pPr>
              <w:widowControl/>
              <w:spacing w:line="240" w:lineRule="atLeast"/>
              <w:ind w:firstLine="0" w:firstLineChars="0"/>
              <w:jc w:val="center"/>
              <w:rPr>
                <w:sz w:val="21"/>
                <w:szCs w:val="21"/>
              </w:rPr>
            </w:pPr>
          </w:p>
        </w:tc>
        <w:tc>
          <w:tcPr>
            <w:tcW w:w="1394" w:type="dxa"/>
            <w:vAlign w:val="center"/>
          </w:tcPr>
          <w:p>
            <w:pPr>
              <w:widowControl/>
              <w:spacing w:line="240" w:lineRule="atLeast"/>
              <w:ind w:firstLine="0" w:firstLineChars="0"/>
              <w:jc w:val="center"/>
              <w:rPr>
                <w:b/>
                <w:bCs/>
                <w:szCs w:val="21"/>
              </w:rPr>
            </w:pPr>
            <w:r>
              <w:rPr>
                <w:rFonts w:hint="eastAsia"/>
                <w:b/>
                <w:bCs/>
                <w:sz w:val="21"/>
                <w:szCs w:val="21"/>
              </w:rPr>
              <w:t>10.28</w:t>
            </w:r>
          </w:p>
        </w:tc>
        <w:tc>
          <w:tcPr>
            <w:tcW w:w="992" w:type="dxa"/>
            <w:vAlign w:val="center"/>
          </w:tcPr>
          <w:p>
            <w:pPr>
              <w:widowControl/>
              <w:spacing w:line="240" w:lineRule="atLeast"/>
              <w:ind w:firstLine="0" w:firstLineChars="0"/>
              <w:jc w:val="center"/>
              <w:rPr>
                <w:b/>
                <w:bCs/>
                <w:szCs w:val="21"/>
              </w:rPr>
            </w:pPr>
            <w:r>
              <w:rPr>
                <w:rFonts w:hint="eastAsia"/>
                <w:b/>
                <w:bCs/>
                <w:sz w:val="21"/>
                <w:szCs w:val="21"/>
              </w:rPr>
              <w:t>10.29</w:t>
            </w:r>
          </w:p>
        </w:tc>
        <w:tc>
          <w:tcPr>
            <w:tcW w:w="1134" w:type="dxa"/>
            <w:vAlign w:val="center"/>
          </w:tcPr>
          <w:p>
            <w:pPr>
              <w:widowControl/>
              <w:spacing w:line="240" w:lineRule="atLeast"/>
              <w:ind w:firstLine="0" w:firstLineChars="0"/>
              <w:jc w:val="center"/>
              <w:rPr>
                <w:b/>
                <w:bCs/>
                <w:szCs w:val="21"/>
              </w:rPr>
            </w:pPr>
            <w:r>
              <w:rPr>
                <w:rFonts w:hint="eastAsia"/>
                <w:b/>
                <w:bCs/>
                <w:sz w:val="21"/>
                <w:szCs w:val="21"/>
              </w:rPr>
              <w:t>10.30</w:t>
            </w:r>
          </w:p>
        </w:tc>
        <w:tc>
          <w:tcPr>
            <w:tcW w:w="1133" w:type="dxa"/>
            <w:vMerge w:val="continue"/>
            <w:vAlign w:val="center"/>
          </w:tcPr>
          <w:p>
            <w:pPr>
              <w:widowControl/>
              <w:spacing w:line="240" w:lineRule="atLeast"/>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widowControl/>
              <w:spacing w:line="240" w:lineRule="atLeast"/>
              <w:ind w:firstLine="0" w:firstLineChars="0"/>
              <w:jc w:val="center"/>
              <w:rPr>
                <w:sz w:val="21"/>
                <w:szCs w:val="21"/>
              </w:rPr>
            </w:pPr>
            <w:r>
              <w:rPr>
                <w:sz w:val="21"/>
                <w:szCs w:val="21"/>
              </w:rPr>
              <w:t>☆U1</w:t>
            </w:r>
          </w:p>
        </w:tc>
        <w:tc>
          <w:tcPr>
            <w:tcW w:w="850" w:type="dxa"/>
            <w:vMerge w:val="restart"/>
            <w:vAlign w:val="center"/>
          </w:tcPr>
          <w:p>
            <w:pPr>
              <w:spacing w:line="240" w:lineRule="atLeast"/>
              <w:ind w:firstLine="0" w:firstLineChars="0"/>
              <w:jc w:val="center"/>
              <w:rPr>
                <w:sz w:val="21"/>
                <w:szCs w:val="21"/>
              </w:rPr>
            </w:pPr>
            <w:r>
              <w:rPr>
                <w:sz w:val="21"/>
                <w:szCs w:val="21"/>
              </w:rPr>
              <w:t>无色、</w:t>
            </w:r>
          </w:p>
          <w:p>
            <w:pPr>
              <w:widowControl/>
              <w:spacing w:line="240" w:lineRule="atLeast"/>
              <w:ind w:firstLine="0" w:firstLineChars="0"/>
              <w:jc w:val="center"/>
              <w:rPr>
                <w:sz w:val="21"/>
                <w:szCs w:val="21"/>
              </w:rPr>
            </w:pPr>
            <w:r>
              <w:rPr>
                <w:sz w:val="21"/>
                <w:szCs w:val="21"/>
              </w:rPr>
              <w:t>无味</w:t>
            </w: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rPr>
              <w:t>pH</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pH</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无量纲</w:t>
            </w:r>
          </w:p>
        </w:tc>
        <w:tc>
          <w:tcPr>
            <w:tcW w:w="992" w:type="dxa"/>
            <w:vAlign w:val="center"/>
          </w:tcPr>
          <w:p>
            <w:pPr>
              <w:spacing w:line="240" w:lineRule="atLeast"/>
              <w:ind w:firstLine="0" w:firstLineChars="0"/>
              <w:jc w:val="center"/>
              <w:rPr>
                <w:szCs w:val="21"/>
              </w:rPr>
            </w:pPr>
            <w:r>
              <w:rPr>
                <w:rFonts w:hint="eastAsia"/>
                <w:sz w:val="21"/>
                <w:szCs w:val="21"/>
              </w:rPr>
              <w:t>6.71</w:t>
            </w:r>
          </w:p>
        </w:tc>
        <w:tc>
          <w:tcPr>
            <w:tcW w:w="1134" w:type="dxa"/>
            <w:vAlign w:val="center"/>
          </w:tcPr>
          <w:p>
            <w:pPr>
              <w:spacing w:line="240" w:lineRule="atLeast"/>
              <w:ind w:firstLine="0" w:firstLineChars="0"/>
              <w:jc w:val="center"/>
              <w:rPr>
                <w:szCs w:val="21"/>
              </w:rPr>
            </w:pPr>
            <w:r>
              <w:rPr>
                <w:rFonts w:hint="eastAsia"/>
                <w:sz w:val="21"/>
                <w:szCs w:val="21"/>
              </w:rPr>
              <w:t>6.75</w:t>
            </w:r>
          </w:p>
        </w:tc>
        <w:tc>
          <w:tcPr>
            <w:tcW w:w="1133" w:type="dxa"/>
            <w:vAlign w:val="center"/>
          </w:tcPr>
          <w:p>
            <w:pPr>
              <w:spacing w:line="240" w:lineRule="atLeast"/>
              <w:ind w:firstLine="0" w:firstLineChars="0"/>
              <w:jc w:val="center"/>
              <w:rPr>
                <w:szCs w:val="21"/>
              </w:rPr>
            </w:pPr>
            <w:r>
              <w:rPr>
                <w:rFonts w:hint="eastAsia"/>
                <w:sz w:val="21"/>
                <w:szCs w:val="21"/>
              </w:rPr>
              <w:t>6.73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氨氮</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总硬度</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117</w:t>
            </w:r>
          </w:p>
        </w:tc>
        <w:tc>
          <w:tcPr>
            <w:tcW w:w="1134" w:type="dxa"/>
            <w:vAlign w:val="center"/>
          </w:tcPr>
          <w:p>
            <w:pPr>
              <w:spacing w:line="240" w:lineRule="atLeast"/>
              <w:ind w:firstLine="0" w:firstLineChars="0"/>
              <w:jc w:val="center"/>
              <w:rPr>
                <w:szCs w:val="21"/>
              </w:rPr>
            </w:pPr>
            <w:r>
              <w:rPr>
                <w:rFonts w:hint="eastAsia"/>
                <w:sz w:val="21"/>
                <w:szCs w:val="21"/>
              </w:rPr>
              <w:t>116</w:t>
            </w:r>
          </w:p>
        </w:tc>
        <w:tc>
          <w:tcPr>
            <w:tcW w:w="1133" w:type="dxa"/>
            <w:vAlign w:val="center"/>
          </w:tcPr>
          <w:p>
            <w:pPr>
              <w:spacing w:line="240" w:lineRule="atLeast"/>
              <w:ind w:firstLine="0" w:firstLineChars="0"/>
              <w:jc w:val="center"/>
              <w:rPr>
                <w:szCs w:val="21"/>
              </w:rPr>
            </w:pPr>
            <w:r>
              <w:rPr>
                <w:rFonts w:hint="eastAsia"/>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总硬度</w:t>
            </w:r>
          </w:p>
        </w:tc>
        <w:tc>
          <w:tcPr>
            <w:tcW w:w="1417" w:type="dxa"/>
            <w:vAlign w:val="center"/>
          </w:tcPr>
          <w:p>
            <w:pPr>
              <w:pStyle w:val="31"/>
              <w:spacing w:line="240" w:lineRule="atLeast"/>
              <w:jc w:val="center"/>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硫酸盐</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12.4</w:t>
            </w:r>
          </w:p>
        </w:tc>
        <w:tc>
          <w:tcPr>
            <w:tcW w:w="1134" w:type="dxa"/>
            <w:vAlign w:val="center"/>
          </w:tcPr>
          <w:p>
            <w:pPr>
              <w:spacing w:line="240" w:lineRule="atLeast"/>
              <w:ind w:firstLine="0" w:firstLineChars="0"/>
              <w:jc w:val="center"/>
              <w:rPr>
                <w:szCs w:val="21"/>
              </w:rPr>
            </w:pPr>
            <w:r>
              <w:rPr>
                <w:rFonts w:hint="eastAsia"/>
                <w:sz w:val="21"/>
                <w:szCs w:val="21"/>
              </w:rPr>
              <w:t>12.1</w:t>
            </w:r>
          </w:p>
        </w:tc>
        <w:tc>
          <w:tcPr>
            <w:tcW w:w="1133" w:type="dxa"/>
            <w:vAlign w:val="center"/>
          </w:tcPr>
          <w:p>
            <w:pPr>
              <w:spacing w:line="240" w:lineRule="atLeast"/>
              <w:ind w:firstLine="0" w:firstLineChars="0"/>
              <w:jc w:val="center"/>
              <w:rPr>
                <w:szCs w:val="21"/>
              </w:rPr>
            </w:pPr>
            <w:r>
              <w:rPr>
                <w:rFonts w:hint="eastAsia"/>
                <w:sz w:val="21"/>
                <w:szCs w:val="21"/>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耗氧量</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耗氧量</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1.11</w:t>
            </w:r>
          </w:p>
        </w:tc>
        <w:tc>
          <w:tcPr>
            <w:tcW w:w="1134" w:type="dxa"/>
            <w:vAlign w:val="center"/>
          </w:tcPr>
          <w:p>
            <w:pPr>
              <w:spacing w:line="240" w:lineRule="atLeast"/>
              <w:ind w:firstLine="0" w:firstLineChars="0"/>
              <w:jc w:val="center"/>
              <w:rPr>
                <w:szCs w:val="21"/>
              </w:rPr>
            </w:pPr>
            <w:r>
              <w:rPr>
                <w:rFonts w:hint="eastAsia"/>
                <w:sz w:val="21"/>
                <w:szCs w:val="21"/>
              </w:rPr>
              <w:t>1.18</w:t>
            </w:r>
          </w:p>
        </w:tc>
        <w:tc>
          <w:tcPr>
            <w:tcW w:w="1133" w:type="dxa"/>
            <w:vAlign w:val="center"/>
          </w:tcPr>
          <w:p>
            <w:pPr>
              <w:spacing w:line="240" w:lineRule="atLeast"/>
              <w:ind w:firstLine="0" w:firstLineChars="0"/>
              <w:jc w:val="center"/>
              <w:rPr>
                <w:szCs w:val="21"/>
              </w:rPr>
            </w:pPr>
            <w:r>
              <w:rPr>
                <w:rFonts w:hint="eastAsia"/>
                <w:sz w:val="21"/>
                <w:szCs w:val="21"/>
              </w:rPr>
              <w:t>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挥发性酚类</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氨氮</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widowControl/>
              <w:spacing w:line="240" w:lineRule="atLeast"/>
              <w:ind w:firstLine="0" w:firstLineChars="0"/>
              <w:jc w:val="center"/>
              <w:rPr>
                <w:szCs w:val="21"/>
              </w:rPr>
            </w:pPr>
            <w:r>
              <w:rPr>
                <w:rFonts w:hint="eastAsia"/>
                <w:sz w:val="21"/>
                <w:szCs w:val="21"/>
              </w:rPr>
              <w:t>0.118</w:t>
            </w:r>
          </w:p>
        </w:tc>
        <w:tc>
          <w:tcPr>
            <w:tcW w:w="1134" w:type="dxa"/>
            <w:vAlign w:val="center"/>
          </w:tcPr>
          <w:p>
            <w:pPr>
              <w:widowControl/>
              <w:spacing w:line="240" w:lineRule="atLeast"/>
              <w:ind w:firstLine="0" w:firstLineChars="0"/>
              <w:jc w:val="center"/>
              <w:rPr>
                <w:szCs w:val="21"/>
              </w:rPr>
            </w:pPr>
            <w:r>
              <w:rPr>
                <w:rFonts w:hint="eastAsia"/>
                <w:sz w:val="21"/>
                <w:szCs w:val="21"/>
              </w:rPr>
              <w:t>0.110</w:t>
            </w:r>
          </w:p>
        </w:tc>
        <w:tc>
          <w:tcPr>
            <w:tcW w:w="1133" w:type="dxa"/>
            <w:vAlign w:val="center"/>
          </w:tcPr>
          <w:p>
            <w:pPr>
              <w:widowControl/>
              <w:spacing w:line="240" w:lineRule="atLeast"/>
              <w:ind w:firstLine="0" w:firstLineChars="0"/>
              <w:jc w:val="center"/>
              <w:rPr>
                <w:szCs w:val="21"/>
              </w:rPr>
            </w:pPr>
            <w:r>
              <w:rPr>
                <w:rFonts w:hint="eastAsia"/>
                <w:sz w:val="21"/>
                <w:szCs w:val="21"/>
              </w:rPr>
              <w:t>0.128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氟化物</w:t>
            </w:r>
          </w:p>
        </w:tc>
        <w:tc>
          <w:tcPr>
            <w:tcW w:w="1417" w:type="dxa"/>
            <w:vAlign w:val="center"/>
          </w:tcPr>
          <w:p>
            <w:pPr>
              <w:pStyle w:val="31"/>
              <w:spacing w:line="240" w:lineRule="atLeast"/>
              <w:jc w:val="center"/>
              <w:rPr>
                <w:rFonts w:hint="default" w:ascii="Times New Roman" w:hAnsi="Times New Roman" w:eastAsia="宋体"/>
                <w:color w:val="FF0000"/>
                <w:sz w:val="21"/>
                <w:szCs w:val="21"/>
              </w:rPr>
            </w:pPr>
            <w:r>
              <w:rPr>
                <w:rFonts w:hint="default" w:ascii="Times New Roman" w:hAnsi="Times New Roman" w:eastAsia="宋体"/>
                <w:color w:val="000000" w:themeColor="text1"/>
                <w:sz w:val="21"/>
                <w:szCs w:val="21"/>
                <w14:textFill>
                  <w14:solidFill>
                    <w14:schemeClr w14:val="tx1"/>
                  </w14:solidFill>
                </w14:textFill>
              </w:rPr>
              <w:t>氟化物</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widowControl/>
              <w:spacing w:line="240" w:lineRule="atLeast"/>
              <w:ind w:firstLine="0" w:firstLineChars="0"/>
              <w:jc w:val="center"/>
              <w:rPr>
                <w:szCs w:val="21"/>
              </w:rPr>
            </w:pPr>
            <w:r>
              <w:rPr>
                <w:rFonts w:hint="eastAsia"/>
                <w:sz w:val="21"/>
                <w:szCs w:val="21"/>
              </w:rPr>
              <w:t>0.054</w:t>
            </w:r>
          </w:p>
        </w:tc>
        <w:tc>
          <w:tcPr>
            <w:tcW w:w="1134" w:type="dxa"/>
            <w:vAlign w:val="center"/>
          </w:tcPr>
          <w:p>
            <w:pPr>
              <w:widowControl/>
              <w:spacing w:line="240" w:lineRule="atLeast"/>
              <w:ind w:firstLine="0" w:firstLineChars="0"/>
              <w:jc w:val="center"/>
              <w:rPr>
                <w:szCs w:val="21"/>
              </w:rPr>
            </w:pPr>
            <w:r>
              <w:rPr>
                <w:rFonts w:hint="eastAsia"/>
                <w:sz w:val="21"/>
                <w:szCs w:val="21"/>
              </w:rPr>
              <w:t>0.051</w:t>
            </w:r>
          </w:p>
        </w:tc>
        <w:tc>
          <w:tcPr>
            <w:tcW w:w="1133" w:type="dxa"/>
            <w:vAlign w:val="center"/>
          </w:tcPr>
          <w:p>
            <w:pPr>
              <w:widowControl/>
              <w:spacing w:line="240" w:lineRule="atLeast"/>
              <w:ind w:firstLine="0" w:firstLineChars="0"/>
              <w:jc w:val="center"/>
              <w:rPr>
                <w:szCs w:val="21"/>
              </w:rPr>
            </w:pPr>
            <w:r>
              <w:rPr>
                <w:rFonts w:hint="eastAsia"/>
                <w:sz w:val="21"/>
                <w:szCs w:val="21"/>
              </w:rPr>
              <w:t>0.053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rPr>
              <w:t>硫酸盐</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kern w:val="2"/>
                <w:sz w:val="21"/>
                <w:szCs w:val="21"/>
              </w:rPr>
              <w:t>总大肠菌群</w:t>
            </w:r>
          </w:p>
        </w:tc>
        <w:tc>
          <w:tcPr>
            <w:tcW w:w="1394" w:type="dxa"/>
            <w:vAlign w:val="center"/>
          </w:tcPr>
          <w:p>
            <w:pPr>
              <w:widowControl/>
              <w:spacing w:line="240" w:lineRule="atLeast"/>
              <w:ind w:firstLine="0" w:firstLineChars="0"/>
              <w:jc w:val="center"/>
              <w:rPr>
                <w:rFonts w:eastAsiaTheme="minorEastAsia"/>
                <w:szCs w:val="21"/>
              </w:rPr>
            </w:pPr>
            <w:r>
              <w:rPr>
                <w:rFonts w:hint="eastAsia"/>
                <w:sz w:val="21"/>
                <w:szCs w:val="21"/>
              </w:rPr>
              <w:t>MPN</w:t>
            </w:r>
            <w:r>
              <w:rPr>
                <w:sz w:val="21"/>
                <w:szCs w:val="21"/>
              </w:rPr>
              <w:t>/</w:t>
            </w:r>
            <w:r>
              <w:rPr>
                <w:rFonts w:hint="eastAsia"/>
                <w:sz w:val="21"/>
                <w:szCs w:val="21"/>
              </w:rPr>
              <w:t>100m</w:t>
            </w:r>
            <w:r>
              <w:rPr>
                <w:sz w:val="21"/>
                <w:szCs w:val="21"/>
              </w:rPr>
              <w:t>L</w:t>
            </w:r>
          </w:p>
        </w:tc>
        <w:tc>
          <w:tcPr>
            <w:tcW w:w="992" w:type="dxa"/>
            <w:vAlign w:val="center"/>
          </w:tcPr>
          <w:p>
            <w:pPr>
              <w:spacing w:line="240" w:lineRule="atLeast"/>
              <w:ind w:firstLine="0" w:firstLineChars="0"/>
              <w:jc w:val="center"/>
              <w:rPr>
                <w:szCs w:val="21"/>
              </w:rPr>
            </w:pPr>
            <w:r>
              <w:rPr>
                <w:rFonts w:hint="eastAsia"/>
                <w:sz w:val="21"/>
                <w:szCs w:val="21"/>
              </w:rPr>
              <w:t>ND</w:t>
            </w:r>
          </w:p>
        </w:tc>
        <w:tc>
          <w:tcPr>
            <w:tcW w:w="1134" w:type="dxa"/>
            <w:vAlign w:val="center"/>
          </w:tcPr>
          <w:p>
            <w:pPr>
              <w:spacing w:line="240" w:lineRule="atLeast"/>
              <w:ind w:firstLine="0" w:firstLineChars="0"/>
              <w:jc w:val="center"/>
              <w:rPr>
                <w:szCs w:val="21"/>
              </w:rPr>
            </w:pPr>
            <w:r>
              <w:rPr>
                <w:rFonts w:hint="eastAsia"/>
                <w:sz w:val="21"/>
                <w:szCs w:val="21"/>
              </w:rPr>
              <w:t>ND</w:t>
            </w:r>
          </w:p>
        </w:tc>
        <w:tc>
          <w:tcPr>
            <w:tcW w:w="1133" w:type="dxa"/>
            <w:vAlign w:val="center"/>
          </w:tcPr>
          <w:p>
            <w:pPr>
              <w:spacing w:line="240" w:lineRule="atLeast"/>
              <w:ind w:firstLine="0" w:firstLineChars="0"/>
              <w:jc w:val="center"/>
              <w:rPr>
                <w:szCs w:val="21"/>
              </w:rPr>
            </w:pPr>
            <w:r>
              <w:rPr>
                <w:rFonts w:hint="eastAsia"/>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总大肠菌群</w:t>
            </w:r>
          </w:p>
        </w:tc>
        <w:tc>
          <w:tcPr>
            <w:tcW w:w="1417" w:type="dxa"/>
            <w:vAlign w:val="center"/>
          </w:tcPr>
          <w:p>
            <w:pPr>
              <w:pStyle w:val="31"/>
              <w:spacing w:line="240" w:lineRule="atLeast"/>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挥发性酚类</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c>
          <w:tcPr>
            <w:tcW w:w="1134"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c>
          <w:tcPr>
            <w:tcW w:w="1133"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widowControl/>
              <w:spacing w:line="240" w:lineRule="atLeast"/>
              <w:ind w:firstLine="0" w:firstLineChars="0"/>
              <w:jc w:val="center"/>
              <w:rPr>
                <w:sz w:val="21"/>
                <w:szCs w:val="21"/>
              </w:rPr>
            </w:pPr>
            <w:r>
              <w:rPr>
                <w:sz w:val="21"/>
                <w:szCs w:val="21"/>
              </w:rPr>
              <w:t>☆U2</w:t>
            </w:r>
          </w:p>
        </w:tc>
        <w:tc>
          <w:tcPr>
            <w:tcW w:w="850" w:type="dxa"/>
            <w:vMerge w:val="restart"/>
            <w:vAlign w:val="center"/>
          </w:tcPr>
          <w:p>
            <w:pPr>
              <w:spacing w:line="240" w:lineRule="atLeast"/>
              <w:ind w:firstLine="0" w:firstLineChars="0"/>
              <w:jc w:val="center"/>
              <w:rPr>
                <w:sz w:val="21"/>
                <w:szCs w:val="21"/>
              </w:rPr>
            </w:pPr>
            <w:r>
              <w:rPr>
                <w:sz w:val="21"/>
                <w:szCs w:val="21"/>
              </w:rPr>
              <w:t>无色、</w:t>
            </w:r>
          </w:p>
          <w:p>
            <w:pPr>
              <w:widowControl/>
              <w:spacing w:line="240" w:lineRule="atLeast"/>
              <w:ind w:firstLine="0" w:firstLineChars="0"/>
              <w:jc w:val="center"/>
              <w:rPr>
                <w:sz w:val="21"/>
                <w:szCs w:val="21"/>
              </w:rPr>
            </w:pPr>
            <w:r>
              <w:rPr>
                <w:sz w:val="21"/>
                <w:szCs w:val="21"/>
              </w:rPr>
              <w:t>无味</w:t>
            </w: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rPr>
              <w:t>pH</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pH</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无量纲</w:t>
            </w:r>
          </w:p>
        </w:tc>
        <w:tc>
          <w:tcPr>
            <w:tcW w:w="992" w:type="dxa"/>
            <w:vAlign w:val="center"/>
          </w:tcPr>
          <w:p>
            <w:pPr>
              <w:spacing w:line="240" w:lineRule="atLeast"/>
              <w:ind w:firstLine="0" w:firstLineChars="0"/>
              <w:jc w:val="center"/>
              <w:rPr>
                <w:szCs w:val="21"/>
              </w:rPr>
            </w:pPr>
            <w:r>
              <w:rPr>
                <w:rFonts w:hint="eastAsia"/>
                <w:sz w:val="21"/>
                <w:szCs w:val="21"/>
              </w:rPr>
              <w:t>6.68</w:t>
            </w:r>
          </w:p>
        </w:tc>
        <w:tc>
          <w:tcPr>
            <w:tcW w:w="1134" w:type="dxa"/>
            <w:vAlign w:val="center"/>
          </w:tcPr>
          <w:p>
            <w:pPr>
              <w:spacing w:line="240" w:lineRule="atLeast"/>
              <w:ind w:firstLine="0" w:firstLineChars="0"/>
              <w:jc w:val="center"/>
              <w:rPr>
                <w:szCs w:val="21"/>
              </w:rPr>
            </w:pPr>
            <w:r>
              <w:rPr>
                <w:rFonts w:hint="eastAsia"/>
                <w:sz w:val="21"/>
                <w:szCs w:val="21"/>
              </w:rPr>
              <w:t>6.65</w:t>
            </w:r>
          </w:p>
        </w:tc>
        <w:tc>
          <w:tcPr>
            <w:tcW w:w="1133" w:type="dxa"/>
            <w:vAlign w:val="center"/>
          </w:tcPr>
          <w:p>
            <w:pPr>
              <w:spacing w:line="240" w:lineRule="atLeast"/>
              <w:ind w:firstLine="0" w:firstLineChars="0"/>
              <w:jc w:val="center"/>
              <w:rPr>
                <w:szCs w:val="21"/>
              </w:rPr>
            </w:pPr>
            <w:r>
              <w:rPr>
                <w:rFonts w:hint="eastAsia"/>
                <w:sz w:val="21"/>
                <w:szCs w:val="21"/>
              </w:rPr>
              <w:t>6.62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氨氮</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总硬度</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120</w:t>
            </w:r>
          </w:p>
        </w:tc>
        <w:tc>
          <w:tcPr>
            <w:tcW w:w="1134" w:type="dxa"/>
            <w:vAlign w:val="center"/>
          </w:tcPr>
          <w:p>
            <w:pPr>
              <w:spacing w:line="240" w:lineRule="atLeast"/>
              <w:ind w:firstLine="0" w:firstLineChars="0"/>
              <w:jc w:val="center"/>
              <w:rPr>
                <w:szCs w:val="21"/>
              </w:rPr>
            </w:pPr>
            <w:r>
              <w:rPr>
                <w:rFonts w:hint="eastAsia"/>
                <w:sz w:val="21"/>
                <w:szCs w:val="21"/>
              </w:rPr>
              <w:t>124</w:t>
            </w:r>
          </w:p>
        </w:tc>
        <w:tc>
          <w:tcPr>
            <w:tcW w:w="1133" w:type="dxa"/>
            <w:vAlign w:val="center"/>
          </w:tcPr>
          <w:p>
            <w:pPr>
              <w:spacing w:line="240" w:lineRule="atLeast"/>
              <w:ind w:firstLine="0" w:firstLineChars="0"/>
              <w:jc w:val="center"/>
              <w:rPr>
                <w:szCs w:val="21"/>
              </w:rPr>
            </w:pPr>
            <w:r>
              <w:rPr>
                <w:rFonts w:hint="eastAsia"/>
                <w:sz w:val="21"/>
                <w:szCs w:val="21"/>
              </w:rPr>
              <w:t>123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总硬度</w:t>
            </w:r>
          </w:p>
        </w:tc>
        <w:tc>
          <w:tcPr>
            <w:tcW w:w="1417" w:type="dxa"/>
            <w:vAlign w:val="center"/>
          </w:tcPr>
          <w:p>
            <w:pPr>
              <w:pStyle w:val="31"/>
              <w:spacing w:line="240" w:lineRule="atLeast"/>
              <w:jc w:val="center"/>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硫酸盐</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16.5</w:t>
            </w:r>
          </w:p>
        </w:tc>
        <w:tc>
          <w:tcPr>
            <w:tcW w:w="1134" w:type="dxa"/>
            <w:vAlign w:val="center"/>
          </w:tcPr>
          <w:p>
            <w:pPr>
              <w:spacing w:line="240" w:lineRule="atLeast"/>
              <w:ind w:firstLine="0" w:firstLineChars="0"/>
              <w:jc w:val="center"/>
              <w:rPr>
                <w:szCs w:val="21"/>
              </w:rPr>
            </w:pPr>
            <w:r>
              <w:rPr>
                <w:rFonts w:hint="eastAsia"/>
                <w:sz w:val="21"/>
                <w:szCs w:val="21"/>
              </w:rPr>
              <w:t>16.4</w:t>
            </w:r>
          </w:p>
        </w:tc>
        <w:tc>
          <w:tcPr>
            <w:tcW w:w="1133" w:type="dxa"/>
            <w:vAlign w:val="center"/>
          </w:tcPr>
          <w:p>
            <w:pPr>
              <w:spacing w:line="240" w:lineRule="atLeast"/>
              <w:ind w:firstLine="0" w:firstLineChars="0"/>
              <w:jc w:val="center"/>
              <w:rPr>
                <w:szCs w:val="21"/>
              </w:rPr>
            </w:pPr>
            <w:r>
              <w:rPr>
                <w:rFonts w:hint="eastAsia"/>
                <w:sz w:val="21"/>
                <w:szCs w:val="21"/>
              </w:rPr>
              <w:t>15.9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耗氧量</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耗氧量</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0.89</w:t>
            </w:r>
          </w:p>
        </w:tc>
        <w:tc>
          <w:tcPr>
            <w:tcW w:w="1134" w:type="dxa"/>
            <w:vAlign w:val="center"/>
          </w:tcPr>
          <w:p>
            <w:pPr>
              <w:spacing w:line="240" w:lineRule="atLeast"/>
              <w:ind w:firstLine="0" w:firstLineChars="0"/>
              <w:jc w:val="center"/>
              <w:rPr>
                <w:szCs w:val="21"/>
              </w:rPr>
            </w:pPr>
            <w:r>
              <w:rPr>
                <w:rFonts w:hint="eastAsia"/>
                <w:sz w:val="21"/>
                <w:szCs w:val="21"/>
              </w:rPr>
              <w:t>0.95</w:t>
            </w:r>
          </w:p>
        </w:tc>
        <w:tc>
          <w:tcPr>
            <w:tcW w:w="1133" w:type="dxa"/>
            <w:vAlign w:val="center"/>
          </w:tcPr>
          <w:p>
            <w:pPr>
              <w:spacing w:line="240" w:lineRule="atLeast"/>
              <w:ind w:firstLine="0" w:firstLineChars="0"/>
              <w:jc w:val="center"/>
              <w:rPr>
                <w:szCs w:val="21"/>
              </w:rPr>
            </w:pPr>
            <w:r>
              <w:rPr>
                <w:rFonts w:hint="eastAsia"/>
                <w:sz w:val="21"/>
                <w:szCs w:val="21"/>
              </w:rPr>
              <w:t>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挥发性酚类</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氨氮</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0.113</w:t>
            </w:r>
          </w:p>
        </w:tc>
        <w:tc>
          <w:tcPr>
            <w:tcW w:w="1134" w:type="dxa"/>
            <w:vAlign w:val="center"/>
          </w:tcPr>
          <w:p>
            <w:pPr>
              <w:spacing w:line="240" w:lineRule="atLeast"/>
              <w:ind w:firstLine="0" w:firstLineChars="0"/>
              <w:jc w:val="center"/>
              <w:rPr>
                <w:szCs w:val="21"/>
              </w:rPr>
            </w:pPr>
            <w:r>
              <w:rPr>
                <w:rFonts w:hint="eastAsia"/>
                <w:sz w:val="21"/>
                <w:szCs w:val="21"/>
              </w:rPr>
              <w:t>0.103</w:t>
            </w:r>
          </w:p>
        </w:tc>
        <w:tc>
          <w:tcPr>
            <w:tcW w:w="1133" w:type="dxa"/>
            <w:vAlign w:val="center"/>
          </w:tcPr>
          <w:p>
            <w:pPr>
              <w:spacing w:line="240" w:lineRule="atLeast"/>
              <w:ind w:firstLine="0" w:firstLineChars="0"/>
              <w:jc w:val="center"/>
              <w:rPr>
                <w:szCs w:val="21"/>
              </w:rPr>
            </w:pPr>
            <w:r>
              <w:rPr>
                <w:rFonts w:hint="eastAsia"/>
                <w:sz w:val="21"/>
                <w:szCs w:val="21"/>
              </w:rPr>
              <w:t>0.108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氟化物</w:t>
            </w:r>
          </w:p>
        </w:tc>
        <w:tc>
          <w:tcPr>
            <w:tcW w:w="1417" w:type="dxa"/>
            <w:vAlign w:val="center"/>
          </w:tcPr>
          <w:p>
            <w:pPr>
              <w:pStyle w:val="31"/>
              <w:spacing w:line="240" w:lineRule="atLeast"/>
              <w:jc w:val="center"/>
              <w:rPr>
                <w:rFonts w:hint="default" w:ascii="Times New Roman" w:hAnsi="Times New Roman" w:eastAsia="宋体"/>
                <w:color w:val="FF0000"/>
                <w:sz w:val="21"/>
                <w:szCs w:val="21"/>
              </w:rPr>
            </w:pPr>
            <w:r>
              <w:rPr>
                <w:rFonts w:hint="default" w:ascii="Times New Roman" w:hAnsi="Times New Roman" w:eastAsia="宋体"/>
                <w:color w:val="000000" w:themeColor="text1"/>
                <w:sz w:val="21"/>
                <w:szCs w:val="21"/>
                <w14:textFill>
                  <w14:solidFill>
                    <w14:schemeClr w14:val="tx1"/>
                  </w14:solidFill>
                </w14:textFill>
              </w:rPr>
              <w:t>氟化物</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0.058</w:t>
            </w:r>
          </w:p>
        </w:tc>
        <w:tc>
          <w:tcPr>
            <w:tcW w:w="1134" w:type="dxa"/>
            <w:vAlign w:val="center"/>
          </w:tcPr>
          <w:p>
            <w:pPr>
              <w:spacing w:line="240" w:lineRule="atLeast"/>
              <w:ind w:firstLine="0" w:firstLineChars="0"/>
              <w:jc w:val="center"/>
              <w:rPr>
                <w:szCs w:val="21"/>
              </w:rPr>
            </w:pPr>
            <w:r>
              <w:rPr>
                <w:rFonts w:hint="eastAsia"/>
                <w:sz w:val="21"/>
                <w:szCs w:val="21"/>
              </w:rPr>
              <w:t>0.056</w:t>
            </w:r>
          </w:p>
        </w:tc>
        <w:tc>
          <w:tcPr>
            <w:tcW w:w="1133" w:type="dxa"/>
            <w:vAlign w:val="center"/>
          </w:tcPr>
          <w:p>
            <w:pPr>
              <w:spacing w:line="240" w:lineRule="atLeast"/>
              <w:ind w:firstLine="0" w:firstLineChars="0"/>
              <w:jc w:val="center"/>
              <w:rPr>
                <w:szCs w:val="21"/>
              </w:rPr>
            </w:pPr>
            <w:r>
              <w:rPr>
                <w:rFonts w:hint="eastAsia"/>
                <w:sz w:val="21"/>
                <w:szCs w:val="21"/>
              </w:rPr>
              <w:t>0.054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rPr>
              <w:t>硫酸盐</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kern w:val="2"/>
                <w:sz w:val="21"/>
                <w:szCs w:val="21"/>
              </w:rPr>
              <w:t>总大肠菌群</w:t>
            </w:r>
          </w:p>
        </w:tc>
        <w:tc>
          <w:tcPr>
            <w:tcW w:w="1394" w:type="dxa"/>
            <w:vAlign w:val="center"/>
          </w:tcPr>
          <w:p>
            <w:pPr>
              <w:widowControl/>
              <w:spacing w:line="240" w:lineRule="atLeast"/>
              <w:ind w:firstLine="0" w:firstLineChars="0"/>
              <w:jc w:val="center"/>
              <w:rPr>
                <w:rFonts w:eastAsiaTheme="minorEastAsia"/>
                <w:szCs w:val="21"/>
              </w:rPr>
            </w:pPr>
            <w:r>
              <w:rPr>
                <w:rFonts w:hint="eastAsia"/>
                <w:sz w:val="21"/>
                <w:szCs w:val="21"/>
              </w:rPr>
              <w:t>MPN</w:t>
            </w:r>
            <w:r>
              <w:rPr>
                <w:sz w:val="21"/>
                <w:szCs w:val="21"/>
              </w:rPr>
              <w:t>/</w:t>
            </w:r>
            <w:r>
              <w:rPr>
                <w:rFonts w:hint="eastAsia"/>
                <w:sz w:val="21"/>
                <w:szCs w:val="21"/>
              </w:rPr>
              <w:t>100m</w:t>
            </w:r>
            <w:r>
              <w:rPr>
                <w:sz w:val="21"/>
                <w:szCs w:val="21"/>
              </w:rPr>
              <w:t>L</w:t>
            </w:r>
          </w:p>
        </w:tc>
        <w:tc>
          <w:tcPr>
            <w:tcW w:w="992" w:type="dxa"/>
            <w:vAlign w:val="center"/>
          </w:tcPr>
          <w:p>
            <w:pPr>
              <w:spacing w:line="240" w:lineRule="atLeast"/>
              <w:ind w:firstLine="0" w:firstLineChars="0"/>
              <w:jc w:val="center"/>
              <w:rPr>
                <w:szCs w:val="21"/>
              </w:rPr>
            </w:pPr>
            <w:r>
              <w:rPr>
                <w:rFonts w:hint="eastAsia"/>
                <w:sz w:val="21"/>
                <w:szCs w:val="21"/>
              </w:rPr>
              <w:t>ND</w:t>
            </w:r>
          </w:p>
        </w:tc>
        <w:tc>
          <w:tcPr>
            <w:tcW w:w="1134" w:type="dxa"/>
            <w:vAlign w:val="center"/>
          </w:tcPr>
          <w:p>
            <w:pPr>
              <w:spacing w:line="240" w:lineRule="atLeast"/>
              <w:ind w:firstLine="0" w:firstLineChars="0"/>
              <w:jc w:val="center"/>
              <w:rPr>
                <w:szCs w:val="21"/>
              </w:rPr>
            </w:pPr>
            <w:r>
              <w:rPr>
                <w:rFonts w:hint="eastAsia"/>
                <w:sz w:val="21"/>
                <w:szCs w:val="21"/>
              </w:rPr>
              <w:t>ND</w:t>
            </w:r>
          </w:p>
        </w:tc>
        <w:tc>
          <w:tcPr>
            <w:tcW w:w="1133" w:type="dxa"/>
            <w:vAlign w:val="center"/>
          </w:tcPr>
          <w:p>
            <w:pPr>
              <w:spacing w:line="240" w:lineRule="atLeast"/>
              <w:ind w:firstLine="0" w:firstLineChars="0"/>
              <w:jc w:val="center"/>
              <w:rPr>
                <w:szCs w:val="21"/>
              </w:rPr>
            </w:pPr>
            <w:r>
              <w:rPr>
                <w:rFonts w:hint="eastAsia"/>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总大肠菌群</w:t>
            </w:r>
          </w:p>
        </w:tc>
        <w:tc>
          <w:tcPr>
            <w:tcW w:w="1417" w:type="dxa"/>
            <w:vAlign w:val="center"/>
          </w:tcPr>
          <w:p>
            <w:pPr>
              <w:pStyle w:val="31"/>
              <w:spacing w:line="240" w:lineRule="atLeast"/>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挥发性酚类</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c>
          <w:tcPr>
            <w:tcW w:w="1134"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c>
          <w:tcPr>
            <w:tcW w:w="1133"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restart"/>
            <w:vAlign w:val="center"/>
          </w:tcPr>
          <w:p>
            <w:pPr>
              <w:widowControl/>
              <w:spacing w:line="240" w:lineRule="atLeast"/>
              <w:ind w:firstLine="0" w:firstLineChars="0"/>
              <w:jc w:val="center"/>
              <w:rPr>
                <w:sz w:val="21"/>
                <w:szCs w:val="21"/>
              </w:rPr>
            </w:pPr>
            <w:r>
              <w:rPr>
                <w:sz w:val="21"/>
                <w:szCs w:val="21"/>
              </w:rPr>
              <w:t>☆U3</w:t>
            </w:r>
          </w:p>
        </w:tc>
        <w:tc>
          <w:tcPr>
            <w:tcW w:w="850" w:type="dxa"/>
            <w:vMerge w:val="restart"/>
            <w:vAlign w:val="center"/>
          </w:tcPr>
          <w:p>
            <w:pPr>
              <w:spacing w:line="240" w:lineRule="atLeast"/>
              <w:ind w:firstLine="0" w:firstLineChars="0"/>
              <w:jc w:val="center"/>
              <w:rPr>
                <w:sz w:val="21"/>
                <w:szCs w:val="21"/>
              </w:rPr>
            </w:pPr>
            <w:r>
              <w:rPr>
                <w:sz w:val="21"/>
                <w:szCs w:val="21"/>
              </w:rPr>
              <w:t>无色、</w:t>
            </w:r>
          </w:p>
          <w:p>
            <w:pPr>
              <w:widowControl/>
              <w:spacing w:line="240" w:lineRule="atLeast"/>
              <w:ind w:firstLine="0" w:firstLineChars="0"/>
              <w:jc w:val="center"/>
              <w:rPr>
                <w:sz w:val="21"/>
                <w:szCs w:val="21"/>
              </w:rPr>
            </w:pPr>
            <w:r>
              <w:rPr>
                <w:sz w:val="21"/>
                <w:szCs w:val="21"/>
              </w:rPr>
              <w:t>无味</w:t>
            </w: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rPr>
              <w:t>pH</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pH</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无量纲</w:t>
            </w:r>
          </w:p>
        </w:tc>
        <w:tc>
          <w:tcPr>
            <w:tcW w:w="992" w:type="dxa"/>
            <w:vAlign w:val="center"/>
          </w:tcPr>
          <w:p>
            <w:pPr>
              <w:spacing w:line="240" w:lineRule="atLeast"/>
              <w:ind w:firstLine="0" w:firstLineChars="0"/>
              <w:jc w:val="center"/>
              <w:rPr>
                <w:szCs w:val="21"/>
              </w:rPr>
            </w:pPr>
            <w:r>
              <w:rPr>
                <w:rFonts w:hint="eastAsia"/>
                <w:sz w:val="21"/>
                <w:szCs w:val="21"/>
              </w:rPr>
              <w:t>6.74</w:t>
            </w:r>
          </w:p>
        </w:tc>
        <w:tc>
          <w:tcPr>
            <w:tcW w:w="1134" w:type="dxa"/>
            <w:vAlign w:val="center"/>
          </w:tcPr>
          <w:p>
            <w:pPr>
              <w:spacing w:line="240" w:lineRule="atLeast"/>
              <w:ind w:firstLine="0" w:firstLineChars="0"/>
              <w:jc w:val="center"/>
              <w:rPr>
                <w:szCs w:val="21"/>
              </w:rPr>
            </w:pPr>
            <w:r>
              <w:rPr>
                <w:rFonts w:hint="eastAsia"/>
                <w:sz w:val="21"/>
                <w:szCs w:val="21"/>
              </w:rPr>
              <w:t>6.79</w:t>
            </w:r>
          </w:p>
        </w:tc>
        <w:tc>
          <w:tcPr>
            <w:tcW w:w="1133" w:type="dxa"/>
            <w:vAlign w:val="center"/>
          </w:tcPr>
          <w:p>
            <w:pPr>
              <w:spacing w:line="240" w:lineRule="atLeast"/>
              <w:ind w:firstLine="0" w:firstLineChars="0"/>
              <w:jc w:val="center"/>
              <w:rPr>
                <w:szCs w:val="21"/>
              </w:rPr>
            </w:pPr>
            <w:r>
              <w:rPr>
                <w:rFonts w:hint="eastAsia"/>
                <w:sz w:val="21"/>
                <w:szCs w:val="21"/>
              </w:rPr>
              <w:t>6.74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氨氮</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总硬度</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122</w:t>
            </w:r>
          </w:p>
        </w:tc>
        <w:tc>
          <w:tcPr>
            <w:tcW w:w="1134" w:type="dxa"/>
            <w:vAlign w:val="center"/>
          </w:tcPr>
          <w:p>
            <w:pPr>
              <w:spacing w:line="240" w:lineRule="atLeast"/>
              <w:ind w:firstLine="0" w:firstLineChars="0"/>
              <w:jc w:val="center"/>
              <w:rPr>
                <w:szCs w:val="21"/>
              </w:rPr>
            </w:pPr>
            <w:r>
              <w:rPr>
                <w:rFonts w:hint="eastAsia"/>
                <w:sz w:val="21"/>
                <w:szCs w:val="21"/>
              </w:rPr>
              <w:t>126</w:t>
            </w:r>
          </w:p>
        </w:tc>
        <w:tc>
          <w:tcPr>
            <w:tcW w:w="1133" w:type="dxa"/>
            <w:vAlign w:val="center"/>
          </w:tcPr>
          <w:p>
            <w:pPr>
              <w:spacing w:line="240" w:lineRule="atLeast"/>
              <w:ind w:firstLine="0" w:firstLineChars="0"/>
              <w:jc w:val="center"/>
              <w:rPr>
                <w:szCs w:val="21"/>
              </w:rPr>
            </w:pPr>
            <w:r>
              <w:rPr>
                <w:rFonts w:hint="eastAsia"/>
                <w:sz w:val="21"/>
                <w:szCs w:val="21"/>
              </w:rPr>
              <w:t>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lang w:bidi="ar"/>
              </w:rPr>
              <w:t>总硬度</w:t>
            </w:r>
          </w:p>
        </w:tc>
        <w:tc>
          <w:tcPr>
            <w:tcW w:w="1417" w:type="dxa"/>
            <w:vAlign w:val="center"/>
          </w:tcPr>
          <w:p>
            <w:pPr>
              <w:pStyle w:val="31"/>
              <w:spacing w:line="240" w:lineRule="atLeast"/>
              <w:jc w:val="center"/>
              <w:rPr>
                <w:rFonts w:hint="default"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olor w:val="000000" w:themeColor="text1"/>
                <w:sz w:val="21"/>
                <w:szCs w:val="21"/>
                <w14:textFill>
                  <w14:solidFill>
                    <w14:schemeClr w14:val="tx1"/>
                  </w14:solidFill>
                </w14:textFill>
              </w:rPr>
              <w:t>硫酸盐</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19.7</w:t>
            </w:r>
          </w:p>
        </w:tc>
        <w:tc>
          <w:tcPr>
            <w:tcW w:w="1134" w:type="dxa"/>
            <w:vAlign w:val="center"/>
          </w:tcPr>
          <w:p>
            <w:pPr>
              <w:spacing w:line="240" w:lineRule="atLeast"/>
              <w:ind w:firstLine="0" w:firstLineChars="0"/>
              <w:jc w:val="center"/>
              <w:rPr>
                <w:szCs w:val="21"/>
              </w:rPr>
            </w:pPr>
            <w:r>
              <w:rPr>
                <w:rFonts w:hint="eastAsia"/>
                <w:sz w:val="21"/>
                <w:szCs w:val="21"/>
              </w:rPr>
              <w:t>18.9</w:t>
            </w:r>
          </w:p>
        </w:tc>
        <w:tc>
          <w:tcPr>
            <w:tcW w:w="1133" w:type="dxa"/>
            <w:vAlign w:val="center"/>
          </w:tcPr>
          <w:p>
            <w:pPr>
              <w:spacing w:line="240" w:lineRule="atLeast"/>
              <w:ind w:firstLine="0" w:firstLineChars="0"/>
              <w:jc w:val="center"/>
              <w:rPr>
                <w:szCs w:val="21"/>
              </w:rPr>
            </w:pPr>
            <w:r>
              <w:rPr>
                <w:rFonts w:hint="eastAsia"/>
                <w:sz w:val="21"/>
                <w:szCs w:val="21"/>
              </w:rPr>
              <w:t>19.2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耗氧量</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耗氧量</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1.03</w:t>
            </w:r>
          </w:p>
        </w:tc>
        <w:tc>
          <w:tcPr>
            <w:tcW w:w="1134" w:type="dxa"/>
            <w:vAlign w:val="center"/>
          </w:tcPr>
          <w:p>
            <w:pPr>
              <w:spacing w:line="240" w:lineRule="atLeast"/>
              <w:ind w:firstLine="0" w:firstLineChars="0"/>
              <w:jc w:val="center"/>
              <w:rPr>
                <w:szCs w:val="21"/>
              </w:rPr>
            </w:pPr>
            <w:r>
              <w:rPr>
                <w:rFonts w:hint="eastAsia"/>
                <w:sz w:val="21"/>
                <w:szCs w:val="21"/>
              </w:rPr>
              <w:t>1.11</w:t>
            </w:r>
          </w:p>
        </w:tc>
        <w:tc>
          <w:tcPr>
            <w:tcW w:w="1133" w:type="dxa"/>
            <w:vAlign w:val="center"/>
          </w:tcPr>
          <w:p>
            <w:pPr>
              <w:spacing w:line="240" w:lineRule="atLeast"/>
              <w:ind w:firstLine="0" w:firstLineChars="0"/>
              <w:jc w:val="center"/>
              <w:rPr>
                <w:szCs w:val="21"/>
              </w:rPr>
            </w:pPr>
            <w:r>
              <w:rPr>
                <w:rFonts w:hint="eastAsia"/>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挥发性酚类</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sz w:val="21"/>
                <w:szCs w:val="21"/>
              </w:rPr>
              <w:t>氨氮</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0.133</w:t>
            </w:r>
          </w:p>
        </w:tc>
        <w:tc>
          <w:tcPr>
            <w:tcW w:w="1134" w:type="dxa"/>
            <w:vAlign w:val="center"/>
          </w:tcPr>
          <w:p>
            <w:pPr>
              <w:spacing w:line="240" w:lineRule="atLeast"/>
              <w:ind w:firstLine="0" w:firstLineChars="0"/>
              <w:jc w:val="center"/>
              <w:rPr>
                <w:szCs w:val="21"/>
              </w:rPr>
            </w:pPr>
            <w:r>
              <w:rPr>
                <w:rFonts w:hint="eastAsia"/>
                <w:sz w:val="21"/>
                <w:szCs w:val="21"/>
              </w:rPr>
              <w:t>0.143</w:t>
            </w:r>
          </w:p>
        </w:tc>
        <w:tc>
          <w:tcPr>
            <w:tcW w:w="1133" w:type="dxa"/>
            <w:vAlign w:val="center"/>
          </w:tcPr>
          <w:p>
            <w:pPr>
              <w:spacing w:line="240" w:lineRule="atLeast"/>
              <w:ind w:firstLine="0" w:firstLineChars="0"/>
              <w:jc w:val="center"/>
              <w:rPr>
                <w:szCs w:val="21"/>
              </w:rPr>
            </w:pPr>
            <w:r>
              <w:rPr>
                <w:rFonts w:hint="eastAsia"/>
                <w:sz w:val="21"/>
                <w:szCs w:val="21"/>
              </w:rPr>
              <w:t>0.133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氟化物</w:t>
            </w:r>
          </w:p>
        </w:tc>
        <w:tc>
          <w:tcPr>
            <w:tcW w:w="1417" w:type="dxa"/>
            <w:vAlign w:val="center"/>
          </w:tcPr>
          <w:p>
            <w:pPr>
              <w:pStyle w:val="31"/>
              <w:spacing w:line="240" w:lineRule="atLeast"/>
              <w:jc w:val="center"/>
              <w:rPr>
                <w:rFonts w:hint="default" w:ascii="Times New Roman" w:hAnsi="Times New Roman" w:eastAsia="宋体"/>
                <w:color w:val="FF0000"/>
                <w:sz w:val="21"/>
                <w:szCs w:val="21"/>
              </w:rPr>
            </w:pPr>
            <w:r>
              <w:rPr>
                <w:rFonts w:hint="default" w:ascii="Times New Roman" w:hAnsi="Times New Roman" w:eastAsia="宋体"/>
                <w:color w:val="000000" w:themeColor="text1"/>
                <w:sz w:val="21"/>
                <w:szCs w:val="21"/>
                <w14:textFill>
                  <w14:solidFill>
                    <w14:schemeClr w14:val="tx1"/>
                  </w14:solidFill>
                </w14:textFill>
              </w:rPr>
              <w:t>氟化物</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0.062</w:t>
            </w:r>
          </w:p>
        </w:tc>
        <w:tc>
          <w:tcPr>
            <w:tcW w:w="1134" w:type="dxa"/>
            <w:vAlign w:val="center"/>
          </w:tcPr>
          <w:p>
            <w:pPr>
              <w:spacing w:line="240" w:lineRule="atLeast"/>
              <w:ind w:firstLine="0" w:firstLineChars="0"/>
              <w:jc w:val="center"/>
              <w:rPr>
                <w:szCs w:val="21"/>
              </w:rPr>
            </w:pPr>
            <w:r>
              <w:rPr>
                <w:rFonts w:hint="eastAsia"/>
                <w:sz w:val="21"/>
                <w:szCs w:val="21"/>
              </w:rPr>
              <w:t>0.064</w:t>
            </w:r>
          </w:p>
        </w:tc>
        <w:tc>
          <w:tcPr>
            <w:tcW w:w="1133" w:type="dxa"/>
            <w:vAlign w:val="center"/>
          </w:tcPr>
          <w:p>
            <w:pPr>
              <w:spacing w:line="240" w:lineRule="atLeast"/>
              <w:ind w:firstLine="0" w:firstLineChars="0"/>
              <w:jc w:val="center"/>
              <w:rPr>
                <w:szCs w:val="21"/>
              </w:rPr>
            </w:pPr>
            <w:r>
              <w:rPr>
                <w:rFonts w:hint="eastAsia"/>
                <w:sz w:val="21"/>
                <w:szCs w:val="21"/>
              </w:rPr>
              <w:t>0.058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lang w:bidi="ar"/>
              </w:rPr>
            </w:pPr>
            <w:r>
              <w:rPr>
                <w:sz w:val="21"/>
                <w:szCs w:val="21"/>
              </w:rPr>
              <w:t>硫酸盐</w:t>
            </w:r>
          </w:p>
        </w:tc>
        <w:tc>
          <w:tcPr>
            <w:tcW w:w="1417" w:type="dxa"/>
            <w:vAlign w:val="center"/>
          </w:tcPr>
          <w:p>
            <w:pPr>
              <w:pStyle w:val="31"/>
              <w:spacing w:line="240" w:lineRule="atLeast"/>
              <w:jc w:val="center"/>
              <w:rPr>
                <w:rFonts w:hint="default" w:ascii="Times New Roman" w:hAnsi="Times New Roman" w:eastAsiaTheme="minorEastAsia"/>
                <w:color w:val="auto"/>
                <w:kern w:val="2"/>
                <w:sz w:val="21"/>
                <w:szCs w:val="21"/>
              </w:rPr>
            </w:pPr>
            <w:r>
              <w:rPr>
                <w:rFonts w:hint="default" w:ascii="Times New Roman" w:hAnsi="Times New Roman" w:eastAsiaTheme="minorEastAsia"/>
                <w:color w:val="auto"/>
                <w:kern w:val="2"/>
                <w:sz w:val="21"/>
                <w:szCs w:val="21"/>
              </w:rPr>
              <w:t>总大肠菌群</w:t>
            </w:r>
          </w:p>
        </w:tc>
        <w:tc>
          <w:tcPr>
            <w:tcW w:w="1394" w:type="dxa"/>
            <w:vAlign w:val="center"/>
          </w:tcPr>
          <w:p>
            <w:pPr>
              <w:widowControl/>
              <w:spacing w:line="240" w:lineRule="atLeast"/>
              <w:ind w:firstLine="0" w:firstLineChars="0"/>
              <w:jc w:val="center"/>
              <w:rPr>
                <w:rFonts w:eastAsiaTheme="minorEastAsia"/>
                <w:szCs w:val="21"/>
              </w:rPr>
            </w:pPr>
            <w:r>
              <w:rPr>
                <w:rFonts w:hint="eastAsia"/>
                <w:sz w:val="21"/>
                <w:szCs w:val="21"/>
              </w:rPr>
              <w:t>MPN</w:t>
            </w:r>
            <w:r>
              <w:rPr>
                <w:sz w:val="21"/>
                <w:szCs w:val="21"/>
              </w:rPr>
              <w:t>/</w:t>
            </w:r>
            <w:r>
              <w:rPr>
                <w:rFonts w:hint="eastAsia"/>
                <w:sz w:val="21"/>
                <w:szCs w:val="21"/>
              </w:rPr>
              <w:t>100m</w:t>
            </w:r>
            <w:r>
              <w:rPr>
                <w:sz w:val="21"/>
                <w:szCs w:val="21"/>
              </w:rPr>
              <w:t>L</w:t>
            </w:r>
          </w:p>
        </w:tc>
        <w:tc>
          <w:tcPr>
            <w:tcW w:w="992" w:type="dxa"/>
            <w:vAlign w:val="center"/>
          </w:tcPr>
          <w:p>
            <w:pPr>
              <w:spacing w:line="240" w:lineRule="atLeast"/>
              <w:ind w:firstLine="0" w:firstLineChars="0"/>
              <w:jc w:val="center"/>
              <w:rPr>
                <w:szCs w:val="21"/>
              </w:rPr>
            </w:pPr>
            <w:r>
              <w:rPr>
                <w:rFonts w:hint="eastAsia"/>
                <w:sz w:val="21"/>
                <w:szCs w:val="21"/>
              </w:rPr>
              <w:t>ND</w:t>
            </w:r>
          </w:p>
        </w:tc>
        <w:tc>
          <w:tcPr>
            <w:tcW w:w="1134" w:type="dxa"/>
            <w:vAlign w:val="center"/>
          </w:tcPr>
          <w:p>
            <w:pPr>
              <w:spacing w:line="240" w:lineRule="atLeast"/>
              <w:ind w:firstLine="0" w:firstLineChars="0"/>
              <w:jc w:val="center"/>
              <w:rPr>
                <w:szCs w:val="21"/>
              </w:rPr>
            </w:pPr>
            <w:r>
              <w:rPr>
                <w:rFonts w:hint="eastAsia"/>
                <w:sz w:val="21"/>
                <w:szCs w:val="21"/>
              </w:rPr>
              <w:t>ND</w:t>
            </w:r>
          </w:p>
        </w:tc>
        <w:tc>
          <w:tcPr>
            <w:tcW w:w="1133" w:type="dxa"/>
            <w:vAlign w:val="center"/>
          </w:tcPr>
          <w:p>
            <w:pPr>
              <w:spacing w:line="240" w:lineRule="atLeast"/>
              <w:ind w:firstLine="0" w:firstLineChars="0"/>
              <w:jc w:val="center"/>
              <w:rPr>
                <w:szCs w:val="21"/>
              </w:rPr>
            </w:pPr>
            <w:r>
              <w:rPr>
                <w:rFonts w:hint="eastAsia"/>
                <w:sz w:val="21"/>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vMerge w:val="continue"/>
            <w:vAlign w:val="center"/>
          </w:tcPr>
          <w:p>
            <w:pPr>
              <w:widowControl/>
              <w:spacing w:line="240" w:lineRule="atLeast"/>
              <w:ind w:firstLine="0" w:firstLineChars="0"/>
              <w:jc w:val="center"/>
              <w:rPr>
                <w:sz w:val="21"/>
                <w:szCs w:val="21"/>
              </w:rPr>
            </w:pPr>
          </w:p>
        </w:tc>
        <w:tc>
          <w:tcPr>
            <w:tcW w:w="850" w:type="dxa"/>
            <w:vMerge w:val="continue"/>
            <w:vAlign w:val="center"/>
          </w:tcPr>
          <w:p>
            <w:pPr>
              <w:widowControl/>
              <w:spacing w:line="240" w:lineRule="atLeast"/>
              <w:ind w:firstLine="0" w:firstLineChars="0"/>
              <w:jc w:val="center"/>
              <w:rPr>
                <w:sz w:val="21"/>
                <w:szCs w:val="21"/>
              </w:rPr>
            </w:pPr>
          </w:p>
        </w:tc>
        <w:tc>
          <w:tcPr>
            <w:tcW w:w="1418" w:type="dxa"/>
            <w:vAlign w:val="center"/>
          </w:tcPr>
          <w:p>
            <w:pPr>
              <w:widowControl/>
              <w:spacing w:line="240" w:lineRule="atLeast"/>
              <w:ind w:firstLine="0" w:firstLineChars="0"/>
              <w:jc w:val="center"/>
              <w:textAlignment w:val="center"/>
              <w:rPr>
                <w:sz w:val="21"/>
                <w:szCs w:val="21"/>
              </w:rPr>
            </w:pPr>
            <w:r>
              <w:rPr>
                <w:sz w:val="21"/>
                <w:szCs w:val="21"/>
              </w:rPr>
              <w:t>总大肠菌群</w:t>
            </w:r>
          </w:p>
        </w:tc>
        <w:tc>
          <w:tcPr>
            <w:tcW w:w="1417" w:type="dxa"/>
            <w:vAlign w:val="center"/>
          </w:tcPr>
          <w:p>
            <w:pPr>
              <w:pStyle w:val="31"/>
              <w:spacing w:line="240" w:lineRule="atLeast"/>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挥发性酚类</w:t>
            </w:r>
          </w:p>
        </w:tc>
        <w:tc>
          <w:tcPr>
            <w:tcW w:w="1394" w:type="dxa"/>
            <w:vAlign w:val="center"/>
          </w:tcPr>
          <w:p>
            <w:pPr>
              <w:widowControl/>
              <w:spacing w:line="240" w:lineRule="atLeast"/>
              <w:ind w:firstLine="0" w:firstLineChars="0"/>
              <w:jc w:val="center"/>
              <w:rPr>
                <w:rFonts w:eastAsiaTheme="minorEastAsia"/>
                <w:szCs w:val="21"/>
              </w:rPr>
            </w:pPr>
            <w:r>
              <w:rPr>
                <w:rFonts w:eastAsiaTheme="minorEastAsia"/>
                <w:sz w:val="21"/>
                <w:szCs w:val="21"/>
              </w:rPr>
              <w:t>mg/L</w:t>
            </w:r>
          </w:p>
        </w:tc>
        <w:tc>
          <w:tcPr>
            <w:tcW w:w="992"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c>
          <w:tcPr>
            <w:tcW w:w="1134"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c>
          <w:tcPr>
            <w:tcW w:w="1133" w:type="dxa"/>
            <w:vAlign w:val="center"/>
          </w:tcPr>
          <w:p>
            <w:pPr>
              <w:spacing w:line="240" w:lineRule="atLeast"/>
              <w:ind w:firstLine="0" w:firstLineChars="0"/>
              <w:jc w:val="center"/>
              <w:rPr>
                <w:szCs w:val="21"/>
              </w:rPr>
            </w:pPr>
            <w:r>
              <w:rPr>
                <w:rFonts w:hint="eastAsia"/>
                <w:sz w:val="21"/>
                <w:szCs w:val="21"/>
              </w:rPr>
              <w:t>0.0003</w:t>
            </w:r>
            <w:r>
              <w:rPr>
                <w:rFonts w:eastAsiaTheme="minorEastAsia"/>
                <w:sz w:val="21"/>
                <w:szCs w:val="21"/>
              </w:rPr>
              <w:t>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97" w:type="dxa"/>
            <w:gridSpan w:val="8"/>
          </w:tcPr>
          <w:p>
            <w:pPr>
              <w:widowControl/>
              <w:spacing w:line="240" w:lineRule="atLeast"/>
              <w:ind w:firstLine="0" w:firstLineChars="0"/>
              <w:jc w:val="left"/>
              <w:rPr>
                <w:sz w:val="21"/>
                <w:szCs w:val="21"/>
              </w:rPr>
            </w:pPr>
            <w:r>
              <w:rPr>
                <w:sz w:val="21"/>
                <w:szCs w:val="21"/>
              </w:rPr>
              <w:t>备注：参考《地下水质量标准》（GB 14848-2017）表1中的</w:t>
            </w:r>
            <w:r>
              <w:rPr>
                <w:sz w:val="21"/>
                <w:szCs w:val="21"/>
              </w:rPr>
              <w:fldChar w:fldCharType="begin"/>
            </w:r>
            <w:r>
              <w:rPr>
                <w:sz w:val="21"/>
                <w:szCs w:val="21"/>
              </w:rPr>
              <w:instrText xml:space="preserve"> = 3 \* ROMAN \* MERGEFORMAT </w:instrText>
            </w:r>
            <w:r>
              <w:rPr>
                <w:sz w:val="21"/>
                <w:szCs w:val="21"/>
              </w:rPr>
              <w:fldChar w:fldCharType="separate"/>
            </w:r>
            <w:r>
              <w:rPr>
                <w:sz w:val="21"/>
                <w:szCs w:val="21"/>
              </w:rPr>
              <w:t>III</w:t>
            </w:r>
            <w:r>
              <w:rPr>
                <w:sz w:val="21"/>
                <w:szCs w:val="21"/>
              </w:rPr>
              <w:fldChar w:fldCharType="end"/>
            </w:r>
            <w:r>
              <w:rPr>
                <w:sz w:val="21"/>
                <w:szCs w:val="21"/>
              </w:rPr>
              <w:t>类标准限值。</w:t>
            </w:r>
          </w:p>
        </w:tc>
      </w:tr>
    </w:tbl>
    <w:p>
      <w:pPr>
        <w:ind w:firstLine="480"/>
      </w:pPr>
      <w:r>
        <w:t>由表4-</w:t>
      </w:r>
      <w:r>
        <w:rPr>
          <w:rFonts w:hint="eastAsia"/>
        </w:rPr>
        <w:t>6</w:t>
      </w:r>
      <w:r>
        <w:t>监测可知，</w:t>
      </w:r>
      <w:r>
        <w:rPr>
          <w:rFonts w:hint="eastAsia"/>
        </w:rPr>
        <w:t>所在区域</w:t>
      </w:r>
      <w:r>
        <w:t>地下水中</w:t>
      </w:r>
      <w:r>
        <w:rPr>
          <w:rFonts w:hint="eastAsia"/>
        </w:rPr>
        <w:t>各监测指标均符合《地下水质量标准》（GB/T14848-2017）中III类水质要求，区域地下水环境质量较好</w:t>
      </w:r>
      <w:r>
        <w:t>。</w:t>
      </w:r>
    </w:p>
    <w:p>
      <w:pPr>
        <w:pStyle w:val="5"/>
        <w:spacing w:before="48" w:after="48"/>
      </w:pPr>
      <w:r>
        <w:rPr>
          <w:rFonts w:hint="eastAsia"/>
        </w:rPr>
        <w:t>3.2.6土壤</w:t>
      </w:r>
      <w:r>
        <w:t>环境质量现状</w:t>
      </w:r>
    </w:p>
    <w:p>
      <w:pPr>
        <w:ind w:firstLine="480"/>
      </w:pPr>
      <w:r>
        <w:rPr>
          <w:rFonts w:hint="eastAsia"/>
        </w:rPr>
        <w:t>根据文件要求，生猪养殖用地作为设施农用地，按农用地管理，不需办理建设用地审批手续。因此，本项目采用设施农用地类型进行监测。</w:t>
      </w:r>
    </w:p>
    <w:p>
      <w:pPr>
        <w:ind w:firstLine="480"/>
      </w:pPr>
      <w:r>
        <w:rPr>
          <w:rFonts w:hint="eastAsia"/>
        </w:rPr>
        <w:t>（1）监测点布设</w:t>
      </w:r>
    </w:p>
    <w:p>
      <w:pPr>
        <w:ind w:firstLine="480"/>
      </w:pPr>
      <w:r>
        <w:rPr>
          <w:rFonts w:hint="eastAsia"/>
        </w:rPr>
        <w:t>为了解项目所在区域的土壤质量情况，本项目委托了湖南宏润检测公司对项目所在地的土壤进行了监测，监测点位如下表。</w:t>
      </w:r>
    </w:p>
    <w:p>
      <w:pPr>
        <w:ind w:firstLine="0" w:firstLineChars="0"/>
        <w:jc w:val="center"/>
        <w:rPr>
          <w:rFonts w:hint="eastAsia"/>
          <w:b/>
          <w:bCs/>
        </w:rPr>
      </w:pPr>
    </w:p>
    <w:p>
      <w:pPr>
        <w:ind w:firstLine="0" w:firstLineChars="0"/>
        <w:jc w:val="center"/>
        <w:rPr>
          <w:rFonts w:hint="eastAsia"/>
          <w:b/>
          <w:bCs/>
        </w:rPr>
      </w:pPr>
    </w:p>
    <w:p>
      <w:pPr>
        <w:ind w:firstLine="0" w:firstLineChars="0"/>
        <w:jc w:val="center"/>
        <w:rPr>
          <w:b/>
          <w:bCs/>
        </w:rPr>
      </w:pPr>
      <w:r>
        <w:rPr>
          <w:rFonts w:hint="eastAsia"/>
          <w:b/>
          <w:bCs/>
        </w:rPr>
        <w:t>表4-10 土壤监测点位分布</w:t>
      </w:r>
    </w:p>
    <w:tbl>
      <w:tblPr>
        <w:tblStyle w:val="21"/>
        <w:tblW w:w="852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1"/>
        <w:gridCol w:w="1320"/>
        <w:gridCol w:w="2048"/>
        <w:gridCol w:w="40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81" w:type="dxa"/>
            <w:vAlign w:val="center"/>
          </w:tcPr>
          <w:p>
            <w:pPr>
              <w:adjustRightInd w:val="0"/>
              <w:snapToGrid w:val="0"/>
              <w:spacing w:line="280" w:lineRule="exact"/>
              <w:ind w:firstLine="0" w:firstLineChars="0"/>
              <w:jc w:val="center"/>
              <w:rPr>
                <w:sz w:val="21"/>
                <w:szCs w:val="21"/>
              </w:rPr>
            </w:pPr>
            <w:r>
              <w:rPr>
                <w:sz w:val="21"/>
                <w:szCs w:val="21"/>
              </w:rPr>
              <w:t>编号</w:t>
            </w:r>
          </w:p>
        </w:tc>
        <w:tc>
          <w:tcPr>
            <w:tcW w:w="1320" w:type="dxa"/>
            <w:vAlign w:val="center"/>
          </w:tcPr>
          <w:p>
            <w:pPr>
              <w:adjustRightInd w:val="0"/>
              <w:snapToGrid w:val="0"/>
              <w:spacing w:line="280" w:lineRule="exact"/>
              <w:ind w:firstLine="0" w:firstLineChars="0"/>
              <w:jc w:val="center"/>
              <w:rPr>
                <w:sz w:val="21"/>
                <w:szCs w:val="21"/>
              </w:rPr>
            </w:pPr>
            <w:r>
              <w:rPr>
                <w:sz w:val="21"/>
                <w:szCs w:val="21"/>
              </w:rPr>
              <w:t>样品特征</w:t>
            </w:r>
          </w:p>
        </w:tc>
        <w:tc>
          <w:tcPr>
            <w:tcW w:w="2048" w:type="dxa"/>
            <w:vAlign w:val="center"/>
          </w:tcPr>
          <w:p>
            <w:pPr>
              <w:adjustRightInd w:val="0"/>
              <w:snapToGrid w:val="0"/>
              <w:spacing w:line="280" w:lineRule="exact"/>
              <w:ind w:firstLine="0" w:firstLineChars="0"/>
              <w:jc w:val="center"/>
              <w:rPr>
                <w:sz w:val="21"/>
                <w:szCs w:val="21"/>
              </w:rPr>
            </w:pPr>
            <w:r>
              <w:rPr>
                <w:sz w:val="21"/>
                <w:szCs w:val="21"/>
              </w:rPr>
              <w:t>采样点</w:t>
            </w:r>
          </w:p>
        </w:tc>
        <w:tc>
          <w:tcPr>
            <w:tcW w:w="4072" w:type="dxa"/>
            <w:vAlign w:val="center"/>
          </w:tcPr>
          <w:p>
            <w:pPr>
              <w:adjustRightInd w:val="0"/>
              <w:snapToGrid w:val="0"/>
              <w:spacing w:line="280" w:lineRule="exact"/>
              <w:ind w:firstLine="0" w:firstLineChars="0"/>
              <w:jc w:val="center"/>
              <w:rPr>
                <w:sz w:val="21"/>
                <w:szCs w:val="21"/>
              </w:rPr>
            </w:pPr>
            <w:r>
              <w:rPr>
                <w:sz w:val="21"/>
                <w:szCs w:val="21"/>
              </w:rPr>
              <w:t>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81" w:type="dxa"/>
            <w:vAlign w:val="center"/>
          </w:tcPr>
          <w:p>
            <w:pPr>
              <w:adjustRightInd w:val="0"/>
              <w:snapToGrid w:val="0"/>
              <w:spacing w:line="280" w:lineRule="exact"/>
              <w:ind w:firstLine="0" w:firstLineChars="0"/>
              <w:jc w:val="center"/>
              <w:rPr>
                <w:sz w:val="21"/>
                <w:szCs w:val="21"/>
              </w:rPr>
            </w:pPr>
            <w:r>
              <w:rPr>
                <w:rFonts w:hint="eastAsia"/>
                <w:sz w:val="21"/>
                <w:szCs w:val="21"/>
              </w:rPr>
              <w:t>T</w:t>
            </w:r>
            <w:r>
              <w:rPr>
                <w:sz w:val="21"/>
                <w:szCs w:val="21"/>
              </w:rPr>
              <w:t>1</w:t>
            </w:r>
          </w:p>
        </w:tc>
        <w:tc>
          <w:tcPr>
            <w:tcW w:w="1320" w:type="dxa"/>
            <w:vAlign w:val="center"/>
          </w:tcPr>
          <w:p>
            <w:pPr>
              <w:adjustRightInd w:val="0"/>
              <w:snapToGrid w:val="0"/>
              <w:spacing w:line="280" w:lineRule="exact"/>
              <w:ind w:firstLine="0" w:firstLineChars="0"/>
              <w:jc w:val="center"/>
              <w:rPr>
                <w:sz w:val="21"/>
                <w:szCs w:val="21"/>
              </w:rPr>
            </w:pPr>
            <w:r>
              <w:rPr>
                <w:sz w:val="21"/>
                <w:szCs w:val="21"/>
              </w:rPr>
              <w:t>表层样</w:t>
            </w:r>
          </w:p>
        </w:tc>
        <w:tc>
          <w:tcPr>
            <w:tcW w:w="2048" w:type="dxa"/>
            <w:vAlign w:val="center"/>
          </w:tcPr>
          <w:p>
            <w:pPr>
              <w:adjustRightInd w:val="0"/>
              <w:snapToGrid w:val="0"/>
              <w:spacing w:line="280" w:lineRule="exact"/>
              <w:ind w:firstLine="0" w:firstLineChars="0"/>
              <w:jc w:val="center"/>
              <w:rPr>
                <w:sz w:val="21"/>
                <w:szCs w:val="21"/>
              </w:rPr>
            </w:pPr>
            <w:r>
              <w:rPr>
                <w:sz w:val="21"/>
                <w:szCs w:val="21"/>
              </w:rPr>
              <w:t>项目占地范围内</w:t>
            </w:r>
          </w:p>
        </w:tc>
        <w:tc>
          <w:tcPr>
            <w:tcW w:w="4072" w:type="dxa"/>
            <w:vMerge w:val="restart"/>
            <w:vAlign w:val="center"/>
          </w:tcPr>
          <w:p>
            <w:pPr>
              <w:adjustRightInd w:val="0"/>
              <w:snapToGrid w:val="0"/>
              <w:spacing w:line="280" w:lineRule="exact"/>
              <w:ind w:firstLine="0" w:firstLineChars="0"/>
              <w:jc w:val="center"/>
              <w:rPr>
                <w:sz w:val="21"/>
                <w:szCs w:val="21"/>
              </w:rPr>
            </w:pPr>
            <w:r>
              <w:rPr>
                <w:sz w:val="21"/>
                <w:szCs w:val="21"/>
              </w:rPr>
              <w:t>畜禽养殖产地环境评价规范土壤基本项目：pH、镉、汞、砷、铜、铅、铬、锌、镍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81" w:type="dxa"/>
            <w:vAlign w:val="center"/>
          </w:tcPr>
          <w:p>
            <w:pPr>
              <w:adjustRightInd w:val="0"/>
              <w:snapToGrid w:val="0"/>
              <w:spacing w:line="280" w:lineRule="exact"/>
              <w:ind w:firstLine="0" w:firstLineChars="0"/>
              <w:jc w:val="center"/>
              <w:rPr>
                <w:sz w:val="21"/>
                <w:szCs w:val="21"/>
              </w:rPr>
            </w:pPr>
            <w:r>
              <w:rPr>
                <w:rFonts w:hint="eastAsia"/>
                <w:sz w:val="21"/>
                <w:szCs w:val="21"/>
              </w:rPr>
              <w:t>T</w:t>
            </w:r>
            <w:r>
              <w:rPr>
                <w:sz w:val="21"/>
                <w:szCs w:val="21"/>
              </w:rPr>
              <w:t>2</w:t>
            </w:r>
          </w:p>
        </w:tc>
        <w:tc>
          <w:tcPr>
            <w:tcW w:w="1320" w:type="dxa"/>
            <w:vAlign w:val="center"/>
          </w:tcPr>
          <w:p>
            <w:pPr>
              <w:adjustRightInd w:val="0"/>
              <w:snapToGrid w:val="0"/>
              <w:spacing w:line="280" w:lineRule="exact"/>
              <w:ind w:firstLine="0" w:firstLineChars="0"/>
              <w:jc w:val="center"/>
              <w:rPr>
                <w:sz w:val="21"/>
                <w:szCs w:val="21"/>
              </w:rPr>
            </w:pPr>
            <w:r>
              <w:rPr>
                <w:sz w:val="21"/>
                <w:szCs w:val="21"/>
              </w:rPr>
              <w:t>表层样</w:t>
            </w:r>
          </w:p>
        </w:tc>
        <w:tc>
          <w:tcPr>
            <w:tcW w:w="2048" w:type="dxa"/>
            <w:vAlign w:val="center"/>
          </w:tcPr>
          <w:p>
            <w:pPr>
              <w:adjustRightInd w:val="0"/>
              <w:snapToGrid w:val="0"/>
              <w:spacing w:line="280" w:lineRule="exact"/>
              <w:ind w:firstLine="0" w:firstLineChars="0"/>
              <w:jc w:val="center"/>
              <w:rPr>
                <w:sz w:val="21"/>
                <w:szCs w:val="21"/>
              </w:rPr>
            </w:pPr>
            <w:r>
              <w:rPr>
                <w:sz w:val="21"/>
                <w:szCs w:val="21"/>
              </w:rPr>
              <w:t>项目占地范围内</w:t>
            </w:r>
          </w:p>
        </w:tc>
        <w:tc>
          <w:tcPr>
            <w:tcW w:w="4072" w:type="dxa"/>
            <w:vMerge w:val="continue"/>
            <w:vAlign w:val="center"/>
          </w:tcPr>
          <w:p>
            <w:pPr>
              <w:adjustRightInd w:val="0"/>
              <w:snapToGrid w:val="0"/>
              <w:spacing w:line="280" w:lineRule="exact"/>
              <w:ind w:firstLine="0" w:firstLineChars="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81" w:type="dxa"/>
            <w:vAlign w:val="center"/>
          </w:tcPr>
          <w:p>
            <w:pPr>
              <w:adjustRightInd w:val="0"/>
              <w:snapToGrid w:val="0"/>
              <w:spacing w:line="280" w:lineRule="exact"/>
              <w:ind w:firstLine="0" w:firstLineChars="0"/>
              <w:jc w:val="center"/>
              <w:rPr>
                <w:sz w:val="21"/>
                <w:szCs w:val="21"/>
              </w:rPr>
            </w:pPr>
            <w:r>
              <w:rPr>
                <w:rFonts w:hint="eastAsia"/>
                <w:sz w:val="21"/>
                <w:szCs w:val="21"/>
              </w:rPr>
              <w:t>T</w:t>
            </w:r>
            <w:r>
              <w:rPr>
                <w:sz w:val="21"/>
                <w:szCs w:val="21"/>
              </w:rPr>
              <w:t>3</w:t>
            </w:r>
          </w:p>
        </w:tc>
        <w:tc>
          <w:tcPr>
            <w:tcW w:w="1320" w:type="dxa"/>
            <w:vAlign w:val="center"/>
          </w:tcPr>
          <w:p>
            <w:pPr>
              <w:adjustRightInd w:val="0"/>
              <w:snapToGrid w:val="0"/>
              <w:spacing w:line="280" w:lineRule="exact"/>
              <w:ind w:firstLine="0" w:firstLineChars="0"/>
              <w:jc w:val="center"/>
              <w:rPr>
                <w:sz w:val="21"/>
                <w:szCs w:val="21"/>
              </w:rPr>
            </w:pPr>
            <w:r>
              <w:rPr>
                <w:sz w:val="21"/>
                <w:szCs w:val="21"/>
              </w:rPr>
              <w:t>表层样</w:t>
            </w:r>
          </w:p>
        </w:tc>
        <w:tc>
          <w:tcPr>
            <w:tcW w:w="2048" w:type="dxa"/>
            <w:vAlign w:val="center"/>
          </w:tcPr>
          <w:p>
            <w:pPr>
              <w:adjustRightInd w:val="0"/>
              <w:snapToGrid w:val="0"/>
              <w:spacing w:line="280" w:lineRule="exact"/>
              <w:ind w:firstLine="0" w:firstLineChars="0"/>
              <w:jc w:val="center"/>
              <w:rPr>
                <w:sz w:val="21"/>
                <w:szCs w:val="21"/>
              </w:rPr>
            </w:pPr>
            <w:r>
              <w:rPr>
                <w:sz w:val="21"/>
                <w:szCs w:val="21"/>
              </w:rPr>
              <w:t>项目占地范围内</w:t>
            </w:r>
          </w:p>
        </w:tc>
        <w:tc>
          <w:tcPr>
            <w:tcW w:w="4072" w:type="dxa"/>
            <w:vMerge w:val="continue"/>
            <w:vAlign w:val="center"/>
          </w:tcPr>
          <w:p>
            <w:pPr>
              <w:adjustRightInd w:val="0"/>
              <w:snapToGrid w:val="0"/>
              <w:spacing w:line="280" w:lineRule="exact"/>
              <w:ind w:firstLine="0" w:firstLineChars="0"/>
              <w:jc w:val="center"/>
              <w:rPr>
                <w:sz w:val="21"/>
                <w:szCs w:val="21"/>
              </w:rPr>
            </w:pPr>
          </w:p>
        </w:tc>
      </w:tr>
    </w:tbl>
    <w:p>
      <w:pPr>
        <w:spacing w:before="120" w:beforeLines="50"/>
        <w:ind w:firstLine="480"/>
      </w:pPr>
      <w:r>
        <w:rPr>
          <w:rFonts w:hint="eastAsia"/>
        </w:rPr>
        <w:t>（2） 监测结果与评价</w:t>
      </w:r>
    </w:p>
    <w:p>
      <w:pPr>
        <w:ind w:firstLine="480"/>
      </w:pPr>
      <w:r>
        <w:rPr>
          <w:rFonts w:hint="eastAsia"/>
        </w:rPr>
        <w:t>土壤状况</w:t>
      </w:r>
      <w:r>
        <w:t>评价结果见表</w:t>
      </w:r>
      <w:r>
        <w:rPr>
          <w:rFonts w:hint="eastAsia"/>
        </w:rPr>
        <w:t>4-11。</w:t>
      </w:r>
    </w:p>
    <w:p>
      <w:pPr>
        <w:ind w:firstLine="0" w:firstLineChars="0"/>
        <w:jc w:val="center"/>
        <w:rPr>
          <w:b/>
          <w:bCs/>
        </w:rPr>
      </w:pPr>
      <w:r>
        <w:rPr>
          <w:rFonts w:hint="eastAsia"/>
          <w:b/>
          <w:bCs/>
        </w:rPr>
        <w:t xml:space="preserve">表4-11  </w:t>
      </w:r>
      <w:r>
        <w:rPr>
          <w:b/>
          <w:bCs/>
        </w:rPr>
        <w:t>土壤环境</w:t>
      </w:r>
      <w:r>
        <w:rPr>
          <w:rFonts w:hint="eastAsia"/>
          <w:b/>
          <w:bCs/>
        </w:rPr>
        <w:t>监测结果表    （单位 mg/kg）</w:t>
      </w:r>
    </w:p>
    <w:tbl>
      <w:tblPr>
        <w:tblStyle w:val="21"/>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23"/>
        <w:gridCol w:w="1034"/>
        <w:gridCol w:w="1195"/>
        <w:gridCol w:w="1525"/>
        <w:gridCol w:w="1298"/>
        <w:gridCol w:w="1222"/>
        <w:gridCol w:w="135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tcBorders>
              <w:tl2br w:val="nil"/>
              <w:tr2bl w:val="nil"/>
            </w:tcBorders>
            <w:vAlign w:val="center"/>
          </w:tcPr>
          <w:p>
            <w:pPr>
              <w:widowControl/>
              <w:spacing w:line="240" w:lineRule="atLeast"/>
              <w:ind w:firstLine="0" w:firstLineChars="0"/>
              <w:jc w:val="center"/>
              <w:rPr>
                <w:rFonts w:eastAsiaTheme="minorEastAsia"/>
                <w:b/>
                <w:bCs/>
                <w:szCs w:val="21"/>
              </w:rPr>
            </w:pPr>
            <w:r>
              <w:rPr>
                <w:rFonts w:eastAsiaTheme="minorEastAsia"/>
                <w:b/>
                <w:bCs/>
                <w:sz w:val="21"/>
                <w:szCs w:val="21"/>
              </w:rPr>
              <w:t>采样点位</w:t>
            </w:r>
          </w:p>
        </w:tc>
        <w:tc>
          <w:tcPr>
            <w:tcW w:w="571" w:type="pct"/>
            <w:tcBorders>
              <w:tl2br w:val="nil"/>
              <w:tr2bl w:val="nil"/>
            </w:tcBorders>
            <w:vAlign w:val="center"/>
          </w:tcPr>
          <w:p>
            <w:pPr>
              <w:widowControl/>
              <w:spacing w:line="240" w:lineRule="atLeast"/>
              <w:ind w:firstLine="0" w:firstLineChars="0"/>
              <w:jc w:val="center"/>
              <w:rPr>
                <w:rFonts w:eastAsiaTheme="minorEastAsia"/>
                <w:b/>
                <w:bCs/>
                <w:szCs w:val="21"/>
              </w:rPr>
            </w:pPr>
            <w:r>
              <w:rPr>
                <w:rFonts w:eastAsiaTheme="minorEastAsia"/>
                <w:b/>
                <w:bCs/>
                <w:sz w:val="21"/>
                <w:szCs w:val="21"/>
              </w:rPr>
              <w:t>采样层</w:t>
            </w:r>
          </w:p>
        </w:tc>
        <w:tc>
          <w:tcPr>
            <w:tcW w:w="660" w:type="pct"/>
            <w:tcBorders>
              <w:tl2br w:val="nil"/>
              <w:tr2bl w:val="nil"/>
            </w:tcBorders>
            <w:vAlign w:val="center"/>
          </w:tcPr>
          <w:p>
            <w:pPr>
              <w:widowControl/>
              <w:spacing w:line="240" w:lineRule="atLeast"/>
              <w:ind w:firstLine="0" w:firstLineChars="0"/>
              <w:jc w:val="center"/>
              <w:rPr>
                <w:rFonts w:eastAsiaTheme="minorEastAsia"/>
                <w:b/>
                <w:bCs/>
                <w:szCs w:val="21"/>
              </w:rPr>
            </w:pPr>
            <w:r>
              <w:rPr>
                <w:rFonts w:eastAsiaTheme="minorEastAsia"/>
                <w:b/>
                <w:bCs/>
                <w:sz w:val="21"/>
                <w:szCs w:val="21"/>
              </w:rPr>
              <w:t>样品状态</w:t>
            </w:r>
          </w:p>
        </w:tc>
        <w:tc>
          <w:tcPr>
            <w:tcW w:w="842" w:type="pct"/>
            <w:tcBorders>
              <w:tl2br w:val="nil"/>
              <w:tr2bl w:val="nil"/>
            </w:tcBorders>
            <w:vAlign w:val="center"/>
          </w:tcPr>
          <w:p>
            <w:pPr>
              <w:widowControl/>
              <w:spacing w:line="240" w:lineRule="atLeast"/>
              <w:ind w:firstLine="0" w:firstLineChars="0"/>
              <w:jc w:val="center"/>
              <w:rPr>
                <w:rFonts w:eastAsiaTheme="minorEastAsia"/>
                <w:b/>
                <w:bCs/>
                <w:szCs w:val="21"/>
              </w:rPr>
            </w:pPr>
            <w:r>
              <w:rPr>
                <w:rFonts w:eastAsiaTheme="minorEastAsia"/>
                <w:b/>
                <w:bCs/>
                <w:sz w:val="21"/>
                <w:szCs w:val="21"/>
              </w:rPr>
              <w:t>检测项目</w:t>
            </w:r>
          </w:p>
        </w:tc>
        <w:tc>
          <w:tcPr>
            <w:tcW w:w="717" w:type="pct"/>
            <w:tcBorders>
              <w:tl2br w:val="nil"/>
              <w:tr2bl w:val="nil"/>
            </w:tcBorders>
            <w:vAlign w:val="center"/>
          </w:tcPr>
          <w:p>
            <w:pPr>
              <w:widowControl/>
              <w:spacing w:line="240" w:lineRule="atLeast"/>
              <w:ind w:firstLine="0" w:firstLineChars="0"/>
              <w:jc w:val="center"/>
              <w:rPr>
                <w:rFonts w:eastAsiaTheme="minorEastAsia"/>
                <w:b/>
                <w:bCs/>
                <w:szCs w:val="21"/>
              </w:rPr>
            </w:pPr>
            <w:r>
              <w:rPr>
                <w:rFonts w:eastAsiaTheme="minorEastAsia"/>
                <w:b/>
                <w:bCs/>
                <w:sz w:val="21"/>
                <w:szCs w:val="21"/>
              </w:rPr>
              <w:t>单位</w:t>
            </w:r>
          </w:p>
        </w:tc>
        <w:tc>
          <w:tcPr>
            <w:tcW w:w="675" w:type="pct"/>
            <w:tcBorders>
              <w:tl2br w:val="nil"/>
              <w:tr2bl w:val="nil"/>
            </w:tcBorders>
            <w:vAlign w:val="center"/>
          </w:tcPr>
          <w:p>
            <w:pPr>
              <w:widowControl/>
              <w:spacing w:line="240" w:lineRule="atLeast"/>
              <w:ind w:firstLine="0" w:firstLineChars="0"/>
              <w:jc w:val="center"/>
              <w:rPr>
                <w:rFonts w:eastAsiaTheme="minorEastAsia"/>
                <w:b/>
                <w:bCs/>
                <w:szCs w:val="21"/>
              </w:rPr>
            </w:pPr>
            <w:r>
              <w:rPr>
                <w:rFonts w:eastAsiaTheme="minorEastAsia"/>
                <w:b/>
                <w:bCs/>
                <w:sz w:val="21"/>
                <w:szCs w:val="21"/>
              </w:rPr>
              <w:t>检测结果</w:t>
            </w:r>
          </w:p>
        </w:tc>
        <w:tc>
          <w:tcPr>
            <w:tcW w:w="746" w:type="pct"/>
            <w:tcBorders>
              <w:tl2br w:val="nil"/>
              <w:tr2bl w:val="nil"/>
            </w:tcBorders>
            <w:vAlign w:val="center"/>
          </w:tcPr>
          <w:p>
            <w:pPr>
              <w:widowControl/>
              <w:spacing w:line="240" w:lineRule="atLeast"/>
              <w:ind w:firstLine="0" w:firstLineChars="0"/>
              <w:jc w:val="center"/>
              <w:rPr>
                <w:rFonts w:eastAsiaTheme="minorEastAsia"/>
                <w:b/>
                <w:bCs/>
                <w:szCs w:val="21"/>
              </w:rPr>
            </w:pPr>
            <w:r>
              <w:rPr>
                <w:rFonts w:hint="eastAsia" w:eastAsiaTheme="minorEastAsia"/>
                <w:b/>
                <w:bCs/>
                <w:sz w:val="21"/>
                <w:szCs w:val="21"/>
              </w:rPr>
              <w:t>参考限值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restart"/>
            <w:tcBorders>
              <w:tl2br w:val="nil"/>
              <w:tr2bl w:val="nil"/>
            </w:tcBorders>
            <w:vAlign w:val="center"/>
          </w:tcPr>
          <w:p>
            <w:pPr>
              <w:widowControl/>
              <w:spacing w:line="240" w:lineRule="atLeast"/>
              <w:ind w:firstLine="0" w:firstLineChars="0"/>
              <w:jc w:val="center"/>
              <w:rPr>
                <w:rFonts w:eastAsiaTheme="minorEastAsia"/>
                <w:szCs w:val="21"/>
              </w:rPr>
            </w:pPr>
            <w:r>
              <w:rPr>
                <w:rFonts w:hint="eastAsia" w:asciiTheme="minorEastAsia" w:hAnsiTheme="minorEastAsia" w:eastAsiaTheme="minorEastAsia" w:cstheme="minorEastAsia"/>
                <w:sz w:val="21"/>
                <w:szCs w:val="21"/>
              </w:rPr>
              <w:t>项目占地范围内</w:t>
            </w:r>
            <w:r>
              <w:rPr>
                <w:rFonts w:eastAsiaTheme="minorEastAsia"/>
                <w:sz w:val="21"/>
                <w:szCs w:val="21"/>
              </w:rPr>
              <w:t>1</w:t>
            </w:r>
            <w:r>
              <w:rPr>
                <w:rFonts w:hint="eastAsia" w:asciiTheme="minorEastAsia" w:hAnsiTheme="minorEastAsia" w:eastAsiaTheme="minorEastAsia" w:cstheme="minorEastAsia"/>
                <w:sz w:val="21"/>
                <w:szCs w:val="21"/>
              </w:rPr>
              <w:t>■</w:t>
            </w:r>
            <w:r>
              <w:rPr>
                <w:rFonts w:eastAsiaTheme="minorEastAsia"/>
                <w:sz w:val="21"/>
                <w:szCs w:val="21"/>
              </w:rPr>
              <w:t>T</w:t>
            </w:r>
            <w:r>
              <w:rPr>
                <w:rFonts w:hint="eastAsia" w:eastAsiaTheme="minorEastAsia"/>
                <w:sz w:val="21"/>
                <w:szCs w:val="21"/>
              </w:rPr>
              <w:t>1</w:t>
            </w:r>
          </w:p>
        </w:tc>
        <w:tc>
          <w:tcPr>
            <w:tcW w:w="571" w:type="pct"/>
            <w:vMerge w:val="restart"/>
            <w:tcBorders>
              <w:tl2br w:val="nil"/>
              <w:tr2bl w:val="nil"/>
            </w:tcBorders>
            <w:vAlign w:val="center"/>
          </w:tcPr>
          <w:p>
            <w:pPr>
              <w:widowControl/>
              <w:spacing w:line="240" w:lineRule="atLeast"/>
              <w:ind w:firstLine="0" w:firstLineChars="0"/>
              <w:jc w:val="center"/>
              <w:rPr>
                <w:rFonts w:eastAsiaTheme="minorEastAsia"/>
                <w:szCs w:val="21"/>
              </w:rPr>
            </w:pPr>
            <w:r>
              <w:rPr>
                <w:rFonts w:eastAsiaTheme="minorEastAsia"/>
                <w:sz w:val="21"/>
                <w:szCs w:val="21"/>
              </w:rPr>
              <w:t>0-32cm</w:t>
            </w:r>
          </w:p>
        </w:tc>
        <w:tc>
          <w:tcPr>
            <w:tcW w:w="660" w:type="pct"/>
            <w:vMerge w:val="restart"/>
            <w:tcBorders>
              <w:tl2br w:val="nil"/>
              <w:tr2bl w:val="nil"/>
            </w:tcBorders>
            <w:vAlign w:val="center"/>
          </w:tcPr>
          <w:p>
            <w:pPr>
              <w:spacing w:line="240" w:lineRule="atLeast"/>
              <w:ind w:firstLine="0" w:firstLineChars="0"/>
              <w:jc w:val="center"/>
            </w:pPr>
            <w:r>
              <w:rPr>
                <w:rFonts w:hint="eastAsia"/>
              </w:rPr>
              <w:t>灰色</w:t>
            </w:r>
          </w:p>
        </w:tc>
        <w:tc>
          <w:tcPr>
            <w:tcW w:w="842" w:type="pct"/>
            <w:tcBorders>
              <w:tl2br w:val="nil"/>
              <w:tr2bl w:val="nil"/>
            </w:tcBorders>
            <w:vAlign w:val="center"/>
          </w:tcPr>
          <w:p>
            <w:pPr>
              <w:pStyle w:val="32"/>
              <w:spacing w:line="240" w:lineRule="atLeast"/>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pH</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rFonts w:hint="eastAsia" w:eastAsiaTheme="minorEastAsia"/>
                <w:sz w:val="21"/>
                <w:szCs w:val="21"/>
              </w:rPr>
              <w:t>无量纲</w:t>
            </w:r>
          </w:p>
        </w:tc>
        <w:tc>
          <w:tcPr>
            <w:tcW w:w="675" w:type="pct"/>
            <w:tcBorders>
              <w:tl2br w:val="nil"/>
              <w:tr2bl w:val="nil"/>
            </w:tcBorders>
            <w:vAlign w:val="center"/>
          </w:tcPr>
          <w:p>
            <w:pPr>
              <w:spacing w:line="240" w:lineRule="atLeast"/>
              <w:ind w:firstLine="0" w:firstLineChars="0"/>
              <w:jc w:val="center"/>
              <w:rPr>
                <w:szCs w:val="21"/>
              </w:rPr>
            </w:pPr>
            <w:r>
              <w:rPr>
                <w:rFonts w:hint="eastAsia"/>
                <w:sz w:val="21"/>
                <w:szCs w:val="21"/>
              </w:rPr>
              <w:t>4.65</w:t>
            </w:r>
          </w:p>
        </w:tc>
        <w:tc>
          <w:tcPr>
            <w:tcW w:w="746" w:type="pct"/>
            <w:tcBorders>
              <w:tl2br w:val="nil"/>
              <w:tr2bl w:val="nil"/>
            </w:tcBorders>
            <w:vAlign w:val="center"/>
          </w:tcPr>
          <w:p>
            <w:pPr>
              <w:spacing w:line="240" w:lineRule="atLeast"/>
              <w:ind w:firstLine="0" w:firstLineChars="0"/>
              <w:jc w:val="center"/>
              <w:rPr>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镉</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szCs w:val="21"/>
              </w:rPr>
            </w:pPr>
            <w:r>
              <w:rPr>
                <w:rFonts w:hint="eastAsia"/>
                <w:sz w:val="21"/>
                <w:szCs w:val="21"/>
              </w:rPr>
              <w:t>0.23</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汞</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szCs w:val="21"/>
              </w:rPr>
            </w:pPr>
            <w:r>
              <w:rPr>
                <w:rFonts w:hint="eastAsia"/>
                <w:sz w:val="21"/>
                <w:szCs w:val="21"/>
              </w:rPr>
              <w:t>0.070</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砷</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szCs w:val="21"/>
              </w:rPr>
            </w:pPr>
            <w:r>
              <w:rPr>
                <w:rFonts w:hint="eastAsia"/>
                <w:sz w:val="21"/>
                <w:szCs w:val="21"/>
              </w:rPr>
              <w:t>10.0</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widowControl/>
              <w:spacing w:line="240" w:lineRule="atLeast"/>
              <w:ind w:firstLine="0" w:firstLineChars="0"/>
              <w:jc w:val="center"/>
              <w:textAlignment w:val="center"/>
              <w:rPr>
                <w:szCs w:val="21"/>
              </w:rPr>
            </w:pPr>
            <w:r>
              <w:rPr>
                <w:kern w:val="0"/>
                <w:sz w:val="21"/>
                <w:szCs w:val="21"/>
                <w:lang w:bidi="ar"/>
              </w:rPr>
              <w:t>铜</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szCs w:val="21"/>
              </w:rPr>
            </w:pPr>
            <w:r>
              <w:rPr>
                <w:rFonts w:hint="eastAsia"/>
                <w:sz w:val="21"/>
                <w:szCs w:val="21"/>
              </w:rPr>
              <w:t>12.6</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铅</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szCs w:val="21"/>
              </w:rPr>
            </w:pPr>
            <w:r>
              <w:rPr>
                <w:rFonts w:hint="eastAsia"/>
                <w:sz w:val="21"/>
                <w:szCs w:val="21"/>
              </w:rPr>
              <w:t>24</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镍</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szCs w:val="21"/>
              </w:rPr>
            </w:pPr>
            <w:r>
              <w:rPr>
                <w:rFonts w:hint="eastAsia"/>
                <w:sz w:val="21"/>
                <w:szCs w:val="21"/>
              </w:rPr>
              <w:t>34.0</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铬</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68.8</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锌</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70.0</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restart"/>
            <w:tcBorders>
              <w:tl2br w:val="nil"/>
              <w:tr2bl w:val="nil"/>
            </w:tcBorders>
            <w:vAlign w:val="center"/>
          </w:tcPr>
          <w:p>
            <w:pPr>
              <w:widowControl/>
              <w:spacing w:line="240" w:lineRule="atLeast"/>
              <w:ind w:firstLine="0" w:firstLineChars="0"/>
              <w:jc w:val="center"/>
              <w:rPr>
                <w:rFonts w:eastAsiaTheme="minorEastAsia"/>
                <w:szCs w:val="21"/>
              </w:rPr>
            </w:pPr>
            <w:r>
              <w:rPr>
                <w:rFonts w:hint="eastAsia" w:asciiTheme="minorEastAsia" w:hAnsiTheme="minorEastAsia" w:eastAsiaTheme="minorEastAsia" w:cstheme="minorEastAsia"/>
                <w:sz w:val="21"/>
                <w:szCs w:val="21"/>
              </w:rPr>
              <w:t>项目占地范围内</w:t>
            </w:r>
            <w:r>
              <w:rPr>
                <w:rFonts w:eastAsiaTheme="minorEastAsia"/>
                <w:sz w:val="21"/>
                <w:szCs w:val="21"/>
              </w:rPr>
              <w:t>2</w:t>
            </w:r>
            <w:r>
              <w:rPr>
                <w:rFonts w:hint="eastAsia" w:asciiTheme="minorEastAsia" w:hAnsiTheme="minorEastAsia" w:eastAsiaTheme="minorEastAsia" w:cstheme="minorEastAsia"/>
                <w:sz w:val="21"/>
                <w:szCs w:val="21"/>
              </w:rPr>
              <w:t>■</w:t>
            </w:r>
            <w:r>
              <w:rPr>
                <w:rFonts w:eastAsiaTheme="minorEastAsia"/>
                <w:sz w:val="21"/>
                <w:szCs w:val="21"/>
              </w:rPr>
              <w:t>T</w:t>
            </w:r>
            <w:r>
              <w:rPr>
                <w:rFonts w:hint="eastAsia" w:eastAsiaTheme="minorEastAsia"/>
                <w:sz w:val="21"/>
                <w:szCs w:val="21"/>
              </w:rPr>
              <w:t>2</w:t>
            </w:r>
          </w:p>
        </w:tc>
        <w:tc>
          <w:tcPr>
            <w:tcW w:w="571" w:type="pct"/>
            <w:vMerge w:val="restart"/>
            <w:tcBorders>
              <w:tl2br w:val="nil"/>
              <w:tr2bl w:val="nil"/>
            </w:tcBorders>
            <w:vAlign w:val="center"/>
          </w:tcPr>
          <w:p>
            <w:pPr>
              <w:widowControl/>
              <w:spacing w:line="240" w:lineRule="atLeast"/>
              <w:ind w:firstLine="0" w:firstLineChars="0"/>
              <w:jc w:val="center"/>
              <w:rPr>
                <w:rFonts w:eastAsiaTheme="minorEastAsia"/>
                <w:szCs w:val="21"/>
              </w:rPr>
            </w:pPr>
            <w:r>
              <w:rPr>
                <w:rFonts w:eastAsiaTheme="minorEastAsia"/>
                <w:sz w:val="21"/>
                <w:szCs w:val="21"/>
              </w:rPr>
              <w:t>0-29cm</w:t>
            </w:r>
          </w:p>
        </w:tc>
        <w:tc>
          <w:tcPr>
            <w:tcW w:w="660" w:type="pct"/>
            <w:vMerge w:val="restart"/>
            <w:tcBorders>
              <w:tl2br w:val="nil"/>
              <w:tr2bl w:val="nil"/>
            </w:tcBorders>
            <w:vAlign w:val="center"/>
          </w:tcPr>
          <w:p>
            <w:pPr>
              <w:spacing w:line="240" w:lineRule="atLeast"/>
              <w:ind w:firstLine="0" w:firstLineChars="0"/>
              <w:jc w:val="center"/>
            </w:pPr>
            <w:r>
              <w:rPr>
                <w:rFonts w:hint="eastAsia"/>
                <w:sz w:val="21"/>
                <w:szCs w:val="22"/>
              </w:rPr>
              <w:t>红色</w:t>
            </w:r>
          </w:p>
        </w:tc>
        <w:tc>
          <w:tcPr>
            <w:tcW w:w="842" w:type="pct"/>
            <w:tcBorders>
              <w:tl2br w:val="nil"/>
              <w:tr2bl w:val="nil"/>
            </w:tcBorders>
            <w:vAlign w:val="center"/>
          </w:tcPr>
          <w:p>
            <w:pPr>
              <w:pStyle w:val="32"/>
              <w:spacing w:line="240" w:lineRule="atLeast"/>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pH</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rFonts w:hint="eastAsia" w:eastAsiaTheme="minorEastAsia"/>
                <w:sz w:val="21"/>
                <w:szCs w:val="21"/>
              </w:rPr>
              <w:t>无量纲</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4.89</w:t>
            </w:r>
          </w:p>
        </w:tc>
        <w:tc>
          <w:tcPr>
            <w:tcW w:w="746" w:type="pct"/>
            <w:tcBorders>
              <w:tl2br w:val="nil"/>
              <w:tr2bl w:val="nil"/>
            </w:tcBorders>
            <w:vAlign w:val="center"/>
          </w:tcPr>
          <w:p>
            <w:pPr>
              <w:spacing w:line="240" w:lineRule="atLeast"/>
              <w:ind w:firstLine="0" w:firstLineChars="0"/>
              <w:jc w:val="center"/>
              <w:rPr>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镉</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0.24</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汞</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0.051</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砷</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11.8</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widowControl/>
              <w:spacing w:line="240" w:lineRule="atLeast"/>
              <w:ind w:firstLine="0" w:firstLineChars="0"/>
              <w:jc w:val="center"/>
              <w:textAlignment w:val="center"/>
              <w:rPr>
                <w:szCs w:val="21"/>
              </w:rPr>
            </w:pPr>
            <w:r>
              <w:rPr>
                <w:kern w:val="0"/>
                <w:sz w:val="21"/>
                <w:szCs w:val="21"/>
                <w:lang w:bidi="ar"/>
              </w:rPr>
              <w:t>铜</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24.2</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铅</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42</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镍</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54.2</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铬</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124</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锌</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101</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restart"/>
            <w:tcBorders>
              <w:tl2br w:val="nil"/>
              <w:tr2bl w:val="nil"/>
            </w:tcBorders>
            <w:vAlign w:val="center"/>
          </w:tcPr>
          <w:p>
            <w:pPr>
              <w:widowControl/>
              <w:spacing w:line="240" w:lineRule="atLeast"/>
              <w:ind w:firstLine="0" w:firstLineChars="0"/>
              <w:jc w:val="center"/>
              <w:rPr>
                <w:rFonts w:eastAsiaTheme="minorEastAsia"/>
                <w:szCs w:val="21"/>
              </w:rPr>
            </w:pPr>
            <w:r>
              <w:rPr>
                <w:rFonts w:hint="eastAsia" w:asciiTheme="minorEastAsia" w:hAnsiTheme="minorEastAsia" w:eastAsiaTheme="minorEastAsia" w:cstheme="minorEastAsia"/>
                <w:sz w:val="21"/>
                <w:szCs w:val="21"/>
              </w:rPr>
              <w:t>项目占地范围内</w:t>
            </w:r>
            <w:r>
              <w:rPr>
                <w:rFonts w:eastAsiaTheme="minorEastAsia"/>
                <w:sz w:val="21"/>
                <w:szCs w:val="21"/>
              </w:rPr>
              <w:t>3</w:t>
            </w:r>
            <w:r>
              <w:rPr>
                <w:rFonts w:hint="eastAsia" w:asciiTheme="minorEastAsia" w:hAnsiTheme="minorEastAsia" w:eastAsiaTheme="minorEastAsia" w:cstheme="minorEastAsia"/>
                <w:sz w:val="21"/>
                <w:szCs w:val="21"/>
              </w:rPr>
              <w:t>■</w:t>
            </w:r>
            <w:r>
              <w:rPr>
                <w:rFonts w:eastAsiaTheme="minorEastAsia"/>
                <w:sz w:val="21"/>
                <w:szCs w:val="21"/>
              </w:rPr>
              <w:t>T</w:t>
            </w:r>
            <w:r>
              <w:rPr>
                <w:rFonts w:hint="eastAsia" w:eastAsiaTheme="minorEastAsia"/>
                <w:sz w:val="21"/>
                <w:szCs w:val="21"/>
              </w:rPr>
              <w:t>3</w:t>
            </w:r>
          </w:p>
        </w:tc>
        <w:tc>
          <w:tcPr>
            <w:tcW w:w="571" w:type="pct"/>
            <w:vMerge w:val="restart"/>
            <w:tcBorders>
              <w:tl2br w:val="nil"/>
              <w:tr2bl w:val="nil"/>
            </w:tcBorders>
            <w:vAlign w:val="center"/>
          </w:tcPr>
          <w:p>
            <w:pPr>
              <w:widowControl/>
              <w:spacing w:line="240" w:lineRule="atLeast"/>
              <w:ind w:firstLine="0" w:firstLineChars="0"/>
              <w:jc w:val="center"/>
              <w:rPr>
                <w:rFonts w:eastAsiaTheme="minorEastAsia"/>
                <w:szCs w:val="21"/>
              </w:rPr>
            </w:pPr>
            <w:r>
              <w:rPr>
                <w:rFonts w:hint="eastAsia" w:eastAsiaTheme="minorEastAsia"/>
                <w:sz w:val="21"/>
                <w:szCs w:val="21"/>
              </w:rPr>
              <w:t>0-34cm</w:t>
            </w:r>
          </w:p>
        </w:tc>
        <w:tc>
          <w:tcPr>
            <w:tcW w:w="660" w:type="pct"/>
            <w:vMerge w:val="restart"/>
            <w:tcBorders>
              <w:tl2br w:val="nil"/>
              <w:tr2bl w:val="nil"/>
            </w:tcBorders>
            <w:vAlign w:val="center"/>
          </w:tcPr>
          <w:p>
            <w:pPr>
              <w:widowControl/>
              <w:spacing w:line="240" w:lineRule="atLeast"/>
              <w:ind w:firstLine="0" w:firstLineChars="0"/>
              <w:jc w:val="center"/>
              <w:rPr>
                <w:rFonts w:eastAsiaTheme="minorEastAsia"/>
                <w:szCs w:val="21"/>
              </w:rPr>
            </w:pPr>
            <w:r>
              <w:rPr>
                <w:rFonts w:hint="eastAsia" w:eastAsiaTheme="minorEastAsia"/>
                <w:sz w:val="21"/>
                <w:szCs w:val="21"/>
              </w:rPr>
              <w:t>棕色</w:t>
            </w:r>
          </w:p>
        </w:tc>
        <w:tc>
          <w:tcPr>
            <w:tcW w:w="842" w:type="pct"/>
            <w:tcBorders>
              <w:tl2br w:val="nil"/>
              <w:tr2bl w:val="nil"/>
            </w:tcBorders>
            <w:vAlign w:val="center"/>
          </w:tcPr>
          <w:p>
            <w:pPr>
              <w:pStyle w:val="32"/>
              <w:spacing w:line="240" w:lineRule="atLeast"/>
              <w:ind w:firstLine="0" w:firstLineChars="0"/>
              <w:jc w:val="center"/>
              <w:rPr>
                <w:rFonts w:ascii="Times New Roman" w:hAnsi="Times New Roman" w:eastAsiaTheme="minorEastAsia"/>
                <w:sz w:val="21"/>
                <w:szCs w:val="21"/>
              </w:rPr>
            </w:pPr>
            <w:r>
              <w:rPr>
                <w:rFonts w:ascii="Times New Roman" w:hAnsi="Times New Roman" w:eastAsiaTheme="minorEastAsia"/>
                <w:sz w:val="21"/>
                <w:szCs w:val="21"/>
              </w:rPr>
              <w:t>pH</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rFonts w:hint="eastAsia" w:eastAsiaTheme="minorEastAsia"/>
                <w:sz w:val="21"/>
                <w:szCs w:val="21"/>
              </w:rPr>
              <w:t>无量纲</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4.67</w:t>
            </w:r>
          </w:p>
        </w:tc>
        <w:tc>
          <w:tcPr>
            <w:tcW w:w="746" w:type="pct"/>
            <w:tcBorders>
              <w:tl2br w:val="nil"/>
              <w:tr2bl w:val="nil"/>
            </w:tcBorders>
            <w:vAlign w:val="center"/>
          </w:tcPr>
          <w:p>
            <w:pPr>
              <w:spacing w:line="240" w:lineRule="atLeast"/>
              <w:ind w:firstLine="0" w:firstLineChars="0"/>
              <w:jc w:val="center"/>
              <w:rPr>
                <w:szCs w:val="21"/>
              </w:rPr>
            </w:pPr>
            <w:r>
              <w:rPr>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镉</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0.25</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汞</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0.055</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砷</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9.26</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widowControl/>
              <w:spacing w:line="240" w:lineRule="atLeast"/>
              <w:ind w:firstLine="0" w:firstLineChars="0"/>
              <w:jc w:val="center"/>
              <w:textAlignment w:val="center"/>
              <w:rPr>
                <w:szCs w:val="21"/>
              </w:rPr>
            </w:pPr>
            <w:r>
              <w:rPr>
                <w:kern w:val="0"/>
                <w:sz w:val="21"/>
                <w:szCs w:val="21"/>
                <w:lang w:bidi="ar"/>
              </w:rPr>
              <w:t>铜</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21.5</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铅</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44</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镍</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48.5</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铬</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118</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86"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571"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660" w:type="pct"/>
            <w:vMerge w:val="continue"/>
            <w:tcBorders>
              <w:tl2br w:val="nil"/>
              <w:tr2bl w:val="nil"/>
            </w:tcBorders>
            <w:vAlign w:val="center"/>
          </w:tcPr>
          <w:p>
            <w:pPr>
              <w:widowControl/>
              <w:spacing w:line="240" w:lineRule="atLeast"/>
              <w:ind w:firstLine="0" w:firstLineChars="0"/>
              <w:jc w:val="center"/>
              <w:rPr>
                <w:rFonts w:eastAsiaTheme="minorEastAsia"/>
                <w:szCs w:val="21"/>
              </w:rPr>
            </w:pPr>
          </w:p>
        </w:tc>
        <w:tc>
          <w:tcPr>
            <w:tcW w:w="842" w:type="pct"/>
            <w:tcBorders>
              <w:tl2br w:val="nil"/>
              <w:tr2bl w:val="nil"/>
            </w:tcBorders>
            <w:vAlign w:val="center"/>
          </w:tcPr>
          <w:p>
            <w:pPr>
              <w:spacing w:line="240" w:lineRule="atLeast"/>
              <w:ind w:firstLine="0" w:firstLineChars="0"/>
              <w:jc w:val="center"/>
              <w:rPr>
                <w:szCs w:val="21"/>
              </w:rPr>
            </w:pPr>
            <w:r>
              <w:rPr>
                <w:sz w:val="21"/>
                <w:szCs w:val="21"/>
              </w:rPr>
              <w:t>锌</w:t>
            </w:r>
          </w:p>
        </w:tc>
        <w:tc>
          <w:tcPr>
            <w:tcW w:w="717" w:type="pct"/>
            <w:tcBorders>
              <w:tl2br w:val="nil"/>
              <w:tr2bl w:val="nil"/>
            </w:tcBorders>
            <w:vAlign w:val="center"/>
          </w:tcPr>
          <w:p>
            <w:pPr>
              <w:widowControl/>
              <w:spacing w:line="240" w:lineRule="atLeast"/>
              <w:ind w:firstLine="0" w:firstLineChars="0"/>
              <w:jc w:val="center"/>
              <w:rPr>
                <w:rFonts w:eastAsiaTheme="minorEastAsia"/>
                <w:szCs w:val="21"/>
              </w:rPr>
            </w:pPr>
            <w:r>
              <w:rPr>
                <w:sz w:val="21"/>
                <w:szCs w:val="21"/>
              </w:rPr>
              <w:t>mg/kg</w:t>
            </w:r>
          </w:p>
        </w:tc>
        <w:tc>
          <w:tcPr>
            <w:tcW w:w="675" w:type="pct"/>
            <w:tcBorders>
              <w:tl2br w:val="nil"/>
              <w:tr2bl w:val="nil"/>
            </w:tcBorders>
            <w:vAlign w:val="center"/>
          </w:tcPr>
          <w:p>
            <w:pPr>
              <w:spacing w:line="240" w:lineRule="atLeast"/>
              <w:ind w:firstLine="0" w:firstLineChars="0"/>
              <w:jc w:val="center"/>
              <w:rPr>
                <w:rFonts w:eastAsiaTheme="minorEastAsia"/>
                <w:szCs w:val="21"/>
              </w:rPr>
            </w:pPr>
            <w:r>
              <w:rPr>
                <w:rFonts w:hint="eastAsia" w:eastAsiaTheme="minorEastAsia"/>
                <w:sz w:val="21"/>
                <w:szCs w:val="21"/>
              </w:rPr>
              <w:t>110</w:t>
            </w:r>
          </w:p>
        </w:tc>
        <w:tc>
          <w:tcPr>
            <w:tcW w:w="746" w:type="pct"/>
            <w:tcBorders>
              <w:tl2br w:val="nil"/>
              <w:tr2bl w:val="nil"/>
            </w:tcBorders>
            <w:vAlign w:val="center"/>
          </w:tcPr>
          <w:p>
            <w:pPr>
              <w:spacing w:line="240" w:lineRule="atLeast"/>
              <w:ind w:firstLine="0" w:firstLineChars="0"/>
              <w:jc w:val="center"/>
              <w:rPr>
                <w:szCs w:val="21"/>
              </w:rPr>
            </w:pPr>
            <w:r>
              <w:rPr>
                <w:rFonts w:hint="eastAsia"/>
                <w:sz w:val="21"/>
                <w:szCs w:val="21"/>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7"/>
            <w:tcBorders>
              <w:tl2br w:val="nil"/>
              <w:tr2bl w:val="nil"/>
            </w:tcBorders>
            <w:vAlign w:val="center"/>
          </w:tcPr>
          <w:p>
            <w:pPr>
              <w:pStyle w:val="32"/>
              <w:spacing w:line="240" w:lineRule="atLeast"/>
              <w:ind w:firstLine="0" w:firstLineChars="0"/>
              <w:jc w:val="left"/>
              <w:rPr>
                <w:rFonts w:ascii="Times New Roman" w:hAnsi="Times New Roman" w:eastAsiaTheme="minorEastAsia"/>
                <w:sz w:val="21"/>
                <w:szCs w:val="21"/>
              </w:rPr>
            </w:pPr>
            <w:r>
              <w:rPr>
                <w:rFonts w:hint="eastAsia"/>
                <w:sz w:val="21"/>
                <w:szCs w:val="21"/>
              </w:rPr>
              <w:t>备注：</w:t>
            </w:r>
            <w:r>
              <w:rPr>
                <w:rFonts w:ascii="Times New Roman" w:hAnsi="Times New Roman" w:eastAsiaTheme="minorEastAsia"/>
                <w:sz w:val="21"/>
                <w:szCs w:val="21"/>
              </w:rPr>
              <w:t>参考</w:t>
            </w:r>
            <w:r>
              <w:rPr>
                <w:rFonts w:hint="eastAsia" w:ascii="Times New Roman" w:hAnsi="Times New Roman" w:eastAsiaTheme="minorEastAsia"/>
                <w:sz w:val="21"/>
                <w:szCs w:val="21"/>
              </w:rPr>
              <w:t>《畜禽养殖产地环境评价规范》（HJ 568-2010）表4养殖场、养殖小区限值。</w:t>
            </w:r>
          </w:p>
        </w:tc>
      </w:tr>
    </w:tbl>
    <w:p>
      <w:pPr>
        <w:ind w:firstLine="480"/>
      </w:pPr>
      <w:r>
        <w:t>由表</w:t>
      </w:r>
      <w:r>
        <w:rPr>
          <w:rFonts w:hint="eastAsia"/>
        </w:rPr>
        <w:t>4-11</w:t>
      </w:r>
      <w:r>
        <w:t>可以看出，</w:t>
      </w:r>
      <w:r>
        <w:rPr>
          <w:rFonts w:hint="eastAsia"/>
        </w:rPr>
        <w:t>土壤环境各监测值均</w:t>
      </w:r>
      <w:r>
        <w:t>达到</w:t>
      </w:r>
      <w:r>
        <w:rPr>
          <w:rFonts w:hint="eastAsia"/>
        </w:rPr>
        <w:t>《畜禽养殖产地环境评价规范》（HJ568-2010）中《畜禽养殖场和养殖小区内土壤环境质量评价指标限值》</w:t>
      </w:r>
      <w:r>
        <w:t>。</w:t>
      </w:r>
    </w:p>
    <w:p>
      <w:pPr>
        <w:pStyle w:val="5"/>
        <w:spacing w:before="48" w:after="48"/>
      </w:pPr>
      <w:r>
        <w:rPr>
          <w:rFonts w:hint="eastAsia"/>
        </w:rPr>
        <w:t>3.2.7</w:t>
      </w:r>
      <w:r>
        <w:t>生态环境质量现状</w:t>
      </w:r>
      <w:bookmarkEnd w:id="165"/>
      <w:bookmarkEnd w:id="166"/>
    </w:p>
    <w:p>
      <w:pPr>
        <w:ind w:firstLine="480"/>
      </w:pPr>
      <w:r>
        <w:t>（</w:t>
      </w:r>
      <w:r>
        <w:rPr>
          <w:rFonts w:hint="eastAsia"/>
        </w:rPr>
        <w:t>1</w:t>
      </w:r>
      <w:r>
        <w:t>）</w:t>
      </w:r>
      <w:r>
        <w:rPr>
          <w:rFonts w:hint="eastAsia"/>
        </w:rPr>
        <w:t>项目占地类型</w:t>
      </w:r>
    </w:p>
    <w:p>
      <w:pPr>
        <w:ind w:firstLine="480"/>
        <w:rPr>
          <w:highlight w:val="yellow"/>
        </w:rPr>
      </w:pPr>
      <w:r>
        <w:rPr>
          <w:rFonts w:hint="eastAsia"/>
        </w:rPr>
        <w:t>项目所在地周边均为山丘林地，其次为荒地或未利用地为主。</w:t>
      </w:r>
      <w:r>
        <w:t>项目养殖区占用林地</w:t>
      </w:r>
      <w:r>
        <w:rPr>
          <w:rFonts w:hint="eastAsia"/>
        </w:rPr>
        <w:t>6.367亩，草地15.525亩</w:t>
      </w:r>
      <w:r>
        <w:t>。</w:t>
      </w:r>
      <w:r>
        <w:rPr>
          <w:rFonts w:hint="eastAsia"/>
        </w:rPr>
        <w:t>项目周边主要是桔树</w:t>
      </w:r>
      <w:r>
        <w:t>等的集中种植，该部分用地没有改变土地原有的利用类型，只是植被种类有所变化。</w:t>
      </w:r>
    </w:p>
    <w:p>
      <w:pPr>
        <w:ind w:firstLine="480"/>
      </w:pPr>
      <w:r>
        <w:t>（</w:t>
      </w:r>
      <w:r>
        <w:rPr>
          <w:rFonts w:hint="eastAsia"/>
        </w:rPr>
        <w:t>2</w:t>
      </w:r>
      <w:r>
        <w:t>）植物资源现状：</w:t>
      </w:r>
    </w:p>
    <w:p>
      <w:pPr>
        <w:ind w:firstLine="480"/>
      </w:pPr>
      <w:r>
        <w:rPr>
          <w:rFonts w:hint="eastAsia"/>
        </w:rPr>
        <w:t>项目所在地周边植被以</w:t>
      </w:r>
      <w:r>
        <w:t>针叶林阔叶林混交为主，针叶林主要为尾松林，为项目周边林木群落主要生态类型之一，建群树种为马尾松，并半生杉木、毛竹等常绿乔木。针阔叶混交林以马尾松—杉树—樟树混交林为主，是区域主要植被类型之一。乔木层以马尾松、杉树、樟树为优势种，伴生有泡桐、枫香、苦槠、锥栗、南酸枣、无患子、油茶树等。灌草丛主要物种有白栎、茅栎、映山红、黄荆、马桑、白马骨、荚迷、山胡椒、箭竹、冬青、盐肤木、野枯草、狗尾草本，间有零星马尾松等树木耸立其中。</w:t>
      </w:r>
    </w:p>
    <w:p>
      <w:pPr>
        <w:ind w:firstLine="480"/>
      </w:pPr>
      <w:r>
        <w:t>评价区内</w:t>
      </w:r>
      <w:r>
        <w:rPr>
          <w:rFonts w:hint="eastAsia"/>
        </w:rPr>
        <w:t>林地主要为杂草和低矮灌木，有少量乔木，部分林地已被开发，种植苹果柚等果树，周边村镇及山丘以农业生态和林业生态为主，都为较常见植物，包括农作物和残次林</w:t>
      </w:r>
      <w:r>
        <w:t>，农作物植被分布广泛，主要的农作物品种以水稻、玉米、花生、红薯、蔬菜、柑橘等油粮作物为主。</w:t>
      </w:r>
    </w:p>
    <w:p>
      <w:pPr>
        <w:ind w:firstLine="480"/>
      </w:pPr>
      <w:r>
        <w:t>（</w:t>
      </w:r>
      <w:r>
        <w:rPr>
          <w:rFonts w:hint="eastAsia"/>
        </w:rPr>
        <w:t>3</w:t>
      </w:r>
      <w:r>
        <w:t>）动物资源现状：</w:t>
      </w:r>
    </w:p>
    <w:p>
      <w:pPr>
        <w:ind w:firstLine="480"/>
      </w:pPr>
      <w:r>
        <w:t>评价区域多为适应耕地和居民点的本地动物，野生动物以小型农田动物及两栖类动物为主，常见动物有田鼠、黄鼠狼、蛇、青蛙、麻雀、喜鹊等，建设区未发现国家保护野生动物。</w:t>
      </w:r>
    </w:p>
    <w:p>
      <w:pPr>
        <w:ind w:firstLine="480"/>
      </w:pPr>
      <w:r>
        <w:t>项目所在区域主要鱼类以经济鱼类为主，鱼类资源主要有草鱼、鲤鱼、青鱼、鲢鱼、鳙鱼等，未发现国家级保护鱼类，本项目评价区域无鱼类三场。项目区域内未发现国家和省级重点保护野生动物，也未发现其栖息地和迁徙通道。</w:t>
      </w:r>
    </w:p>
    <w:p>
      <w:pPr>
        <w:ind w:firstLine="480"/>
      </w:pPr>
      <w:bookmarkStart w:id="172" w:name="_Toc249433237"/>
      <w:bookmarkStart w:id="173" w:name="_Ref245185462"/>
      <w:bookmarkStart w:id="174" w:name="_Ref245185491"/>
      <w:bookmarkStart w:id="175" w:name="_Ref245185455"/>
      <w:bookmarkStart w:id="176" w:name="_Toc289344579"/>
      <w:r>
        <w:t>根据现场调查，评价区范围内无珍稀植被、无古树名木。区域不存在水土流失，自然灾害，生物入侵等生态问题，整体生态环境良好。</w:t>
      </w:r>
    </w:p>
    <w:p>
      <w:pPr>
        <w:pStyle w:val="4"/>
        <w:spacing w:before="48" w:after="48"/>
      </w:pPr>
      <w:bookmarkStart w:id="177" w:name="_Toc24101"/>
      <w:r>
        <w:rPr>
          <w:rFonts w:hint="eastAsia"/>
        </w:rPr>
        <w:t>3.3</w:t>
      </w:r>
      <w:r>
        <w:t>区域面源污染状况调查</w:t>
      </w:r>
      <w:bookmarkEnd w:id="177"/>
    </w:p>
    <w:p>
      <w:pPr>
        <w:ind w:firstLine="480"/>
      </w:pPr>
      <w:r>
        <w:t>项目所在区域位于澧县北边陲农村地区，区域面源污染主要来源为农业种植、畜禽养殖、水产种植等。</w:t>
      </w:r>
    </w:p>
    <w:p>
      <w:pPr>
        <w:ind w:firstLine="480"/>
      </w:pPr>
      <w:r>
        <w:t>（1）农业投入品使用不合理</w:t>
      </w:r>
    </w:p>
    <w:p>
      <w:pPr>
        <w:ind w:firstLine="480"/>
      </w:pPr>
      <w:r>
        <w:t>根据第一次全国农业污染源普查数据显示，澧县每亩农药的施用量为0.756kg、化肥（氮磷）用量为58.4 kg ，并呈逐年上升趋势，这是由于该地区安全用药、科学施肥水平不高，加上农民不按操作规程安全合理地使用农药化肥，喷洒的农药实际着附于作物上只有30%，化肥的有效利用率也只有35%左右，氮、磷的流失成为河流、湖泊、水库富营养化的主要污染源。</w:t>
      </w:r>
    </w:p>
    <w:p>
      <w:pPr>
        <w:ind w:firstLine="480"/>
      </w:pPr>
      <w:r>
        <w:t>（2）畜禽养殖、水产养殖的污染</w:t>
      </w:r>
    </w:p>
    <w:p>
      <w:pPr>
        <w:ind w:firstLine="480"/>
      </w:pPr>
      <w:r>
        <w:t>区域养殖业较发达，由于各方面的原因，许多专业养殖场缺少必要的污染防治措施，环境污染治理投资明显不足，加上养殖业和种植业的日益分离，畜禽粪便无害化后用作农田的比例大幅下降，大多数畜禽养殖场没有配套耕地、林地消纳粪污，形成了农牧的严重脱节，从而使畜禽养殖废弃物成为农业面源污染的重要来源。</w:t>
      </w:r>
    </w:p>
    <w:p>
      <w:pPr>
        <w:ind w:firstLine="480"/>
      </w:pPr>
      <w:r>
        <w:t>项目育肥场周边养鱼的农户较多，可能造成水塘水质污染，水产养殖年向周围水体排放</w:t>
      </w:r>
      <w:r>
        <w:rPr>
          <w:rFonts w:hint="eastAsia"/>
        </w:rPr>
        <w:t>489.6</w:t>
      </w:r>
      <w:r>
        <w:t>万t饱含鱼药、肥料的养殖用水，造成湖泊的富营养化。</w:t>
      </w:r>
    </w:p>
    <w:p>
      <w:pPr>
        <w:ind w:firstLine="480"/>
      </w:pPr>
      <w:r>
        <w:t>（3）农业废弃物处理不当</w:t>
      </w:r>
    </w:p>
    <w:p>
      <w:pPr>
        <w:ind w:firstLine="480"/>
      </w:pPr>
      <w:r>
        <w:t>澧县农膜的年用量为478.8t，残留量为262.4t，残留率达54.7%，农膜材料在自然条件下难以分解，可残存200年以上，如不及时回收，土壤中的残膜逐年积累，残膜进入土壤后，会改变土壤物理性质，影响土壤的通透性，阻碍土壤水肥的运移，导致农作物减产。</w:t>
      </w:r>
    </w:p>
    <w:p>
      <w:pPr>
        <w:ind w:firstLine="480"/>
      </w:pPr>
      <w:r>
        <w:t>（4）农村生活污染</w:t>
      </w:r>
    </w:p>
    <w:p>
      <w:pPr>
        <w:ind w:firstLine="480"/>
        <w:sectPr>
          <w:pgSz w:w="11907" w:h="16840"/>
          <w:pgMar w:top="1531" w:right="1531" w:bottom="1531" w:left="1531" w:header="851" w:footer="992" w:gutter="0"/>
          <w:cols w:space="720" w:num="1"/>
          <w:docGrid w:linePitch="312" w:charSpace="0"/>
        </w:sectPr>
      </w:pPr>
      <w:r>
        <w:t>农村因人口居民分散，大部分村镇没有专门的垃圾收集、运输、填进及处理系统，生活垃圾被随意抛弃在田头、路旁、农田、河流，已成为农村污染水质与土壤的一大公害。此外，由于城镇污水集中收集与处理设施的滞后，农村生活污水的排放，也会造成农田、水体水质下降。</w:t>
      </w:r>
      <w:bookmarkEnd w:id="172"/>
      <w:bookmarkEnd w:id="173"/>
      <w:bookmarkEnd w:id="174"/>
      <w:bookmarkEnd w:id="175"/>
      <w:bookmarkEnd w:id="176"/>
    </w:p>
    <w:p>
      <w:pPr>
        <w:pStyle w:val="2"/>
      </w:pPr>
      <w:bookmarkStart w:id="178" w:name="_Toc10743"/>
      <w:bookmarkStart w:id="179" w:name="_Toc289344580"/>
      <w:bookmarkStart w:id="180" w:name="_Toc468689177"/>
      <w:r>
        <w:t>第四章</w:t>
      </w:r>
      <w:r>
        <w:rPr>
          <w:rFonts w:hint="eastAsia"/>
        </w:rPr>
        <w:t xml:space="preserve">  </w:t>
      </w:r>
      <w:r>
        <w:t>环境影响预测与评价</w:t>
      </w:r>
      <w:bookmarkEnd w:id="178"/>
    </w:p>
    <w:p>
      <w:pPr>
        <w:pStyle w:val="4"/>
        <w:spacing w:before="62" w:after="62"/>
      </w:pPr>
      <w:bookmarkStart w:id="181" w:name="_Toc24850"/>
      <w:r>
        <w:rPr>
          <w:rFonts w:hint="eastAsia"/>
        </w:rPr>
        <w:t>4.1</w:t>
      </w:r>
      <w:r>
        <w:t>施工期环境影响分析</w:t>
      </w:r>
      <w:bookmarkEnd w:id="179"/>
      <w:bookmarkEnd w:id="180"/>
      <w:bookmarkEnd w:id="181"/>
    </w:p>
    <w:p>
      <w:pPr>
        <w:pStyle w:val="5"/>
        <w:spacing w:before="62" w:after="62"/>
      </w:pPr>
      <w:bookmarkStart w:id="182" w:name="_Toc30956"/>
      <w:bookmarkStart w:id="183" w:name="_Toc487411729"/>
      <w:bookmarkStart w:id="184" w:name="_Toc489916033"/>
      <w:bookmarkStart w:id="185" w:name="_Toc1989"/>
      <w:bookmarkStart w:id="186" w:name="_Toc289344581"/>
      <w:bookmarkStart w:id="187" w:name="_Toc468689191"/>
      <w:bookmarkStart w:id="188" w:name="_Toc135624276"/>
      <w:r>
        <w:rPr>
          <w:rFonts w:hint="eastAsia"/>
        </w:rPr>
        <w:t>4.1.1</w:t>
      </w:r>
      <w:r>
        <w:t>施工期大气污染影响分析</w:t>
      </w:r>
      <w:bookmarkEnd w:id="182"/>
      <w:bookmarkEnd w:id="183"/>
      <w:bookmarkEnd w:id="184"/>
      <w:bookmarkEnd w:id="185"/>
    </w:p>
    <w:p>
      <w:pPr>
        <w:ind w:firstLine="480"/>
      </w:pPr>
      <w:bookmarkStart w:id="189" w:name="_Toc7700"/>
      <w:bookmarkStart w:id="190" w:name="_Toc6143"/>
      <w:r>
        <w:rPr>
          <w:rFonts w:hint="eastAsia"/>
        </w:rPr>
        <w:t>本项目建设施工过程中的大气污染行主要来自于施工场地的扬尘，还有少量的运输车辆及施工机械产生的尾气及装修废气。</w:t>
      </w:r>
    </w:p>
    <w:p>
      <w:pPr>
        <w:ind w:firstLine="480"/>
      </w:pPr>
      <w:r>
        <w:rPr>
          <w:rFonts w:hint="eastAsia"/>
        </w:rPr>
        <w:t>（1）施工扬尘</w:t>
      </w:r>
    </w:p>
    <w:p>
      <w:pPr>
        <w:ind w:firstLine="480"/>
      </w:pPr>
      <w:r>
        <w:rPr>
          <w:rFonts w:hint="eastAsia"/>
        </w:rPr>
        <w:t>在整个施工期，产生扬尘的作业有土地平整、开挖、回填、道路浇筑、建材运输、露天堆放、装卸和搅拌等过程，如遇干旱无雨季节，加上大风，施工扬尘将更严重，不同施工阶段主要污染源和排放的污染物见表4.1</w:t>
      </w:r>
      <w:r>
        <w:t>-1</w:t>
      </w:r>
      <w:r>
        <w:rPr>
          <w:rFonts w:hint="eastAsia"/>
        </w:rPr>
        <w:t>。一般情况下，施工工地、施工道路在自然风作用下产生的扬尘所影响的范围在</w:t>
      </w:r>
      <w:r>
        <w:t>100m</w:t>
      </w:r>
      <w:r>
        <w:rPr>
          <w:rFonts w:hint="eastAsia"/>
        </w:rPr>
        <w:t>以内。</w:t>
      </w:r>
      <w:bookmarkEnd w:id="189"/>
      <w:bookmarkEnd w:id="190"/>
    </w:p>
    <w:p>
      <w:pPr>
        <w:pStyle w:val="11"/>
      </w:pPr>
      <w:r>
        <w:t xml:space="preserve">表4.1- </w:t>
      </w:r>
      <w:r>
        <w:fldChar w:fldCharType="begin"/>
      </w:r>
      <w:r>
        <w:instrText xml:space="preserve"> SEQ 表4.1- \* ARABIC </w:instrText>
      </w:r>
      <w:r>
        <w:fldChar w:fldCharType="separate"/>
      </w:r>
      <w:r>
        <w:t>1</w:t>
      </w:r>
      <w:r>
        <w:fldChar w:fldCharType="end"/>
      </w:r>
      <w:r>
        <w:rPr>
          <w:rFonts w:hint="eastAsia"/>
        </w:rPr>
        <w:t xml:space="preserve">  不同施工阶段主要污染源</w:t>
      </w:r>
    </w:p>
    <w:tbl>
      <w:tblPr>
        <w:tblStyle w:val="21"/>
        <w:tblW w:w="87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7"/>
        <w:gridCol w:w="4956"/>
        <w:gridCol w:w="22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547" w:type="dxa"/>
            <w:vAlign w:val="center"/>
          </w:tcPr>
          <w:p>
            <w:pPr>
              <w:pStyle w:val="8"/>
              <w:ind w:firstLine="0" w:firstLineChars="0"/>
            </w:pPr>
            <w:r>
              <w:rPr>
                <w:rFonts w:hint="eastAsia"/>
              </w:rPr>
              <w:t>施工阶段</w:t>
            </w:r>
          </w:p>
        </w:tc>
        <w:tc>
          <w:tcPr>
            <w:tcW w:w="4956" w:type="dxa"/>
            <w:vAlign w:val="center"/>
          </w:tcPr>
          <w:p>
            <w:pPr>
              <w:pStyle w:val="8"/>
              <w:ind w:firstLine="0" w:firstLineChars="0"/>
            </w:pPr>
            <w:r>
              <w:rPr>
                <w:rFonts w:hint="eastAsia"/>
              </w:rPr>
              <w:t>主要污染源</w:t>
            </w:r>
          </w:p>
        </w:tc>
        <w:tc>
          <w:tcPr>
            <w:tcW w:w="2229" w:type="dxa"/>
            <w:vAlign w:val="center"/>
          </w:tcPr>
          <w:p>
            <w:pPr>
              <w:pStyle w:val="8"/>
              <w:ind w:firstLine="0" w:firstLineChars="0"/>
            </w:pPr>
            <w:r>
              <w:rPr>
                <w:rFonts w:hint="eastAsia"/>
              </w:rPr>
              <w:t>主要污染物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547" w:type="dxa"/>
            <w:vAlign w:val="center"/>
          </w:tcPr>
          <w:p>
            <w:pPr>
              <w:pStyle w:val="8"/>
              <w:ind w:firstLine="0" w:firstLineChars="0"/>
            </w:pPr>
            <w:r>
              <w:rPr>
                <w:rFonts w:hint="eastAsia"/>
              </w:rPr>
              <w:t>场地清表</w:t>
            </w:r>
          </w:p>
        </w:tc>
        <w:tc>
          <w:tcPr>
            <w:tcW w:w="4956" w:type="dxa"/>
            <w:vAlign w:val="center"/>
          </w:tcPr>
          <w:p>
            <w:pPr>
              <w:pStyle w:val="8"/>
              <w:ind w:firstLine="0" w:firstLineChars="0"/>
            </w:pPr>
            <w:r>
              <w:t>1</w:t>
            </w:r>
            <w:r>
              <w:rPr>
                <w:rFonts w:hint="eastAsia"/>
              </w:rPr>
              <w:t>、铲车、运输卡车</w:t>
            </w:r>
          </w:p>
        </w:tc>
        <w:tc>
          <w:tcPr>
            <w:tcW w:w="2229" w:type="dxa"/>
            <w:vAlign w:val="center"/>
          </w:tcPr>
          <w:p>
            <w:pPr>
              <w:pStyle w:val="8"/>
              <w:ind w:firstLine="0" w:firstLineChars="0"/>
            </w:pPr>
            <w:r>
              <w:rPr>
                <w:rFonts w:hint="eastAsia"/>
              </w:rPr>
              <w:t>扬尘、</w:t>
            </w:r>
            <w:r>
              <w:t>NOx</w:t>
            </w:r>
            <w:r>
              <w:rPr>
                <w:rFonts w:hint="eastAsia"/>
              </w:rPr>
              <w:t>、</w:t>
            </w:r>
            <w:r>
              <w:t>CO</w:t>
            </w:r>
            <w:r>
              <w:rPr>
                <w:rFonts w:hint="eastAsia"/>
              </w:rPr>
              <w:t>、</w:t>
            </w:r>
            <w:r>
              <w:t>HC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47" w:type="dxa"/>
            <w:vAlign w:val="center"/>
          </w:tcPr>
          <w:p>
            <w:pPr>
              <w:pStyle w:val="8"/>
              <w:ind w:firstLine="0" w:firstLineChars="0"/>
            </w:pPr>
            <w:r>
              <w:rPr>
                <w:rFonts w:hint="eastAsia"/>
              </w:rPr>
              <w:t>基础工程</w:t>
            </w:r>
          </w:p>
        </w:tc>
        <w:tc>
          <w:tcPr>
            <w:tcW w:w="4956" w:type="dxa"/>
            <w:vAlign w:val="center"/>
          </w:tcPr>
          <w:p>
            <w:pPr>
              <w:pStyle w:val="8"/>
              <w:ind w:firstLine="0" w:firstLineChars="0"/>
            </w:pPr>
            <w:r>
              <w:t>1</w:t>
            </w:r>
            <w:r>
              <w:rPr>
                <w:rFonts w:hint="eastAsia"/>
              </w:rPr>
              <w:t>、裸露地面、土方挖掘、土方堆场、土方装御、道路扬尘、建材堆场等。</w:t>
            </w:r>
          </w:p>
          <w:p>
            <w:pPr>
              <w:pStyle w:val="8"/>
              <w:ind w:firstLine="0" w:firstLineChars="0"/>
            </w:pPr>
            <w:r>
              <w:t>2</w:t>
            </w:r>
            <w:r>
              <w:rPr>
                <w:rFonts w:hint="eastAsia"/>
              </w:rPr>
              <w:t>、挖土机、铲车、运输卡车等。</w:t>
            </w:r>
          </w:p>
        </w:tc>
        <w:tc>
          <w:tcPr>
            <w:tcW w:w="2229" w:type="dxa"/>
            <w:vAlign w:val="center"/>
          </w:tcPr>
          <w:p>
            <w:pPr>
              <w:pStyle w:val="8"/>
              <w:ind w:firstLine="0" w:firstLineChars="0"/>
            </w:pPr>
            <w:r>
              <w:rPr>
                <w:rFonts w:hint="eastAsia"/>
              </w:rPr>
              <w:t>扬尘、</w:t>
            </w:r>
            <w:r>
              <w:t>NOx</w:t>
            </w:r>
            <w:r>
              <w:rPr>
                <w:rFonts w:hint="eastAsia"/>
              </w:rPr>
              <w:t>、</w:t>
            </w:r>
            <w:r>
              <w:t>CO</w:t>
            </w:r>
            <w:r>
              <w:rPr>
                <w:rFonts w:hint="eastAsia"/>
              </w:rPr>
              <w:t>、</w:t>
            </w:r>
            <w:r>
              <w:t>HC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47" w:type="dxa"/>
            <w:vAlign w:val="center"/>
          </w:tcPr>
          <w:p>
            <w:pPr>
              <w:pStyle w:val="8"/>
              <w:ind w:firstLine="0" w:firstLineChars="0"/>
            </w:pPr>
            <w:r>
              <w:rPr>
                <w:rFonts w:hint="eastAsia"/>
              </w:rPr>
              <w:t>结构施工</w:t>
            </w:r>
          </w:p>
        </w:tc>
        <w:tc>
          <w:tcPr>
            <w:tcW w:w="4956" w:type="dxa"/>
            <w:vAlign w:val="center"/>
          </w:tcPr>
          <w:p>
            <w:pPr>
              <w:pStyle w:val="8"/>
              <w:ind w:firstLine="0" w:firstLineChars="0"/>
            </w:pPr>
            <w:r>
              <w:t>1</w:t>
            </w:r>
            <w:r>
              <w:rPr>
                <w:rFonts w:hint="eastAsia"/>
              </w:rPr>
              <w:t>、建材堆场、建材装卸、施工垃圾的清理及堆放、地面道路场尘等。</w:t>
            </w:r>
          </w:p>
          <w:p>
            <w:pPr>
              <w:pStyle w:val="8"/>
              <w:ind w:firstLine="0" w:firstLineChars="0"/>
            </w:pPr>
            <w:r>
              <w:t>2</w:t>
            </w:r>
            <w:r>
              <w:rPr>
                <w:rFonts w:hint="eastAsia"/>
              </w:rPr>
              <w:t>、运输卡车</w:t>
            </w:r>
          </w:p>
        </w:tc>
        <w:tc>
          <w:tcPr>
            <w:tcW w:w="2229" w:type="dxa"/>
            <w:vAlign w:val="center"/>
          </w:tcPr>
          <w:p>
            <w:pPr>
              <w:pStyle w:val="8"/>
              <w:ind w:firstLine="0" w:firstLineChars="0"/>
            </w:pPr>
            <w:r>
              <w:rPr>
                <w:rFonts w:hint="eastAsia"/>
              </w:rPr>
              <w:t>扬尘、</w:t>
            </w:r>
            <w:r>
              <w:t>NOx</w:t>
            </w:r>
            <w:r>
              <w:rPr>
                <w:rFonts w:hint="eastAsia"/>
              </w:rPr>
              <w:t>、</w:t>
            </w:r>
            <w:r>
              <w:t>CO</w:t>
            </w:r>
            <w:r>
              <w:rPr>
                <w:rFonts w:hint="eastAsia"/>
              </w:rPr>
              <w:t>、</w:t>
            </w:r>
            <w:r>
              <w:t>HC</w:t>
            </w:r>
          </w:p>
        </w:tc>
      </w:tr>
    </w:tbl>
    <w:p>
      <w:pPr>
        <w:ind w:firstLine="480"/>
      </w:pPr>
      <w:bookmarkStart w:id="191" w:name="_Toc11918"/>
      <w:bookmarkStart w:id="192" w:name="_Toc27588"/>
      <w:r>
        <w:rPr>
          <w:rFonts w:hint="eastAsia"/>
        </w:rPr>
        <w:t>在静风状态下，扬尘污染主要在道路两边扩散，随着离开路边的距离增加，浓度逐渐递减而趋向于背景值。因此，施工期产生的粉尘及车辆运输产生的扬尘主要对施工区域及运输道路附近的空气质量将产生一定的不利影响，主要影响范围为施工运输道路附近。</w:t>
      </w:r>
      <w:bookmarkEnd w:id="191"/>
      <w:bookmarkEnd w:id="192"/>
    </w:p>
    <w:p>
      <w:pPr>
        <w:ind w:firstLine="480"/>
      </w:pPr>
      <w:bookmarkStart w:id="193" w:name="_Toc17096"/>
      <w:bookmarkStart w:id="194" w:name="_Toc5693"/>
      <w:r>
        <w:rPr>
          <w:rFonts w:hint="eastAsia"/>
        </w:rPr>
        <w:t>对整个施工期而言，施工产生的扬尘主要集中在土建施工阶段。按起尘的原因可分为风力起尘和动力起尘，其中风力起尘主要是由于露天堆放的建材及裸露的施工区表层浮尘因天气干燥及大风，产生风尘扬尘；而动力起尘，主要是在建材的运输、装卸、搅拌过程中，由于外力而产生的尘粒再悬浮而造成，其中施工及装卸车辆造成的扬尘最为严重。据有关文献资料介绍，车辆行驶产生的扬尘占总扬尘的</w:t>
      </w:r>
      <w:r>
        <w:t>60%</w:t>
      </w:r>
      <w:r>
        <w:rPr>
          <w:rFonts w:hint="eastAsia"/>
        </w:rPr>
        <w:t>上。车辆行驶产生的扬尘，在完全干燥情况下，可按下列经验公式计算：</w:t>
      </w:r>
      <w:bookmarkEnd w:id="193"/>
      <w:bookmarkEnd w:id="194"/>
    </w:p>
    <w:p>
      <w:pPr>
        <w:ind w:firstLine="480"/>
      </w:pPr>
      <w:r>
        <w:rPr>
          <w:rFonts w:hint="eastAsia"/>
        </w:rPr>
        <w:pict>
          <v:shape id="_x0000_i1027" o:spt="75" type="#_x0000_t75" style="height:18.5pt;width:205.5pt;" filled="f" o:preferrelative="t" stroked="f" coordsize="21600,21600">
            <v:path/>
            <v:fill on="f" focussize="0,0"/>
            <v:stroke on="f" joinstyle="miter"/>
            <v:imagedata r:id="rId36" o:title=""/>
            <o:lock v:ext="edit" aspectratio="t"/>
            <w10:wrap type="none"/>
            <w10:anchorlock/>
          </v:shape>
        </w:pict>
      </w:r>
    </w:p>
    <w:p>
      <w:pPr>
        <w:ind w:firstLine="480"/>
      </w:pPr>
      <w:r>
        <w:rPr>
          <w:rFonts w:hint="eastAsia"/>
        </w:rPr>
        <w:t>式中：</w:t>
      </w:r>
      <w:r>
        <w:t>Q──</w:t>
      </w:r>
      <w:r>
        <w:rPr>
          <w:rFonts w:hint="eastAsia"/>
        </w:rPr>
        <w:t>汽车行驶的扬尘，</w:t>
      </w:r>
      <w:r>
        <w:t>kg/</w:t>
      </w:r>
      <w:r>
        <w:rPr>
          <w:rFonts w:hint="eastAsia"/>
        </w:rPr>
        <w:t>车</w:t>
      </w:r>
      <w:r>
        <w:t>·km</w:t>
      </w:r>
      <w:r>
        <w:rPr>
          <w:rFonts w:hint="eastAsia"/>
        </w:rPr>
        <w:t>；</w:t>
      </w:r>
    </w:p>
    <w:p>
      <w:pPr>
        <w:ind w:firstLine="480"/>
      </w:pPr>
      <w:r>
        <w:t>V──</w:t>
      </w:r>
      <w:r>
        <w:rPr>
          <w:rFonts w:hint="eastAsia"/>
        </w:rPr>
        <w:t>汽车速度，</w:t>
      </w:r>
      <w:r>
        <w:t>km/h</w:t>
      </w:r>
      <w:r>
        <w:rPr>
          <w:rFonts w:hint="eastAsia"/>
        </w:rPr>
        <w:t>；</w:t>
      </w:r>
    </w:p>
    <w:p>
      <w:pPr>
        <w:ind w:firstLine="480"/>
      </w:pPr>
      <w:r>
        <w:t>W──</w:t>
      </w:r>
      <w:r>
        <w:rPr>
          <w:rFonts w:hint="eastAsia"/>
        </w:rPr>
        <w:t>汽车载重量，</w:t>
      </w:r>
      <w:r>
        <w:t>t</w:t>
      </w:r>
      <w:r>
        <w:rPr>
          <w:rFonts w:hint="eastAsia"/>
        </w:rPr>
        <w:t>；</w:t>
      </w:r>
    </w:p>
    <w:p>
      <w:pPr>
        <w:ind w:firstLine="480"/>
      </w:pPr>
      <w:r>
        <w:t>P──</w:t>
      </w:r>
      <w:r>
        <w:rPr>
          <w:rFonts w:hint="eastAsia"/>
        </w:rPr>
        <w:t>道路表面粉尘量，</w:t>
      </w:r>
      <w:r>
        <w:t>kg/m</w:t>
      </w:r>
      <w:r>
        <w:rPr>
          <w:vertAlign w:val="superscript"/>
        </w:rPr>
        <w:t>2</w:t>
      </w:r>
      <w:r>
        <w:rPr>
          <w:rFonts w:hint="eastAsia"/>
        </w:rPr>
        <w:t>。</w:t>
      </w:r>
    </w:p>
    <w:p>
      <w:pPr>
        <w:ind w:firstLine="480"/>
      </w:pPr>
      <w:r>
        <w:rPr>
          <w:rFonts w:hint="eastAsia"/>
        </w:rPr>
        <w:t>表4.1</w:t>
      </w:r>
      <w:r>
        <w:t>-</w:t>
      </w:r>
      <w:r>
        <w:rPr>
          <w:rFonts w:hint="eastAsia"/>
        </w:rPr>
        <w:t>2为一辆</w:t>
      </w:r>
      <w:r>
        <w:t>10</w:t>
      </w:r>
      <w:r>
        <w:rPr>
          <w:rFonts w:hint="eastAsia"/>
        </w:rPr>
        <w:t>吨卡车，通过一段长度为</w:t>
      </w:r>
      <w:r>
        <w:t>1km</w:t>
      </w:r>
      <w:r>
        <w:rPr>
          <w:rFonts w:hint="eastAsia"/>
        </w:rPr>
        <w:t>的路面时，不同路面清洁程度，不同行驶速度情况下的扬尘量监测值。</w:t>
      </w:r>
    </w:p>
    <w:p>
      <w:pPr>
        <w:pStyle w:val="11"/>
      </w:pPr>
      <w:r>
        <w:t xml:space="preserve">表4.1- </w:t>
      </w:r>
      <w:r>
        <w:fldChar w:fldCharType="begin"/>
      </w:r>
      <w:r>
        <w:instrText xml:space="preserve"> SEQ 表4.1- \* ARABIC </w:instrText>
      </w:r>
      <w:r>
        <w:fldChar w:fldCharType="separate"/>
      </w:r>
      <w:r>
        <w:t>2</w:t>
      </w:r>
      <w:r>
        <w:fldChar w:fldCharType="end"/>
      </w:r>
      <w:r>
        <w:rPr>
          <w:rFonts w:hint="eastAsia"/>
        </w:rPr>
        <w:t xml:space="preserve">   不同车速和地面清洁程度的汽车扬尘监测值单位：</w:t>
      </w:r>
      <w:r>
        <w:t>kg/</w:t>
      </w:r>
      <w:r>
        <w:rPr>
          <w:rFonts w:hint="eastAsia"/>
        </w:rPr>
        <w:t>（车</w:t>
      </w:r>
      <w:r>
        <w:t>·km</w:t>
      </w:r>
      <w:r>
        <w:rPr>
          <w:rFonts w:hint="eastAsia"/>
        </w:rPr>
        <w:t>）</w:t>
      </w:r>
    </w:p>
    <w:tbl>
      <w:tblPr>
        <w:tblStyle w:val="21"/>
        <w:tblW w:w="873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25"/>
        <w:gridCol w:w="1238"/>
        <w:gridCol w:w="1236"/>
        <w:gridCol w:w="1237"/>
        <w:gridCol w:w="1236"/>
        <w:gridCol w:w="1234"/>
        <w:gridCol w:w="12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1325" w:type="dxa"/>
            <w:vAlign w:val="center"/>
          </w:tcPr>
          <w:p>
            <w:pPr>
              <w:pStyle w:val="8"/>
              <w:ind w:firstLine="0" w:firstLineChars="0"/>
            </w:pPr>
            <w:r>
              <w:t xml:space="preserve">   P</w:t>
            </w:r>
          </w:p>
          <w:p>
            <w:pPr>
              <w:pStyle w:val="8"/>
              <w:ind w:firstLine="0" w:firstLineChars="0"/>
            </w:pPr>
            <w:r>
              <w:rPr>
                <w:rFonts w:hint="eastAsia"/>
              </w:rPr>
              <w:t>车速</w:t>
            </w:r>
          </w:p>
        </w:tc>
        <w:tc>
          <w:tcPr>
            <w:tcW w:w="1238" w:type="dxa"/>
            <w:vAlign w:val="center"/>
          </w:tcPr>
          <w:p>
            <w:pPr>
              <w:pStyle w:val="8"/>
              <w:ind w:firstLine="0" w:firstLineChars="0"/>
            </w:pPr>
            <w:r>
              <w:t>0.1</w:t>
            </w:r>
          </w:p>
          <w:p>
            <w:pPr>
              <w:pStyle w:val="8"/>
              <w:ind w:firstLine="0" w:firstLineChars="0"/>
            </w:pPr>
            <w:r>
              <w:t>(kg/m</w:t>
            </w:r>
            <w:r>
              <w:rPr>
                <w:vertAlign w:val="superscript"/>
              </w:rPr>
              <w:t>2</w:t>
            </w:r>
            <w:r>
              <w:t>)</w:t>
            </w:r>
          </w:p>
        </w:tc>
        <w:tc>
          <w:tcPr>
            <w:tcW w:w="1236" w:type="dxa"/>
            <w:vAlign w:val="center"/>
          </w:tcPr>
          <w:p>
            <w:pPr>
              <w:pStyle w:val="8"/>
              <w:ind w:firstLine="0" w:firstLineChars="0"/>
            </w:pPr>
            <w:r>
              <w:t>0.2</w:t>
            </w:r>
          </w:p>
          <w:p>
            <w:pPr>
              <w:pStyle w:val="8"/>
              <w:ind w:firstLine="0" w:firstLineChars="0"/>
            </w:pPr>
            <w:r>
              <w:t>(kg/m</w:t>
            </w:r>
            <w:r>
              <w:rPr>
                <w:vertAlign w:val="superscript"/>
              </w:rPr>
              <w:t>2</w:t>
            </w:r>
            <w:r>
              <w:t>)</w:t>
            </w:r>
          </w:p>
        </w:tc>
        <w:tc>
          <w:tcPr>
            <w:tcW w:w="1237" w:type="dxa"/>
            <w:vAlign w:val="center"/>
          </w:tcPr>
          <w:p>
            <w:pPr>
              <w:pStyle w:val="8"/>
              <w:ind w:firstLine="0" w:firstLineChars="0"/>
            </w:pPr>
            <w:r>
              <w:t>0.3</w:t>
            </w:r>
          </w:p>
          <w:p>
            <w:pPr>
              <w:pStyle w:val="8"/>
              <w:ind w:firstLine="0" w:firstLineChars="0"/>
            </w:pPr>
            <w:r>
              <w:t>(kg/m</w:t>
            </w:r>
            <w:r>
              <w:rPr>
                <w:vertAlign w:val="superscript"/>
              </w:rPr>
              <w:t>2</w:t>
            </w:r>
            <w:r>
              <w:t>)</w:t>
            </w:r>
          </w:p>
        </w:tc>
        <w:tc>
          <w:tcPr>
            <w:tcW w:w="1236" w:type="dxa"/>
            <w:vAlign w:val="center"/>
          </w:tcPr>
          <w:p>
            <w:pPr>
              <w:pStyle w:val="8"/>
              <w:ind w:firstLine="0" w:firstLineChars="0"/>
            </w:pPr>
            <w:r>
              <w:t>0.4</w:t>
            </w:r>
          </w:p>
          <w:p>
            <w:pPr>
              <w:pStyle w:val="8"/>
              <w:ind w:firstLine="0" w:firstLineChars="0"/>
            </w:pPr>
            <w:r>
              <w:t>(kg/m</w:t>
            </w:r>
            <w:r>
              <w:rPr>
                <w:vertAlign w:val="superscript"/>
              </w:rPr>
              <w:t>2</w:t>
            </w:r>
            <w:r>
              <w:t>)</w:t>
            </w:r>
          </w:p>
        </w:tc>
        <w:tc>
          <w:tcPr>
            <w:tcW w:w="1234" w:type="dxa"/>
            <w:vAlign w:val="center"/>
          </w:tcPr>
          <w:p>
            <w:pPr>
              <w:pStyle w:val="8"/>
              <w:ind w:firstLine="0" w:firstLineChars="0"/>
            </w:pPr>
            <w:r>
              <w:t>0.5</w:t>
            </w:r>
          </w:p>
          <w:p>
            <w:pPr>
              <w:pStyle w:val="8"/>
              <w:ind w:firstLine="0" w:firstLineChars="0"/>
            </w:pPr>
            <w:r>
              <w:t>(kg/m</w:t>
            </w:r>
            <w:r>
              <w:rPr>
                <w:vertAlign w:val="superscript"/>
              </w:rPr>
              <w:t>2</w:t>
            </w:r>
            <w:r>
              <w:t>)</w:t>
            </w:r>
          </w:p>
        </w:tc>
        <w:tc>
          <w:tcPr>
            <w:tcW w:w="1232" w:type="dxa"/>
            <w:vAlign w:val="center"/>
          </w:tcPr>
          <w:p>
            <w:pPr>
              <w:pStyle w:val="8"/>
              <w:ind w:firstLine="0" w:firstLineChars="0"/>
            </w:pPr>
            <w:r>
              <w:t>1</w:t>
            </w:r>
          </w:p>
          <w:p>
            <w:pPr>
              <w:pStyle w:val="8"/>
              <w:ind w:firstLine="0" w:firstLineChars="0"/>
            </w:pPr>
            <w:r>
              <w:t>(kg/m</w:t>
            </w:r>
            <w:r>
              <w:rPr>
                <w:vertAlign w:val="superscript"/>
              </w:rPr>
              <w:t>2</w:t>
            </w: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1325" w:type="dxa"/>
            <w:vAlign w:val="center"/>
          </w:tcPr>
          <w:p>
            <w:pPr>
              <w:pStyle w:val="8"/>
              <w:ind w:firstLine="0" w:firstLineChars="0"/>
            </w:pPr>
            <w:r>
              <w:t>5(km/h)</w:t>
            </w:r>
          </w:p>
        </w:tc>
        <w:tc>
          <w:tcPr>
            <w:tcW w:w="1238" w:type="dxa"/>
            <w:vAlign w:val="center"/>
          </w:tcPr>
          <w:p>
            <w:pPr>
              <w:pStyle w:val="8"/>
              <w:ind w:firstLine="0" w:firstLineChars="0"/>
            </w:pPr>
            <w:r>
              <w:t>0.051056</w:t>
            </w:r>
          </w:p>
        </w:tc>
        <w:tc>
          <w:tcPr>
            <w:tcW w:w="1236" w:type="dxa"/>
            <w:vAlign w:val="center"/>
          </w:tcPr>
          <w:p>
            <w:pPr>
              <w:pStyle w:val="8"/>
              <w:ind w:firstLine="0" w:firstLineChars="0"/>
            </w:pPr>
            <w:r>
              <w:t>0.085865</w:t>
            </w:r>
          </w:p>
        </w:tc>
        <w:tc>
          <w:tcPr>
            <w:tcW w:w="1237" w:type="dxa"/>
            <w:vAlign w:val="center"/>
          </w:tcPr>
          <w:p>
            <w:pPr>
              <w:pStyle w:val="8"/>
              <w:ind w:firstLine="0" w:firstLineChars="0"/>
            </w:pPr>
            <w:r>
              <w:t>0.116382</w:t>
            </w:r>
          </w:p>
        </w:tc>
        <w:tc>
          <w:tcPr>
            <w:tcW w:w="1236" w:type="dxa"/>
            <w:vAlign w:val="center"/>
          </w:tcPr>
          <w:p>
            <w:pPr>
              <w:pStyle w:val="8"/>
              <w:ind w:firstLine="0" w:firstLineChars="0"/>
            </w:pPr>
            <w:r>
              <w:t>0.144408</w:t>
            </w:r>
          </w:p>
        </w:tc>
        <w:tc>
          <w:tcPr>
            <w:tcW w:w="1234" w:type="dxa"/>
            <w:vAlign w:val="center"/>
          </w:tcPr>
          <w:p>
            <w:pPr>
              <w:pStyle w:val="8"/>
              <w:ind w:firstLine="0" w:firstLineChars="0"/>
            </w:pPr>
            <w:r>
              <w:t>0.170715</w:t>
            </w:r>
          </w:p>
        </w:tc>
        <w:tc>
          <w:tcPr>
            <w:tcW w:w="1232" w:type="dxa"/>
            <w:vAlign w:val="center"/>
          </w:tcPr>
          <w:p>
            <w:pPr>
              <w:pStyle w:val="8"/>
              <w:ind w:firstLine="0" w:firstLineChars="0"/>
            </w:pPr>
            <w:r>
              <w:t>0.287108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1325" w:type="dxa"/>
            <w:vAlign w:val="center"/>
          </w:tcPr>
          <w:p>
            <w:pPr>
              <w:pStyle w:val="8"/>
              <w:ind w:firstLine="0" w:firstLineChars="0"/>
            </w:pPr>
            <w:r>
              <w:t>10(km/h)</w:t>
            </w:r>
          </w:p>
        </w:tc>
        <w:tc>
          <w:tcPr>
            <w:tcW w:w="1238" w:type="dxa"/>
            <w:vAlign w:val="center"/>
          </w:tcPr>
          <w:p>
            <w:pPr>
              <w:pStyle w:val="8"/>
              <w:ind w:firstLine="0" w:firstLineChars="0"/>
            </w:pPr>
            <w:r>
              <w:t>0.102112</w:t>
            </w:r>
          </w:p>
        </w:tc>
        <w:tc>
          <w:tcPr>
            <w:tcW w:w="1236" w:type="dxa"/>
            <w:vAlign w:val="center"/>
          </w:tcPr>
          <w:p>
            <w:pPr>
              <w:pStyle w:val="8"/>
              <w:ind w:firstLine="0" w:firstLineChars="0"/>
            </w:pPr>
            <w:r>
              <w:t>0.171731</w:t>
            </w:r>
          </w:p>
        </w:tc>
        <w:tc>
          <w:tcPr>
            <w:tcW w:w="1237" w:type="dxa"/>
            <w:vAlign w:val="center"/>
          </w:tcPr>
          <w:p>
            <w:pPr>
              <w:pStyle w:val="8"/>
              <w:ind w:firstLine="0" w:firstLineChars="0"/>
            </w:pPr>
            <w:r>
              <w:t>0.232764</w:t>
            </w:r>
          </w:p>
        </w:tc>
        <w:tc>
          <w:tcPr>
            <w:tcW w:w="1236" w:type="dxa"/>
            <w:vAlign w:val="center"/>
          </w:tcPr>
          <w:p>
            <w:pPr>
              <w:pStyle w:val="8"/>
              <w:ind w:firstLine="0" w:firstLineChars="0"/>
            </w:pPr>
            <w:r>
              <w:t>0.288815</w:t>
            </w:r>
          </w:p>
        </w:tc>
        <w:tc>
          <w:tcPr>
            <w:tcW w:w="1234" w:type="dxa"/>
            <w:vAlign w:val="center"/>
          </w:tcPr>
          <w:p>
            <w:pPr>
              <w:pStyle w:val="8"/>
              <w:ind w:firstLine="0" w:firstLineChars="0"/>
            </w:pPr>
            <w:r>
              <w:t>0.341431</w:t>
            </w:r>
          </w:p>
        </w:tc>
        <w:tc>
          <w:tcPr>
            <w:tcW w:w="1232" w:type="dxa"/>
            <w:vAlign w:val="center"/>
          </w:tcPr>
          <w:p>
            <w:pPr>
              <w:pStyle w:val="8"/>
              <w:ind w:firstLine="0" w:firstLineChars="0"/>
            </w:pPr>
            <w:r>
              <w:t>0.574216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1325" w:type="dxa"/>
            <w:vAlign w:val="center"/>
          </w:tcPr>
          <w:p>
            <w:pPr>
              <w:pStyle w:val="8"/>
              <w:ind w:firstLine="0" w:firstLineChars="0"/>
            </w:pPr>
            <w:r>
              <w:t>15(km/h)</w:t>
            </w:r>
          </w:p>
        </w:tc>
        <w:tc>
          <w:tcPr>
            <w:tcW w:w="1238" w:type="dxa"/>
            <w:vAlign w:val="center"/>
          </w:tcPr>
          <w:p>
            <w:pPr>
              <w:pStyle w:val="8"/>
              <w:ind w:firstLine="0" w:firstLineChars="0"/>
            </w:pPr>
            <w:r>
              <w:t>0.153167</w:t>
            </w:r>
          </w:p>
        </w:tc>
        <w:tc>
          <w:tcPr>
            <w:tcW w:w="1236" w:type="dxa"/>
            <w:vAlign w:val="center"/>
          </w:tcPr>
          <w:p>
            <w:pPr>
              <w:pStyle w:val="8"/>
              <w:ind w:firstLine="0" w:firstLineChars="0"/>
            </w:pPr>
            <w:r>
              <w:t>0.257596</w:t>
            </w:r>
          </w:p>
        </w:tc>
        <w:tc>
          <w:tcPr>
            <w:tcW w:w="1237" w:type="dxa"/>
            <w:vAlign w:val="center"/>
          </w:tcPr>
          <w:p>
            <w:pPr>
              <w:pStyle w:val="8"/>
              <w:ind w:firstLine="0" w:firstLineChars="0"/>
            </w:pPr>
            <w:r>
              <w:t>0.349146</w:t>
            </w:r>
          </w:p>
        </w:tc>
        <w:tc>
          <w:tcPr>
            <w:tcW w:w="1236" w:type="dxa"/>
            <w:vAlign w:val="center"/>
          </w:tcPr>
          <w:p>
            <w:pPr>
              <w:pStyle w:val="8"/>
              <w:ind w:firstLine="0" w:firstLineChars="0"/>
            </w:pPr>
            <w:r>
              <w:t>0.433223</w:t>
            </w:r>
          </w:p>
        </w:tc>
        <w:tc>
          <w:tcPr>
            <w:tcW w:w="1234" w:type="dxa"/>
            <w:vAlign w:val="center"/>
          </w:tcPr>
          <w:p>
            <w:pPr>
              <w:pStyle w:val="8"/>
              <w:ind w:firstLine="0" w:firstLineChars="0"/>
            </w:pPr>
            <w:r>
              <w:t>0.512146</w:t>
            </w:r>
          </w:p>
        </w:tc>
        <w:tc>
          <w:tcPr>
            <w:tcW w:w="1232" w:type="dxa"/>
            <w:vAlign w:val="center"/>
          </w:tcPr>
          <w:p>
            <w:pPr>
              <w:pStyle w:val="8"/>
              <w:ind w:firstLine="0" w:firstLineChars="0"/>
            </w:pPr>
            <w:r>
              <w:t>0.861323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1325" w:type="dxa"/>
            <w:vAlign w:val="center"/>
          </w:tcPr>
          <w:p>
            <w:pPr>
              <w:pStyle w:val="8"/>
              <w:ind w:firstLine="0" w:firstLineChars="0"/>
            </w:pPr>
            <w:r>
              <w:t>25(km/h)</w:t>
            </w:r>
          </w:p>
        </w:tc>
        <w:tc>
          <w:tcPr>
            <w:tcW w:w="1238" w:type="dxa"/>
            <w:vAlign w:val="center"/>
          </w:tcPr>
          <w:p>
            <w:pPr>
              <w:pStyle w:val="8"/>
              <w:ind w:firstLine="0" w:firstLineChars="0"/>
            </w:pPr>
            <w:r>
              <w:t>0.255279</w:t>
            </w:r>
          </w:p>
        </w:tc>
        <w:tc>
          <w:tcPr>
            <w:tcW w:w="1236" w:type="dxa"/>
            <w:vAlign w:val="center"/>
          </w:tcPr>
          <w:p>
            <w:pPr>
              <w:pStyle w:val="8"/>
              <w:ind w:firstLine="0" w:firstLineChars="0"/>
            </w:pPr>
            <w:r>
              <w:t>0.429326</w:t>
            </w:r>
          </w:p>
        </w:tc>
        <w:tc>
          <w:tcPr>
            <w:tcW w:w="1237" w:type="dxa"/>
            <w:vAlign w:val="center"/>
          </w:tcPr>
          <w:p>
            <w:pPr>
              <w:pStyle w:val="8"/>
              <w:ind w:firstLine="0" w:firstLineChars="0"/>
            </w:pPr>
            <w:r>
              <w:t>0.58191</w:t>
            </w:r>
          </w:p>
        </w:tc>
        <w:tc>
          <w:tcPr>
            <w:tcW w:w="1236" w:type="dxa"/>
            <w:vAlign w:val="center"/>
          </w:tcPr>
          <w:p>
            <w:pPr>
              <w:pStyle w:val="8"/>
              <w:ind w:firstLine="0" w:firstLineChars="0"/>
            </w:pPr>
            <w:r>
              <w:t>0.722038</w:t>
            </w:r>
          </w:p>
        </w:tc>
        <w:tc>
          <w:tcPr>
            <w:tcW w:w="1234" w:type="dxa"/>
            <w:vAlign w:val="center"/>
          </w:tcPr>
          <w:p>
            <w:pPr>
              <w:pStyle w:val="8"/>
              <w:ind w:firstLine="0" w:firstLineChars="0"/>
            </w:pPr>
            <w:r>
              <w:t>0.853577</w:t>
            </w:r>
          </w:p>
        </w:tc>
        <w:tc>
          <w:tcPr>
            <w:tcW w:w="1232" w:type="dxa"/>
            <w:vAlign w:val="center"/>
          </w:tcPr>
          <w:p>
            <w:pPr>
              <w:pStyle w:val="8"/>
              <w:ind w:firstLine="0" w:firstLineChars="0"/>
            </w:pPr>
            <w:r>
              <w:t>1.435539</w:t>
            </w:r>
          </w:p>
        </w:tc>
      </w:tr>
    </w:tbl>
    <w:p>
      <w:pPr>
        <w:ind w:firstLine="480"/>
      </w:pPr>
      <w:bookmarkStart w:id="195" w:name="_Toc26546"/>
      <w:bookmarkStart w:id="196" w:name="_Toc2318"/>
      <w:r>
        <w:rPr>
          <w:rFonts w:hint="eastAsia"/>
        </w:rPr>
        <w:t>由上表可见，在同样路面清洁程度条件下，车速越快，扬尘量越大；而在同样车速情况下，路面越脏，则扬尘量越大。因此，限速行驶及保持路面的清洁是减少汽车扬尘的有效手段。</w:t>
      </w:r>
      <w:bookmarkEnd w:id="195"/>
      <w:bookmarkEnd w:id="196"/>
      <w:bookmarkStart w:id="197" w:name="_Toc4978"/>
      <w:bookmarkStart w:id="198" w:name="_Toc22597"/>
    </w:p>
    <w:p>
      <w:pPr>
        <w:ind w:firstLine="480"/>
      </w:pPr>
      <w:r>
        <w:rPr>
          <w:rFonts w:hint="eastAsia"/>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bookmarkEnd w:id="197"/>
      <w:bookmarkEnd w:id="198"/>
    </w:p>
    <w:p>
      <w:pPr>
        <w:ind w:firstLine="480"/>
      </w:pPr>
      <w:r>
        <w:rPr>
          <w:rFonts w:hint="eastAsia"/>
        </w:rPr>
        <w:object>
          <v:shape id="_x0000_i1028" o:spt="75" type="#_x0000_t75" style="height:22pt;width:144pt;" o:ole="t" filled="f" o:preferrelative="t" stroked="f" coordsize="21600,21600">
            <v:path/>
            <v:fill on="f" focussize="0,0"/>
            <v:stroke on="f" joinstyle="miter"/>
            <v:imagedata r:id="rId38" o:title=""/>
            <o:lock v:ext="edit" aspectratio="t"/>
            <w10:wrap type="none"/>
            <w10:anchorlock/>
          </v:shape>
          <o:OLEObject Type="Embed" ProgID="Equation.3" ShapeID="_x0000_i1028" DrawAspect="Content" ObjectID="_1468075728" r:id="rId37">
            <o:LockedField>false</o:LockedField>
          </o:OLEObject>
        </w:object>
      </w:r>
    </w:p>
    <w:p>
      <w:pPr>
        <w:ind w:firstLine="480"/>
      </w:pPr>
      <w:r>
        <w:rPr>
          <w:rFonts w:hint="eastAsia"/>
        </w:rPr>
        <w:t>其中：</w:t>
      </w:r>
      <w:r>
        <w:t>Q──</w:t>
      </w:r>
      <w:r>
        <w:rPr>
          <w:rFonts w:hint="eastAsia"/>
        </w:rPr>
        <w:t>起尘量，</w:t>
      </w:r>
      <w:r>
        <w:t>kg/t·a</w:t>
      </w:r>
      <w:r>
        <w:rPr>
          <w:rFonts w:hint="eastAsia"/>
        </w:rPr>
        <w:t>；</w:t>
      </w:r>
    </w:p>
    <w:p>
      <w:pPr>
        <w:ind w:firstLine="480"/>
      </w:pPr>
      <w:r>
        <w:t>V50──</w:t>
      </w:r>
      <w:r>
        <w:rPr>
          <w:rFonts w:hint="eastAsia"/>
        </w:rPr>
        <w:t>距地面</w:t>
      </w:r>
      <w:r>
        <w:t>50 m</w:t>
      </w:r>
      <w:r>
        <w:rPr>
          <w:rFonts w:hint="eastAsia"/>
        </w:rPr>
        <w:t>处风速，</w:t>
      </w:r>
      <w:r>
        <w:t>m/s</w:t>
      </w:r>
      <w:r>
        <w:rPr>
          <w:rFonts w:hint="eastAsia"/>
        </w:rPr>
        <w:t>；</w:t>
      </w:r>
    </w:p>
    <w:p>
      <w:pPr>
        <w:ind w:firstLine="480"/>
      </w:pPr>
      <w:r>
        <w:t>V0──</w:t>
      </w:r>
      <w:r>
        <w:rPr>
          <w:rFonts w:hint="eastAsia"/>
        </w:rPr>
        <w:t>起尘风速，</w:t>
      </w:r>
      <w:r>
        <w:t>m/s</w:t>
      </w:r>
      <w:r>
        <w:rPr>
          <w:rFonts w:hint="eastAsia"/>
        </w:rPr>
        <w:t>；</w:t>
      </w:r>
    </w:p>
    <w:p>
      <w:pPr>
        <w:ind w:firstLine="480"/>
      </w:pPr>
      <w:r>
        <w:t>W──</w:t>
      </w:r>
      <w:r>
        <w:rPr>
          <w:rFonts w:hint="eastAsia"/>
        </w:rPr>
        <w:t>尘粒的含水率，</w:t>
      </w:r>
      <w:r>
        <w:t>%</w:t>
      </w:r>
      <w:r>
        <w:rPr>
          <w:rFonts w:hint="eastAsia"/>
        </w:rPr>
        <w:t>。</w:t>
      </w:r>
    </w:p>
    <w:p>
      <w:pPr>
        <w:ind w:firstLine="480"/>
      </w:pPr>
      <w:r>
        <w:t>V0</w:t>
      </w:r>
      <w:r>
        <w:rPr>
          <w:rFonts w:hint="eastAsia"/>
        </w:rPr>
        <w:t>与粒径和含水率有关。因此，减少露天堆放和保证一定的含水率及减少裸露地面是减少风力起尘的有效手段。</w:t>
      </w:r>
    </w:p>
    <w:p>
      <w:pPr>
        <w:ind w:firstLine="480"/>
      </w:pPr>
      <w:r>
        <w:rPr>
          <w:rFonts w:hint="eastAsia"/>
        </w:rPr>
        <w:t>尘粒在空气中的传播扩散情况与风速等气象条件有关，也与尘粒本身的沉降速度有关。以煤尘为例，不同粒径的尘粒的沉降速度见表4.1</w:t>
      </w:r>
      <w:r>
        <w:t>-3</w:t>
      </w:r>
      <w:r>
        <w:rPr>
          <w:rFonts w:hint="eastAsia"/>
        </w:rPr>
        <w:t>。</w:t>
      </w:r>
    </w:p>
    <w:p>
      <w:pPr>
        <w:pStyle w:val="11"/>
      </w:pPr>
      <w:r>
        <w:t xml:space="preserve">表4.1- </w:t>
      </w:r>
      <w:r>
        <w:fldChar w:fldCharType="begin"/>
      </w:r>
      <w:r>
        <w:instrText xml:space="preserve"> SEQ 表4.1- \* ARABIC </w:instrText>
      </w:r>
      <w:r>
        <w:fldChar w:fldCharType="separate"/>
      </w:r>
      <w:r>
        <w:t>3</w:t>
      </w:r>
      <w:r>
        <w:fldChar w:fldCharType="end"/>
      </w:r>
      <w:r>
        <w:rPr>
          <w:rFonts w:hint="eastAsia"/>
        </w:rPr>
        <w:t xml:space="preserve">  不同粒径尘粒的沉降速度</w:t>
      </w:r>
    </w:p>
    <w:tbl>
      <w:tblPr>
        <w:tblStyle w:val="21"/>
        <w:tblW w:w="873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15"/>
        <w:gridCol w:w="946"/>
        <w:gridCol w:w="947"/>
        <w:gridCol w:w="946"/>
        <w:gridCol w:w="947"/>
        <w:gridCol w:w="946"/>
        <w:gridCol w:w="947"/>
        <w:gridCol w:w="9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2115" w:type="dxa"/>
            <w:vAlign w:val="center"/>
          </w:tcPr>
          <w:p>
            <w:pPr>
              <w:pStyle w:val="8"/>
              <w:ind w:firstLine="0" w:firstLineChars="0"/>
            </w:pPr>
            <w:r>
              <w:rPr>
                <w:rFonts w:hint="eastAsia"/>
              </w:rPr>
              <w:t>粒径，</w:t>
            </w:r>
            <w:r>
              <w:t>μm</w:t>
            </w:r>
          </w:p>
        </w:tc>
        <w:tc>
          <w:tcPr>
            <w:tcW w:w="946" w:type="dxa"/>
            <w:vAlign w:val="center"/>
          </w:tcPr>
          <w:p>
            <w:pPr>
              <w:pStyle w:val="8"/>
              <w:ind w:firstLine="0" w:firstLineChars="0"/>
            </w:pPr>
            <w:r>
              <w:t>10</w:t>
            </w:r>
          </w:p>
        </w:tc>
        <w:tc>
          <w:tcPr>
            <w:tcW w:w="947" w:type="dxa"/>
            <w:vAlign w:val="center"/>
          </w:tcPr>
          <w:p>
            <w:pPr>
              <w:pStyle w:val="8"/>
              <w:ind w:firstLine="0" w:firstLineChars="0"/>
            </w:pPr>
            <w:r>
              <w:t>20</w:t>
            </w:r>
          </w:p>
        </w:tc>
        <w:tc>
          <w:tcPr>
            <w:tcW w:w="946" w:type="dxa"/>
            <w:vAlign w:val="center"/>
          </w:tcPr>
          <w:p>
            <w:pPr>
              <w:pStyle w:val="8"/>
              <w:ind w:firstLine="0" w:firstLineChars="0"/>
            </w:pPr>
            <w:r>
              <w:t>30</w:t>
            </w:r>
          </w:p>
        </w:tc>
        <w:tc>
          <w:tcPr>
            <w:tcW w:w="947" w:type="dxa"/>
            <w:vAlign w:val="center"/>
          </w:tcPr>
          <w:p>
            <w:pPr>
              <w:pStyle w:val="8"/>
              <w:ind w:firstLine="0" w:firstLineChars="0"/>
            </w:pPr>
            <w:r>
              <w:t>40</w:t>
            </w:r>
          </w:p>
        </w:tc>
        <w:tc>
          <w:tcPr>
            <w:tcW w:w="946" w:type="dxa"/>
            <w:vAlign w:val="center"/>
          </w:tcPr>
          <w:p>
            <w:pPr>
              <w:pStyle w:val="8"/>
              <w:ind w:firstLine="0" w:firstLineChars="0"/>
            </w:pPr>
            <w:r>
              <w:t>50</w:t>
            </w:r>
          </w:p>
        </w:tc>
        <w:tc>
          <w:tcPr>
            <w:tcW w:w="947" w:type="dxa"/>
            <w:vAlign w:val="center"/>
          </w:tcPr>
          <w:p>
            <w:pPr>
              <w:pStyle w:val="8"/>
              <w:ind w:firstLine="0" w:firstLineChars="0"/>
            </w:pPr>
            <w:r>
              <w:t>60</w:t>
            </w:r>
          </w:p>
        </w:tc>
        <w:tc>
          <w:tcPr>
            <w:tcW w:w="939" w:type="dxa"/>
            <w:vAlign w:val="center"/>
          </w:tcPr>
          <w:p>
            <w:pPr>
              <w:pStyle w:val="8"/>
              <w:ind w:firstLine="0" w:firstLineChars="0"/>
            </w:pPr>
            <w: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2115" w:type="dxa"/>
            <w:vAlign w:val="center"/>
          </w:tcPr>
          <w:p>
            <w:pPr>
              <w:pStyle w:val="8"/>
              <w:ind w:firstLine="0" w:firstLineChars="0"/>
            </w:pPr>
            <w:r>
              <w:rPr>
                <w:rFonts w:hint="eastAsia"/>
              </w:rPr>
              <w:t>沉降速度，</w:t>
            </w:r>
            <w:r>
              <w:t>m/s</w:t>
            </w:r>
          </w:p>
        </w:tc>
        <w:tc>
          <w:tcPr>
            <w:tcW w:w="946" w:type="dxa"/>
            <w:vAlign w:val="center"/>
          </w:tcPr>
          <w:p>
            <w:pPr>
              <w:pStyle w:val="8"/>
              <w:ind w:firstLine="0" w:firstLineChars="0"/>
            </w:pPr>
            <w:r>
              <w:t>0.003</w:t>
            </w:r>
          </w:p>
        </w:tc>
        <w:tc>
          <w:tcPr>
            <w:tcW w:w="947" w:type="dxa"/>
            <w:vAlign w:val="center"/>
          </w:tcPr>
          <w:p>
            <w:pPr>
              <w:pStyle w:val="8"/>
              <w:ind w:firstLine="0" w:firstLineChars="0"/>
            </w:pPr>
            <w:r>
              <w:t>0.012</w:t>
            </w:r>
          </w:p>
        </w:tc>
        <w:tc>
          <w:tcPr>
            <w:tcW w:w="946" w:type="dxa"/>
            <w:vAlign w:val="center"/>
          </w:tcPr>
          <w:p>
            <w:pPr>
              <w:pStyle w:val="8"/>
              <w:ind w:firstLine="0" w:firstLineChars="0"/>
            </w:pPr>
            <w:r>
              <w:t>0.027</w:t>
            </w:r>
          </w:p>
        </w:tc>
        <w:tc>
          <w:tcPr>
            <w:tcW w:w="947" w:type="dxa"/>
            <w:vAlign w:val="center"/>
          </w:tcPr>
          <w:p>
            <w:pPr>
              <w:pStyle w:val="8"/>
              <w:ind w:firstLine="0" w:firstLineChars="0"/>
            </w:pPr>
            <w:r>
              <w:t>0.048</w:t>
            </w:r>
          </w:p>
        </w:tc>
        <w:tc>
          <w:tcPr>
            <w:tcW w:w="946" w:type="dxa"/>
            <w:vAlign w:val="center"/>
          </w:tcPr>
          <w:p>
            <w:pPr>
              <w:pStyle w:val="8"/>
              <w:ind w:firstLine="0" w:firstLineChars="0"/>
            </w:pPr>
            <w:r>
              <w:t>0.075</w:t>
            </w:r>
          </w:p>
        </w:tc>
        <w:tc>
          <w:tcPr>
            <w:tcW w:w="947" w:type="dxa"/>
            <w:vAlign w:val="center"/>
          </w:tcPr>
          <w:p>
            <w:pPr>
              <w:pStyle w:val="8"/>
              <w:ind w:firstLine="0" w:firstLineChars="0"/>
            </w:pPr>
            <w:r>
              <w:t>0.108</w:t>
            </w:r>
          </w:p>
        </w:tc>
        <w:tc>
          <w:tcPr>
            <w:tcW w:w="939" w:type="dxa"/>
            <w:vAlign w:val="center"/>
          </w:tcPr>
          <w:p>
            <w:pPr>
              <w:pStyle w:val="8"/>
              <w:ind w:firstLine="0" w:firstLineChars="0"/>
            </w:pPr>
            <w:r>
              <w:t>0.147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2115" w:type="dxa"/>
            <w:vAlign w:val="center"/>
          </w:tcPr>
          <w:p>
            <w:pPr>
              <w:pStyle w:val="8"/>
              <w:ind w:firstLine="0" w:firstLineChars="0"/>
            </w:pPr>
            <w:r>
              <w:rPr>
                <w:rFonts w:hint="eastAsia"/>
              </w:rPr>
              <w:t>粒径，</w:t>
            </w:r>
            <w:r>
              <w:t>μm</w:t>
            </w:r>
          </w:p>
        </w:tc>
        <w:tc>
          <w:tcPr>
            <w:tcW w:w="946" w:type="dxa"/>
            <w:vAlign w:val="center"/>
          </w:tcPr>
          <w:p>
            <w:pPr>
              <w:pStyle w:val="8"/>
              <w:ind w:firstLine="0" w:firstLineChars="0"/>
            </w:pPr>
            <w:r>
              <w:t>80</w:t>
            </w:r>
          </w:p>
        </w:tc>
        <w:tc>
          <w:tcPr>
            <w:tcW w:w="947" w:type="dxa"/>
            <w:vAlign w:val="center"/>
          </w:tcPr>
          <w:p>
            <w:pPr>
              <w:pStyle w:val="8"/>
              <w:ind w:firstLine="0" w:firstLineChars="0"/>
            </w:pPr>
            <w:r>
              <w:t>90</w:t>
            </w:r>
          </w:p>
        </w:tc>
        <w:tc>
          <w:tcPr>
            <w:tcW w:w="946" w:type="dxa"/>
            <w:vAlign w:val="center"/>
          </w:tcPr>
          <w:p>
            <w:pPr>
              <w:pStyle w:val="8"/>
              <w:ind w:firstLine="0" w:firstLineChars="0"/>
            </w:pPr>
            <w:r>
              <w:t>100</w:t>
            </w:r>
          </w:p>
        </w:tc>
        <w:tc>
          <w:tcPr>
            <w:tcW w:w="947" w:type="dxa"/>
            <w:vAlign w:val="center"/>
          </w:tcPr>
          <w:p>
            <w:pPr>
              <w:pStyle w:val="8"/>
              <w:ind w:firstLine="0" w:firstLineChars="0"/>
            </w:pPr>
            <w:r>
              <w:t>150</w:t>
            </w:r>
          </w:p>
        </w:tc>
        <w:tc>
          <w:tcPr>
            <w:tcW w:w="946" w:type="dxa"/>
            <w:vAlign w:val="center"/>
          </w:tcPr>
          <w:p>
            <w:pPr>
              <w:pStyle w:val="8"/>
              <w:ind w:firstLine="0" w:firstLineChars="0"/>
            </w:pPr>
            <w:r>
              <w:t>200</w:t>
            </w:r>
          </w:p>
        </w:tc>
        <w:tc>
          <w:tcPr>
            <w:tcW w:w="947" w:type="dxa"/>
            <w:vAlign w:val="center"/>
          </w:tcPr>
          <w:p>
            <w:pPr>
              <w:pStyle w:val="8"/>
              <w:ind w:firstLine="0" w:firstLineChars="0"/>
            </w:pPr>
            <w:r>
              <w:t>250</w:t>
            </w:r>
          </w:p>
        </w:tc>
        <w:tc>
          <w:tcPr>
            <w:tcW w:w="939" w:type="dxa"/>
            <w:vAlign w:val="center"/>
          </w:tcPr>
          <w:p>
            <w:pPr>
              <w:pStyle w:val="8"/>
              <w:ind w:firstLine="0" w:firstLineChars="0"/>
            </w:pPr>
            <w: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2115" w:type="dxa"/>
            <w:vAlign w:val="center"/>
          </w:tcPr>
          <w:p>
            <w:pPr>
              <w:pStyle w:val="8"/>
              <w:ind w:firstLine="0" w:firstLineChars="0"/>
            </w:pPr>
            <w:r>
              <w:rPr>
                <w:rFonts w:hint="eastAsia"/>
              </w:rPr>
              <w:t>沉降速度，</w:t>
            </w:r>
            <w:r>
              <w:t>m/s</w:t>
            </w:r>
          </w:p>
        </w:tc>
        <w:tc>
          <w:tcPr>
            <w:tcW w:w="946" w:type="dxa"/>
            <w:vAlign w:val="center"/>
          </w:tcPr>
          <w:p>
            <w:pPr>
              <w:pStyle w:val="8"/>
              <w:ind w:firstLine="0" w:firstLineChars="0"/>
            </w:pPr>
            <w:r>
              <w:t>0.158</w:t>
            </w:r>
          </w:p>
        </w:tc>
        <w:tc>
          <w:tcPr>
            <w:tcW w:w="947" w:type="dxa"/>
            <w:vAlign w:val="center"/>
          </w:tcPr>
          <w:p>
            <w:pPr>
              <w:pStyle w:val="8"/>
              <w:ind w:firstLine="0" w:firstLineChars="0"/>
            </w:pPr>
            <w:r>
              <w:t>0.170</w:t>
            </w:r>
          </w:p>
        </w:tc>
        <w:tc>
          <w:tcPr>
            <w:tcW w:w="946" w:type="dxa"/>
            <w:vAlign w:val="center"/>
          </w:tcPr>
          <w:p>
            <w:pPr>
              <w:pStyle w:val="8"/>
              <w:ind w:firstLine="0" w:firstLineChars="0"/>
            </w:pPr>
            <w:r>
              <w:t>0.182</w:t>
            </w:r>
          </w:p>
        </w:tc>
        <w:tc>
          <w:tcPr>
            <w:tcW w:w="947" w:type="dxa"/>
            <w:vAlign w:val="center"/>
          </w:tcPr>
          <w:p>
            <w:pPr>
              <w:pStyle w:val="8"/>
              <w:ind w:firstLine="0" w:firstLineChars="0"/>
            </w:pPr>
            <w:r>
              <w:t>0.239</w:t>
            </w:r>
          </w:p>
        </w:tc>
        <w:tc>
          <w:tcPr>
            <w:tcW w:w="946" w:type="dxa"/>
            <w:vAlign w:val="center"/>
          </w:tcPr>
          <w:p>
            <w:pPr>
              <w:pStyle w:val="8"/>
              <w:ind w:firstLine="0" w:firstLineChars="0"/>
            </w:pPr>
            <w:r>
              <w:t>0.804</w:t>
            </w:r>
          </w:p>
        </w:tc>
        <w:tc>
          <w:tcPr>
            <w:tcW w:w="947" w:type="dxa"/>
            <w:vAlign w:val="center"/>
          </w:tcPr>
          <w:p>
            <w:pPr>
              <w:pStyle w:val="8"/>
              <w:ind w:firstLine="0" w:firstLineChars="0"/>
            </w:pPr>
            <w:r>
              <w:t>1.005</w:t>
            </w:r>
          </w:p>
        </w:tc>
        <w:tc>
          <w:tcPr>
            <w:tcW w:w="939" w:type="dxa"/>
            <w:vAlign w:val="center"/>
          </w:tcPr>
          <w:p>
            <w:pPr>
              <w:pStyle w:val="8"/>
              <w:ind w:firstLine="0" w:firstLineChars="0"/>
            </w:pPr>
            <w:r>
              <w:t>1.829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2115" w:type="dxa"/>
            <w:vAlign w:val="center"/>
          </w:tcPr>
          <w:p>
            <w:pPr>
              <w:pStyle w:val="8"/>
              <w:ind w:firstLine="0" w:firstLineChars="0"/>
            </w:pPr>
            <w:r>
              <w:rPr>
                <w:rFonts w:hint="eastAsia"/>
              </w:rPr>
              <w:t>粒径，</w:t>
            </w:r>
            <w:r>
              <w:t>μm</w:t>
            </w:r>
          </w:p>
        </w:tc>
        <w:tc>
          <w:tcPr>
            <w:tcW w:w="946" w:type="dxa"/>
            <w:vAlign w:val="center"/>
          </w:tcPr>
          <w:p>
            <w:pPr>
              <w:pStyle w:val="8"/>
              <w:ind w:firstLine="0" w:firstLineChars="0"/>
            </w:pPr>
            <w:r>
              <w:t>450</w:t>
            </w:r>
          </w:p>
        </w:tc>
        <w:tc>
          <w:tcPr>
            <w:tcW w:w="947" w:type="dxa"/>
            <w:vAlign w:val="center"/>
          </w:tcPr>
          <w:p>
            <w:pPr>
              <w:pStyle w:val="8"/>
              <w:ind w:firstLine="0" w:firstLineChars="0"/>
            </w:pPr>
            <w:r>
              <w:t>550</w:t>
            </w:r>
          </w:p>
        </w:tc>
        <w:tc>
          <w:tcPr>
            <w:tcW w:w="946" w:type="dxa"/>
            <w:vAlign w:val="center"/>
          </w:tcPr>
          <w:p>
            <w:pPr>
              <w:pStyle w:val="8"/>
              <w:ind w:firstLine="0" w:firstLineChars="0"/>
            </w:pPr>
            <w:r>
              <w:t>650</w:t>
            </w:r>
          </w:p>
        </w:tc>
        <w:tc>
          <w:tcPr>
            <w:tcW w:w="947" w:type="dxa"/>
            <w:vAlign w:val="center"/>
          </w:tcPr>
          <w:p>
            <w:pPr>
              <w:pStyle w:val="8"/>
              <w:ind w:firstLine="0" w:firstLineChars="0"/>
            </w:pPr>
            <w:r>
              <w:t>750</w:t>
            </w:r>
          </w:p>
        </w:tc>
        <w:tc>
          <w:tcPr>
            <w:tcW w:w="946" w:type="dxa"/>
            <w:vAlign w:val="center"/>
          </w:tcPr>
          <w:p>
            <w:pPr>
              <w:pStyle w:val="8"/>
              <w:ind w:firstLine="0" w:firstLineChars="0"/>
            </w:pPr>
            <w:r>
              <w:t>850</w:t>
            </w:r>
          </w:p>
        </w:tc>
        <w:tc>
          <w:tcPr>
            <w:tcW w:w="947" w:type="dxa"/>
            <w:vAlign w:val="center"/>
          </w:tcPr>
          <w:p>
            <w:pPr>
              <w:pStyle w:val="8"/>
              <w:ind w:firstLine="0" w:firstLineChars="0"/>
            </w:pPr>
            <w:r>
              <w:t>950</w:t>
            </w:r>
          </w:p>
        </w:tc>
        <w:tc>
          <w:tcPr>
            <w:tcW w:w="939" w:type="dxa"/>
            <w:vAlign w:val="center"/>
          </w:tcPr>
          <w:p>
            <w:pPr>
              <w:pStyle w:val="8"/>
              <w:ind w:firstLine="0" w:firstLineChars="0"/>
            </w:pPr>
            <w: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2115" w:type="dxa"/>
            <w:vAlign w:val="center"/>
          </w:tcPr>
          <w:p>
            <w:pPr>
              <w:pStyle w:val="8"/>
              <w:ind w:firstLine="0" w:firstLineChars="0"/>
            </w:pPr>
            <w:r>
              <w:rPr>
                <w:rFonts w:hint="eastAsia"/>
              </w:rPr>
              <w:t>沉降速度，</w:t>
            </w:r>
            <w:r>
              <w:t>m/s</w:t>
            </w:r>
          </w:p>
        </w:tc>
        <w:tc>
          <w:tcPr>
            <w:tcW w:w="946" w:type="dxa"/>
            <w:vAlign w:val="center"/>
          </w:tcPr>
          <w:p>
            <w:pPr>
              <w:pStyle w:val="8"/>
              <w:ind w:firstLine="0" w:firstLineChars="0"/>
            </w:pPr>
            <w:r>
              <w:t>2.211</w:t>
            </w:r>
          </w:p>
        </w:tc>
        <w:tc>
          <w:tcPr>
            <w:tcW w:w="947" w:type="dxa"/>
            <w:vAlign w:val="center"/>
          </w:tcPr>
          <w:p>
            <w:pPr>
              <w:pStyle w:val="8"/>
              <w:ind w:firstLine="0" w:firstLineChars="0"/>
            </w:pPr>
            <w:r>
              <w:t>2.614</w:t>
            </w:r>
          </w:p>
        </w:tc>
        <w:tc>
          <w:tcPr>
            <w:tcW w:w="946" w:type="dxa"/>
            <w:vAlign w:val="center"/>
          </w:tcPr>
          <w:p>
            <w:pPr>
              <w:pStyle w:val="8"/>
              <w:ind w:firstLine="0" w:firstLineChars="0"/>
            </w:pPr>
            <w:r>
              <w:t>3.016</w:t>
            </w:r>
          </w:p>
        </w:tc>
        <w:tc>
          <w:tcPr>
            <w:tcW w:w="947" w:type="dxa"/>
            <w:vAlign w:val="center"/>
          </w:tcPr>
          <w:p>
            <w:pPr>
              <w:pStyle w:val="8"/>
              <w:ind w:firstLine="0" w:firstLineChars="0"/>
            </w:pPr>
            <w:r>
              <w:t>3.418</w:t>
            </w:r>
          </w:p>
        </w:tc>
        <w:tc>
          <w:tcPr>
            <w:tcW w:w="946" w:type="dxa"/>
            <w:vAlign w:val="center"/>
          </w:tcPr>
          <w:p>
            <w:pPr>
              <w:pStyle w:val="8"/>
              <w:ind w:firstLine="0" w:firstLineChars="0"/>
            </w:pPr>
            <w:r>
              <w:t>3.820</w:t>
            </w:r>
          </w:p>
        </w:tc>
        <w:tc>
          <w:tcPr>
            <w:tcW w:w="947" w:type="dxa"/>
            <w:vAlign w:val="center"/>
          </w:tcPr>
          <w:p>
            <w:pPr>
              <w:pStyle w:val="8"/>
              <w:ind w:firstLine="0" w:firstLineChars="0"/>
            </w:pPr>
            <w:r>
              <w:t>4.222</w:t>
            </w:r>
          </w:p>
        </w:tc>
        <w:tc>
          <w:tcPr>
            <w:tcW w:w="939" w:type="dxa"/>
            <w:vAlign w:val="center"/>
          </w:tcPr>
          <w:p>
            <w:pPr>
              <w:pStyle w:val="8"/>
              <w:ind w:firstLine="0" w:firstLineChars="0"/>
            </w:pPr>
            <w:r>
              <w:t>4.624</w:t>
            </w:r>
          </w:p>
        </w:tc>
      </w:tr>
    </w:tbl>
    <w:p>
      <w:pPr>
        <w:spacing w:before="156" w:beforeLines="50"/>
        <w:ind w:firstLine="480"/>
      </w:pPr>
      <w:bookmarkStart w:id="199" w:name="_Toc4366"/>
      <w:bookmarkStart w:id="200" w:name="_Toc27245"/>
      <w:r>
        <w:rPr>
          <w:rFonts w:hint="eastAsia"/>
        </w:rPr>
        <w:t>由上表可知，尘粒在空气中的传播扩散情况与风速等气象条件有关，也与尘粒本身的沉降速度有关。以沙尘土为例，其沉降速度随粒径的增大而迅速增大。当粒径为</w:t>
      </w:r>
      <w:r>
        <w:t>250</w:t>
      </w:r>
      <w:r>
        <w:rPr>
          <w:rFonts w:hint="eastAsia"/>
        </w:rPr>
        <w:t>微米时，沉降速度为</w:t>
      </w:r>
      <w:r>
        <w:t>1.005m/s</w:t>
      </w:r>
      <w:r>
        <w:rPr>
          <w:rFonts w:hint="eastAsia"/>
        </w:rPr>
        <w:t>，因此当尘粒大于</w:t>
      </w:r>
      <w:r>
        <w:t>250</w:t>
      </w:r>
      <w:r>
        <w:rPr>
          <w:rFonts w:hint="eastAsia"/>
        </w:rPr>
        <w:t>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止措施，以减少施工扬尘对周围环境的影响。</w:t>
      </w:r>
      <w:bookmarkEnd w:id="199"/>
      <w:bookmarkEnd w:id="200"/>
    </w:p>
    <w:p>
      <w:pPr>
        <w:ind w:firstLine="480"/>
      </w:pPr>
      <w:bookmarkStart w:id="201" w:name="_Toc3549"/>
      <w:bookmarkStart w:id="202" w:name="_Toc26357"/>
      <w:r>
        <w:rPr>
          <w:rFonts w:hint="eastAsia"/>
        </w:rPr>
        <w:t>按照要求，建设工程工地应在项目四周周边设置不低于</w:t>
      </w:r>
      <w:r>
        <w:t>2.1</w:t>
      </w:r>
      <w:r>
        <w:rPr>
          <w:rFonts w:hint="eastAsia"/>
        </w:rPr>
        <w:t>米的遮挡围护设施。施工道路必须硬化，工地出入口</w:t>
      </w:r>
      <w:r>
        <w:t>5</w:t>
      </w:r>
      <w:r>
        <w:rPr>
          <w:rFonts w:hint="eastAsia"/>
        </w:rPr>
        <w:t>米内应用砼硬化，出口处硬化路面不小于出口宽度，出入口内侧必须安装专用运输车辆轮胎清洗设备及相应的排水和泥浆沉淀设施，将车辆槽帮和车轮冲洗干净，并保持出入口通道以及出入口通道两侧</w:t>
      </w:r>
      <w:r>
        <w:t>50</w:t>
      </w:r>
      <w:r>
        <w:rPr>
          <w:rFonts w:hint="eastAsia"/>
        </w:rPr>
        <w:t>米道路的整洁。</w:t>
      </w:r>
      <w:bookmarkEnd w:id="201"/>
      <w:bookmarkEnd w:id="202"/>
    </w:p>
    <w:p>
      <w:pPr>
        <w:ind w:firstLine="480"/>
      </w:pPr>
      <w:bookmarkStart w:id="203" w:name="_Toc295"/>
      <w:bookmarkStart w:id="204" w:name="_Toc3552"/>
      <w:r>
        <w:rPr>
          <w:rFonts w:hint="eastAsia"/>
        </w:rPr>
        <w:t>建筑工地施工过程必须设置密目网，防止和减少建筑施工过程中物料、渣土外逸，粉尘飞扬及废弃物、杂物飘散。土堆、料堆要有遮盖或喷洒覆盖剂；装卸渣土严禁凌空抛散；要指定专人清扫工地路面；高处工程垃圾必须用容器垂直清运，严禁凌空抛撒及乱倒乱卸；禁止现场进行消化石灰、拌石灰土或其他有严重粉尘污染的作业。</w:t>
      </w:r>
      <w:bookmarkEnd w:id="203"/>
      <w:bookmarkEnd w:id="204"/>
    </w:p>
    <w:p>
      <w:pPr>
        <w:ind w:firstLine="480"/>
      </w:pPr>
      <w:bookmarkStart w:id="205" w:name="_Toc9907"/>
      <w:bookmarkStart w:id="206" w:name="_Toc1697"/>
      <w:r>
        <w:rPr>
          <w:rFonts w:hint="eastAsia"/>
        </w:rPr>
        <w:t>建筑工地扫尾阶段，房内清扫出的垃圾必须装袋清运；外架拆除必须先用水喷洒后拆除，避免粉尘飞扬。</w:t>
      </w:r>
      <w:bookmarkEnd w:id="205"/>
      <w:bookmarkEnd w:id="206"/>
    </w:p>
    <w:p>
      <w:pPr>
        <w:ind w:firstLine="480"/>
      </w:pPr>
      <w:bookmarkStart w:id="207" w:name="_Toc12207"/>
      <w:bookmarkStart w:id="208" w:name="_Toc23829"/>
      <w:r>
        <w:rPr>
          <w:rFonts w:hint="eastAsia"/>
        </w:rPr>
        <w:t>要尽可能减少运输车辆进出的出入口数量，及时清运施工弃土，不能及时清运的，必须采取覆盖措施，严禁在人行道、车行道和施工范围外堆放施工弃土。对道路施工同步通行机动车辆的临时道路必须进行硬化处理，并制定洒水清扫制度，配备洒水设备及指定专人负责洒水和清扫，每天清扫洒水频次不少于</w:t>
      </w:r>
      <w:r>
        <w:t>4</w:t>
      </w:r>
      <w:r>
        <w:rPr>
          <w:rFonts w:hint="eastAsia"/>
        </w:rPr>
        <w:t>次。</w:t>
      </w:r>
      <w:bookmarkEnd w:id="207"/>
      <w:bookmarkEnd w:id="208"/>
    </w:p>
    <w:p>
      <w:pPr>
        <w:ind w:firstLine="480"/>
      </w:pPr>
      <w:bookmarkStart w:id="209" w:name="_Toc9989"/>
      <w:bookmarkStart w:id="210" w:name="_Toc5389"/>
      <w:r>
        <w:rPr>
          <w:rFonts w:hint="eastAsia"/>
        </w:rPr>
        <w:t>严禁运输车辆在装运过程中沿途抛、洒、滴、漏。运输建筑散体物料、垃圾和工程渣土的施工运输车辆驶出施工现场时，装载的垃圾渣土高度不得超过车辆槽帮上沿。零星建筑废土逐步推行袋装转运。</w:t>
      </w:r>
      <w:bookmarkEnd w:id="209"/>
      <w:bookmarkEnd w:id="210"/>
    </w:p>
    <w:p>
      <w:pPr>
        <w:ind w:firstLine="480"/>
      </w:pPr>
      <w:bookmarkStart w:id="211" w:name="_Toc17421"/>
      <w:bookmarkStart w:id="212" w:name="_Toc20220"/>
      <w:r>
        <w:rPr>
          <w:rFonts w:hint="eastAsia"/>
        </w:rPr>
        <w:t>建设工程施工料具应当按照建设工程施工现场平面布置图确定的位置放置，水泥等易产生扬尘污染的建筑材料应当在库房内存放或严密遮盖。建设工地施工现场应当设置密闭式垃圾站用于存放施工垃圾。</w:t>
      </w:r>
      <w:bookmarkEnd w:id="211"/>
      <w:bookmarkEnd w:id="212"/>
    </w:p>
    <w:p>
      <w:pPr>
        <w:ind w:firstLine="480"/>
      </w:pPr>
      <w:bookmarkStart w:id="213" w:name="_Toc16228"/>
      <w:bookmarkStart w:id="214" w:name="_Toc27345"/>
      <w:r>
        <w:rPr>
          <w:rFonts w:hint="eastAsia"/>
        </w:rPr>
        <w:t>在风速四级以上或连续晴天</w:t>
      </w:r>
      <w:r>
        <w:t>10</w:t>
      </w:r>
      <w:r>
        <w:rPr>
          <w:rFonts w:hint="eastAsia"/>
        </w:rPr>
        <w:t>天以上等易产生扬尘的条件下，建设工程施工应尽量避免土方开挖等作业，并对施工工地采取增加洒水频次等地面保湿措施，防止扬尘飞散。</w:t>
      </w:r>
      <w:bookmarkEnd w:id="213"/>
      <w:bookmarkEnd w:id="214"/>
    </w:p>
    <w:p>
      <w:pPr>
        <w:ind w:firstLine="480"/>
      </w:pPr>
      <w:bookmarkStart w:id="215" w:name="_Toc31044"/>
      <w:bookmarkStart w:id="216" w:name="_Toc13387"/>
      <w:r>
        <w:rPr>
          <w:lang w:val="en-GB"/>
        </w:rPr>
        <w:t>（2）</w:t>
      </w:r>
      <w:r>
        <w:rPr>
          <w:rFonts w:hint="eastAsia"/>
          <w:lang w:val="en-GB"/>
        </w:rPr>
        <w:t>运输车辆及燃油机械设备尾气</w:t>
      </w:r>
    </w:p>
    <w:p>
      <w:pPr>
        <w:ind w:firstLine="480"/>
        <w:rPr>
          <w:lang w:val="en-GB"/>
        </w:rPr>
      </w:pPr>
      <w:r>
        <w:rPr>
          <w:rFonts w:hint="eastAsia"/>
          <w:lang w:val="en-GB"/>
        </w:rPr>
        <w:t>项目建设施工过程中，各种燃油动力机械和运输车辆产生一定量排放的废气和尾气，其产生量较小，属间断性、分散性排放，基本可不考虑其影响。</w:t>
      </w:r>
    </w:p>
    <w:p>
      <w:pPr>
        <w:ind w:firstLine="480"/>
      </w:pPr>
      <w:r>
        <w:rPr>
          <w:rFonts w:hint="eastAsia"/>
        </w:rPr>
        <w:t>综上所述，只要施工队伍严格按照上述所提措施施工，对项目周围环境影响不大。</w:t>
      </w:r>
      <w:bookmarkEnd w:id="215"/>
      <w:bookmarkEnd w:id="216"/>
    </w:p>
    <w:p>
      <w:pPr>
        <w:pStyle w:val="5"/>
        <w:spacing w:before="62" w:after="62"/>
      </w:pPr>
      <w:bookmarkStart w:id="217" w:name="_Toc489916109"/>
      <w:bookmarkStart w:id="218" w:name="_Toc487411805"/>
      <w:bookmarkStart w:id="219" w:name="_Toc28206"/>
      <w:bookmarkStart w:id="220" w:name="_Toc9236"/>
      <w:bookmarkStart w:id="221" w:name="_Toc487411730"/>
      <w:bookmarkStart w:id="222" w:name="_Toc29379"/>
      <w:bookmarkStart w:id="223" w:name="_Toc489916034"/>
      <w:bookmarkStart w:id="224" w:name="_Toc2628"/>
      <w:r>
        <w:rPr>
          <w:rFonts w:hint="eastAsia"/>
        </w:rPr>
        <w:t>4.1.2施工期水污染影响分析</w:t>
      </w:r>
      <w:bookmarkEnd w:id="217"/>
      <w:bookmarkEnd w:id="218"/>
      <w:bookmarkEnd w:id="219"/>
      <w:bookmarkEnd w:id="220"/>
    </w:p>
    <w:p>
      <w:pPr>
        <w:ind w:firstLine="480"/>
      </w:pPr>
      <w:bookmarkStart w:id="225" w:name="_Toc31305"/>
      <w:bookmarkStart w:id="226" w:name="_Toc28467"/>
      <w:r>
        <w:rPr>
          <w:rFonts w:hint="eastAsia"/>
        </w:rPr>
        <w:t>施工期废水主要为建设施工废水和施工人员生活污水。</w:t>
      </w:r>
      <w:r>
        <w:t>建筑施工废水包括施工机械洗涤、施工现场清洗、建筑清洗、混凝土浇筑、养护、冲洗等废水，这部分污水主要污染物为SS和石油类，</w:t>
      </w:r>
      <w:r>
        <w:rPr>
          <w:rFonts w:hint="eastAsia"/>
        </w:rPr>
        <w:t>施工中应严格按照水土保持要求，</w:t>
      </w:r>
      <w:r>
        <w:t>该部分废水经隔油、沉淀池处理后，全部回用于施工场地及道路洒水抑尘。</w:t>
      </w:r>
      <w:r>
        <w:rPr>
          <w:rFonts w:hint="eastAsia"/>
        </w:rPr>
        <w:t>此外，施工机械严格检查，防止油料汇漏进入周边环境。</w:t>
      </w:r>
    </w:p>
    <w:p>
      <w:pPr>
        <w:ind w:firstLine="480"/>
      </w:pPr>
      <w:r>
        <w:t>项目施工人员均为项目周边居民，施工人员均不在场地内食宿。生活污水主要为施工人员如厕废水。</w:t>
      </w:r>
      <w:r>
        <w:rPr>
          <w:rFonts w:hint="eastAsia"/>
        </w:rPr>
        <w:t>建议建设单位应建设临时厕所、化粪池等临时生活设施，生活污水经处理后用于附近种植地施肥灌溉，不外排。</w:t>
      </w:r>
      <w:bookmarkEnd w:id="225"/>
      <w:bookmarkEnd w:id="226"/>
    </w:p>
    <w:p>
      <w:pPr>
        <w:ind w:firstLine="480"/>
      </w:pPr>
      <w:bookmarkStart w:id="227" w:name="_Toc20372"/>
      <w:bookmarkStart w:id="228" w:name="_Toc23287"/>
      <w:r>
        <w:rPr>
          <w:rFonts w:hint="eastAsia"/>
        </w:rPr>
        <w:t>因此，在落实环评提出措施的前提下，项目施工期产生的废水对地表水环境影响较小。</w:t>
      </w:r>
      <w:bookmarkEnd w:id="227"/>
      <w:bookmarkEnd w:id="228"/>
    </w:p>
    <w:p>
      <w:pPr>
        <w:pStyle w:val="5"/>
        <w:spacing w:before="62" w:after="62"/>
      </w:pPr>
      <w:r>
        <w:rPr>
          <w:rFonts w:hint="eastAsia"/>
        </w:rPr>
        <w:t>4.1.3施工期噪声影响分析</w:t>
      </w:r>
      <w:bookmarkEnd w:id="221"/>
      <w:bookmarkEnd w:id="222"/>
      <w:bookmarkEnd w:id="223"/>
      <w:bookmarkEnd w:id="224"/>
    </w:p>
    <w:p>
      <w:pPr>
        <w:ind w:firstLine="480"/>
      </w:pPr>
      <w:bookmarkStart w:id="229" w:name="_Toc10756"/>
      <w:bookmarkStart w:id="230" w:name="_Toc15277"/>
      <w:r>
        <w:rPr>
          <w:rFonts w:hint="eastAsia"/>
        </w:rPr>
        <w:t>施工期噪声主要可分为机械噪声、施工作业噪声、施工车辆噪声。机械噪声主要有施工机械所造成，如挖土机械、打桩机械、升降机等，多为点源；施工作业噪声主要施工建设过程中的一些零星的敲打声、装卸车辆的撞击声、吆喝声等，多为瞬间噪声；施工车辆的噪声属于交通噪声。上述施工噪声中对声环境影响最大的是机械噪声。</w:t>
      </w:r>
      <w:bookmarkEnd w:id="229"/>
      <w:bookmarkEnd w:id="230"/>
    </w:p>
    <w:p>
      <w:pPr>
        <w:ind w:firstLine="480"/>
      </w:pPr>
      <w:bookmarkStart w:id="231" w:name="_Toc3507"/>
      <w:bookmarkStart w:id="232" w:name="_Toc28133"/>
      <w:r>
        <w:rPr>
          <w:rFonts w:hint="eastAsia"/>
        </w:rPr>
        <w:t>表4.1</w:t>
      </w:r>
      <w:r>
        <w:t>-4</w:t>
      </w:r>
      <w:r>
        <w:rPr>
          <w:rFonts w:hint="eastAsia"/>
        </w:rPr>
        <w:t>为根据资料所得的不同施工机械的噪声源强。在多台机械设备同时作业时，各台设备产生的噪声会产生叠加，根据类比调查，叠加后的噪声增值约为</w:t>
      </w:r>
      <w:r>
        <w:t>3~8dB</w:t>
      </w:r>
      <w:r>
        <w:rPr>
          <w:rFonts w:hint="eastAsia"/>
        </w:rPr>
        <w:t>。在这类施工机械中，静压式打桩机和钻孔式灌注机较高，在</w:t>
      </w:r>
      <w:r>
        <w:t>80dB</w:t>
      </w:r>
      <w:r>
        <w:rPr>
          <w:rFonts w:hint="eastAsia"/>
        </w:rPr>
        <w:t>以上，且属于节奏的起伏声，很令人厌恶。</w:t>
      </w:r>
      <w:bookmarkEnd w:id="231"/>
      <w:bookmarkEnd w:id="232"/>
    </w:p>
    <w:p>
      <w:pPr>
        <w:pStyle w:val="11"/>
      </w:pPr>
      <w:bookmarkStart w:id="233" w:name="_Toc489916035"/>
      <w:bookmarkStart w:id="234" w:name="_Toc21636"/>
      <w:bookmarkStart w:id="235" w:name="_Toc21514"/>
      <w:bookmarkStart w:id="236" w:name="_Toc487411731"/>
      <w:r>
        <w:t xml:space="preserve">表4.1- </w:t>
      </w:r>
      <w:r>
        <w:fldChar w:fldCharType="begin"/>
      </w:r>
      <w:r>
        <w:instrText xml:space="preserve"> SEQ 表4.1- \* ARABIC </w:instrText>
      </w:r>
      <w:r>
        <w:fldChar w:fldCharType="separate"/>
      </w:r>
      <w:r>
        <w:t>4</w:t>
      </w:r>
      <w:r>
        <w:fldChar w:fldCharType="end"/>
      </w:r>
      <w:r>
        <w:rPr>
          <w:rFonts w:hint="eastAsia"/>
        </w:rPr>
        <w:t xml:space="preserve">   </w:t>
      </w:r>
      <w:r>
        <w:t xml:space="preserve"> </w:t>
      </w:r>
      <w:r>
        <w:rPr>
          <w:rFonts w:hint="eastAsia"/>
        </w:rPr>
        <w:t>主要施工机械设备的噪声声级</w:t>
      </w:r>
    </w:p>
    <w:tbl>
      <w:tblPr>
        <w:tblStyle w:val="21"/>
        <w:tblW w:w="873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85"/>
        <w:gridCol w:w="2185"/>
        <w:gridCol w:w="2184"/>
        <w:gridCol w:w="21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2185" w:type="dxa"/>
            <w:vAlign w:val="center"/>
          </w:tcPr>
          <w:p>
            <w:pPr>
              <w:pStyle w:val="8"/>
              <w:ind w:firstLine="0" w:firstLineChars="0"/>
            </w:pPr>
            <w:r>
              <w:t>序号</w:t>
            </w:r>
            <w:bookmarkEnd w:id="233"/>
            <w:bookmarkEnd w:id="234"/>
            <w:bookmarkEnd w:id="235"/>
            <w:bookmarkEnd w:id="236"/>
          </w:p>
        </w:tc>
        <w:tc>
          <w:tcPr>
            <w:tcW w:w="2185" w:type="dxa"/>
            <w:vAlign w:val="center"/>
          </w:tcPr>
          <w:p>
            <w:pPr>
              <w:pStyle w:val="8"/>
              <w:ind w:firstLine="0" w:firstLineChars="0"/>
            </w:pPr>
            <w:bookmarkStart w:id="237" w:name="_Toc2164"/>
            <w:bookmarkStart w:id="238" w:name="_Toc487411732"/>
            <w:bookmarkStart w:id="239" w:name="_Toc10832"/>
            <w:bookmarkStart w:id="240" w:name="_Toc489916036"/>
            <w:r>
              <w:t>施工机械</w:t>
            </w:r>
            <w:bookmarkEnd w:id="237"/>
            <w:bookmarkEnd w:id="238"/>
            <w:bookmarkEnd w:id="239"/>
            <w:bookmarkEnd w:id="240"/>
          </w:p>
        </w:tc>
        <w:tc>
          <w:tcPr>
            <w:tcW w:w="2184" w:type="dxa"/>
            <w:vAlign w:val="center"/>
          </w:tcPr>
          <w:p>
            <w:pPr>
              <w:pStyle w:val="8"/>
              <w:ind w:firstLine="0" w:firstLineChars="0"/>
            </w:pPr>
            <w:bookmarkStart w:id="241" w:name="_Toc487411733"/>
            <w:bookmarkStart w:id="242" w:name="_Toc30382"/>
            <w:bookmarkStart w:id="243" w:name="_Toc8767"/>
            <w:bookmarkStart w:id="244" w:name="_Toc489916037"/>
            <w:r>
              <w:t>测量声级，dB（A）</w:t>
            </w:r>
            <w:bookmarkEnd w:id="241"/>
            <w:bookmarkEnd w:id="242"/>
            <w:bookmarkEnd w:id="243"/>
            <w:bookmarkEnd w:id="244"/>
          </w:p>
        </w:tc>
        <w:tc>
          <w:tcPr>
            <w:tcW w:w="2185" w:type="dxa"/>
            <w:vAlign w:val="center"/>
          </w:tcPr>
          <w:p>
            <w:pPr>
              <w:pStyle w:val="8"/>
              <w:ind w:firstLine="0" w:firstLineChars="0"/>
            </w:pPr>
            <w:bookmarkStart w:id="245" w:name="_Toc489916038"/>
            <w:bookmarkStart w:id="246" w:name="_Toc9210"/>
            <w:bookmarkStart w:id="247" w:name="_Toc26290"/>
            <w:bookmarkStart w:id="248" w:name="_Toc487411734"/>
            <w:r>
              <w:t>测量距离（m）</w:t>
            </w:r>
            <w:bookmarkEnd w:id="245"/>
            <w:bookmarkEnd w:id="246"/>
            <w:bookmarkEnd w:id="247"/>
            <w:bookmarkEnd w:id="24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85" w:type="dxa"/>
            <w:vAlign w:val="center"/>
          </w:tcPr>
          <w:p>
            <w:pPr>
              <w:pStyle w:val="8"/>
              <w:ind w:firstLine="0" w:firstLineChars="0"/>
            </w:pPr>
            <w:bookmarkStart w:id="249" w:name="_Toc489916039"/>
            <w:bookmarkStart w:id="250" w:name="_Toc8606"/>
            <w:bookmarkStart w:id="251" w:name="_Toc487411735"/>
            <w:bookmarkStart w:id="252" w:name="_Toc3903"/>
            <w:r>
              <w:t>1</w:t>
            </w:r>
            <w:bookmarkEnd w:id="249"/>
            <w:bookmarkEnd w:id="250"/>
            <w:bookmarkEnd w:id="251"/>
            <w:bookmarkEnd w:id="252"/>
          </w:p>
        </w:tc>
        <w:tc>
          <w:tcPr>
            <w:tcW w:w="2185" w:type="dxa"/>
            <w:vAlign w:val="center"/>
          </w:tcPr>
          <w:p>
            <w:pPr>
              <w:pStyle w:val="8"/>
              <w:ind w:firstLine="0" w:firstLineChars="0"/>
            </w:pPr>
            <w:bookmarkStart w:id="253" w:name="_Toc489916040"/>
            <w:bookmarkStart w:id="254" w:name="_Toc487411736"/>
            <w:bookmarkStart w:id="255" w:name="_Toc1023"/>
            <w:bookmarkStart w:id="256" w:name="_Toc4004"/>
            <w:r>
              <w:t>挖掘机</w:t>
            </w:r>
            <w:bookmarkEnd w:id="253"/>
            <w:bookmarkEnd w:id="254"/>
            <w:bookmarkEnd w:id="255"/>
            <w:bookmarkEnd w:id="256"/>
          </w:p>
        </w:tc>
        <w:tc>
          <w:tcPr>
            <w:tcW w:w="2184" w:type="dxa"/>
            <w:vAlign w:val="center"/>
          </w:tcPr>
          <w:p>
            <w:pPr>
              <w:pStyle w:val="8"/>
              <w:ind w:firstLine="0" w:firstLineChars="0"/>
            </w:pPr>
            <w:bookmarkStart w:id="257" w:name="_Toc487411737"/>
            <w:bookmarkStart w:id="258" w:name="_Toc626"/>
            <w:bookmarkStart w:id="259" w:name="_Toc489916041"/>
            <w:bookmarkStart w:id="260" w:name="_Toc4600"/>
            <w:r>
              <w:t>79</w:t>
            </w:r>
            <w:bookmarkEnd w:id="257"/>
            <w:bookmarkEnd w:id="258"/>
            <w:bookmarkEnd w:id="259"/>
            <w:bookmarkEnd w:id="260"/>
          </w:p>
        </w:tc>
        <w:tc>
          <w:tcPr>
            <w:tcW w:w="2185" w:type="dxa"/>
            <w:vAlign w:val="center"/>
          </w:tcPr>
          <w:p>
            <w:pPr>
              <w:pStyle w:val="8"/>
              <w:ind w:firstLine="0" w:firstLineChars="0"/>
            </w:pPr>
            <w:bookmarkStart w:id="261" w:name="_Toc15629"/>
            <w:bookmarkStart w:id="262" w:name="_Toc24157"/>
            <w:bookmarkStart w:id="263" w:name="_Toc487411738"/>
            <w:bookmarkStart w:id="264" w:name="_Toc489916042"/>
            <w:r>
              <w:t>15</w:t>
            </w:r>
            <w:bookmarkEnd w:id="261"/>
            <w:bookmarkEnd w:id="262"/>
            <w:bookmarkEnd w:id="263"/>
            <w:bookmarkEnd w:id="26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85" w:type="dxa"/>
            <w:vAlign w:val="center"/>
          </w:tcPr>
          <w:p>
            <w:pPr>
              <w:pStyle w:val="8"/>
              <w:ind w:firstLine="0" w:firstLineChars="0"/>
            </w:pPr>
            <w:bookmarkStart w:id="265" w:name="_Toc11464"/>
            <w:bookmarkStart w:id="266" w:name="_Toc12222"/>
            <w:bookmarkStart w:id="267" w:name="_Toc487411739"/>
            <w:bookmarkStart w:id="268" w:name="_Toc489916043"/>
            <w:r>
              <w:t>2</w:t>
            </w:r>
            <w:bookmarkEnd w:id="265"/>
            <w:bookmarkEnd w:id="266"/>
            <w:bookmarkEnd w:id="267"/>
            <w:bookmarkEnd w:id="268"/>
          </w:p>
        </w:tc>
        <w:tc>
          <w:tcPr>
            <w:tcW w:w="2185" w:type="dxa"/>
            <w:vAlign w:val="center"/>
          </w:tcPr>
          <w:p>
            <w:pPr>
              <w:pStyle w:val="8"/>
              <w:ind w:firstLine="0" w:firstLineChars="0"/>
            </w:pPr>
            <w:bookmarkStart w:id="269" w:name="_Toc25357"/>
            <w:bookmarkStart w:id="270" w:name="_Toc489916044"/>
            <w:bookmarkStart w:id="271" w:name="_Toc23918"/>
            <w:bookmarkStart w:id="272" w:name="_Toc487411740"/>
            <w:r>
              <w:t>压路机</w:t>
            </w:r>
            <w:bookmarkEnd w:id="269"/>
            <w:bookmarkEnd w:id="270"/>
            <w:bookmarkEnd w:id="271"/>
            <w:bookmarkEnd w:id="272"/>
          </w:p>
        </w:tc>
        <w:tc>
          <w:tcPr>
            <w:tcW w:w="2184" w:type="dxa"/>
            <w:vAlign w:val="center"/>
          </w:tcPr>
          <w:p>
            <w:pPr>
              <w:pStyle w:val="8"/>
              <w:ind w:firstLine="0" w:firstLineChars="0"/>
            </w:pPr>
            <w:bookmarkStart w:id="273" w:name="_Toc487411741"/>
            <w:bookmarkStart w:id="274" w:name="_Toc28795"/>
            <w:bookmarkStart w:id="275" w:name="_Toc489916045"/>
            <w:bookmarkStart w:id="276" w:name="_Toc12656"/>
            <w:r>
              <w:t>73</w:t>
            </w:r>
            <w:bookmarkEnd w:id="273"/>
            <w:bookmarkEnd w:id="274"/>
            <w:bookmarkEnd w:id="275"/>
            <w:bookmarkEnd w:id="276"/>
          </w:p>
        </w:tc>
        <w:tc>
          <w:tcPr>
            <w:tcW w:w="2185" w:type="dxa"/>
            <w:vAlign w:val="center"/>
          </w:tcPr>
          <w:p>
            <w:pPr>
              <w:pStyle w:val="8"/>
              <w:ind w:firstLine="0" w:firstLineChars="0"/>
            </w:pPr>
            <w:bookmarkStart w:id="277" w:name="_Toc11781"/>
            <w:bookmarkStart w:id="278" w:name="_Toc489916046"/>
            <w:bookmarkStart w:id="279" w:name="_Toc487411742"/>
            <w:bookmarkStart w:id="280" w:name="_Toc7757"/>
            <w:r>
              <w:t>10</w:t>
            </w:r>
            <w:bookmarkEnd w:id="277"/>
            <w:bookmarkEnd w:id="278"/>
            <w:bookmarkEnd w:id="279"/>
            <w:bookmarkEnd w:id="28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85" w:type="dxa"/>
            <w:vAlign w:val="center"/>
          </w:tcPr>
          <w:p>
            <w:pPr>
              <w:pStyle w:val="8"/>
              <w:ind w:firstLine="0" w:firstLineChars="0"/>
            </w:pPr>
            <w:bookmarkStart w:id="281" w:name="_Toc24312"/>
            <w:bookmarkStart w:id="282" w:name="_Toc487411743"/>
            <w:bookmarkStart w:id="283" w:name="_Toc489916047"/>
            <w:bookmarkStart w:id="284" w:name="_Toc7704"/>
            <w:r>
              <w:t>3</w:t>
            </w:r>
            <w:bookmarkEnd w:id="281"/>
            <w:bookmarkEnd w:id="282"/>
            <w:bookmarkEnd w:id="283"/>
            <w:bookmarkEnd w:id="284"/>
          </w:p>
        </w:tc>
        <w:tc>
          <w:tcPr>
            <w:tcW w:w="2185" w:type="dxa"/>
            <w:vAlign w:val="center"/>
          </w:tcPr>
          <w:p>
            <w:pPr>
              <w:pStyle w:val="8"/>
              <w:ind w:firstLine="0" w:firstLineChars="0"/>
            </w:pPr>
            <w:bookmarkStart w:id="285" w:name="_Toc489916048"/>
            <w:bookmarkStart w:id="286" w:name="_Toc487411744"/>
            <w:bookmarkStart w:id="287" w:name="_Toc32308"/>
            <w:bookmarkStart w:id="288" w:name="_Toc2145"/>
            <w:r>
              <w:t>铲土机</w:t>
            </w:r>
            <w:bookmarkEnd w:id="285"/>
            <w:bookmarkEnd w:id="286"/>
            <w:bookmarkEnd w:id="287"/>
            <w:bookmarkEnd w:id="288"/>
          </w:p>
        </w:tc>
        <w:tc>
          <w:tcPr>
            <w:tcW w:w="2184" w:type="dxa"/>
            <w:vAlign w:val="center"/>
          </w:tcPr>
          <w:p>
            <w:pPr>
              <w:pStyle w:val="8"/>
              <w:ind w:firstLine="0" w:firstLineChars="0"/>
            </w:pPr>
            <w:bookmarkStart w:id="289" w:name="_Toc22451"/>
            <w:bookmarkStart w:id="290" w:name="_Toc489916049"/>
            <w:bookmarkStart w:id="291" w:name="_Toc15419"/>
            <w:bookmarkStart w:id="292" w:name="_Toc487411745"/>
            <w:r>
              <w:t>75</w:t>
            </w:r>
            <w:bookmarkEnd w:id="289"/>
            <w:bookmarkEnd w:id="290"/>
            <w:bookmarkEnd w:id="291"/>
            <w:bookmarkEnd w:id="292"/>
          </w:p>
        </w:tc>
        <w:tc>
          <w:tcPr>
            <w:tcW w:w="2185" w:type="dxa"/>
            <w:vAlign w:val="center"/>
          </w:tcPr>
          <w:p>
            <w:pPr>
              <w:pStyle w:val="8"/>
              <w:ind w:firstLine="0" w:firstLineChars="0"/>
            </w:pPr>
            <w:bookmarkStart w:id="293" w:name="_Toc31096"/>
            <w:bookmarkStart w:id="294" w:name="_Toc487411746"/>
            <w:bookmarkStart w:id="295" w:name="_Toc32081"/>
            <w:bookmarkStart w:id="296" w:name="_Toc489916050"/>
            <w:r>
              <w:t>15</w:t>
            </w:r>
            <w:bookmarkEnd w:id="293"/>
            <w:bookmarkEnd w:id="294"/>
            <w:bookmarkEnd w:id="295"/>
            <w:bookmarkEnd w:id="29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85" w:type="dxa"/>
            <w:vAlign w:val="center"/>
          </w:tcPr>
          <w:p>
            <w:pPr>
              <w:pStyle w:val="8"/>
              <w:ind w:firstLine="0" w:firstLineChars="0"/>
            </w:pPr>
            <w:bookmarkStart w:id="297" w:name="_Toc12057"/>
            <w:bookmarkStart w:id="298" w:name="_Toc25749"/>
            <w:bookmarkStart w:id="299" w:name="_Toc489916051"/>
            <w:bookmarkStart w:id="300" w:name="_Toc487411747"/>
            <w:r>
              <w:t>4</w:t>
            </w:r>
            <w:bookmarkEnd w:id="297"/>
            <w:bookmarkEnd w:id="298"/>
            <w:bookmarkEnd w:id="299"/>
            <w:bookmarkEnd w:id="300"/>
          </w:p>
        </w:tc>
        <w:tc>
          <w:tcPr>
            <w:tcW w:w="2185" w:type="dxa"/>
            <w:vAlign w:val="center"/>
          </w:tcPr>
          <w:p>
            <w:pPr>
              <w:pStyle w:val="8"/>
              <w:ind w:firstLine="0" w:firstLineChars="0"/>
            </w:pPr>
            <w:bookmarkStart w:id="301" w:name="_Toc489916052"/>
            <w:bookmarkStart w:id="302" w:name="_Toc487411748"/>
            <w:bookmarkStart w:id="303" w:name="_Toc18181"/>
            <w:bookmarkStart w:id="304" w:name="_Toc29490"/>
            <w:r>
              <w:t>卡车</w:t>
            </w:r>
            <w:bookmarkEnd w:id="301"/>
            <w:bookmarkEnd w:id="302"/>
            <w:bookmarkEnd w:id="303"/>
            <w:bookmarkEnd w:id="304"/>
          </w:p>
        </w:tc>
        <w:tc>
          <w:tcPr>
            <w:tcW w:w="2184" w:type="dxa"/>
            <w:vAlign w:val="center"/>
          </w:tcPr>
          <w:p>
            <w:pPr>
              <w:pStyle w:val="8"/>
              <w:ind w:firstLine="0" w:firstLineChars="0"/>
            </w:pPr>
            <w:bookmarkStart w:id="305" w:name="_Toc489916053"/>
            <w:bookmarkStart w:id="306" w:name="_Toc28203"/>
            <w:bookmarkStart w:id="307" w:name="_Toc487411749"/>
            <w:bookmarkStart w:id="308" w:name="_Toc30690"/>
            <w:r>
              <w:t>70</w:t>
            </w:r>
            <w:bookmarkEnd w:id="305"/>
            <w:bookmarkEnd w:id="306"/>
            <w:bookmarkEnd w:id="307"/>
            <w:bookmarkEnd w:id="308"/>
          </w:p>
        </w:tc>
        <w:tc>
          <w:tcPr>
            <w:tcW w:w="2185" w:type="dxa"/>
            <w:vAlign w:val="center"/>
          </w:tcPr>
          <w:p>
            <w:pPr>
              <w:pStyle w:val="8"/>
              <w:ind w:firstLine="0" w:firstLineChars="0"/>
            </w:pPr>
            <w:bookmarkStart w:id="309" w:name="_Toc14877"/>
            <w:bookmarkStart w:id="310" w:name="_Toc489916054"/>
            <w:bookmarkStart w:id="311" w:name="_Toc487411750"/>
            <w:bookmarkStart w:id="312" w:name="_Toc1222"/>
            <w:r>
              <w:t>15</w:t>
            </w:r>
            <w:bookmarkEnd w:id="309"/>
            <w:bookmarkEnd w:id="310"/>
            <w:bookmarkEnd w:id="311"/>
            <w:bookmarkEnd w:id="3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85" w:type="dxa"/>
            <w:vAlign w:val="center"/>
          </w:tcPr>
          <w:p>
            <w:pPr>
              <w:pStyle w:val="8"/>
              <w:ind w:firstLine="0" w:firstLineChars="0"/>
            </w:pPr>
            <w:bookmarkStart w:id="313" w:name="_Toc30953"/>
            <w:bookmarkStart w:id="314" w:name="_Toc30356"/>
            <w:bookmarkStart w:id="315" w:name="_Toc487411751"/>
            <w:bookmarkStart w:id="316" w:name="_Toc489916055"/>
            <w:r>
              <w:t>5</w:t>
            </w:r>
            <w:bookmarkEnd w:id="313"/>
            <w:bookmarkEnd w:id="314"/>
            <w:bookmarkEnd w:id="315"/>
            <w:bookmarkEnd w:id="316"/>
          </w:p>
        </w:tc>
        <w:tc>
          <w:tcPr>
            <w:tcW w:w="2185" w:type="dxa"/>
            <w:vAlign w:val="center"/>
          </w:tcPr>
          <w:p>
            <w:pPr>
              <w:pStyle w:val="8"/>
              <w:ind w:firstLine="0" w:firstLineChars="0"/>
            </w:pPr>
            <w:bookmarkStart w:id="317" w:name="_Toc24632"/>
            <w:bookmarkStart w:id="318" w:name="_Toc489916056"/>
            <w:bookmarkStart w:id="319" w:name="_Toc23481"/>
            <w:bookmarkStart w:id="320" w:name="_Toc487411752"/>
            <w:r>
              <w:t>钻孔式灌注桩机</w:t>
            </w:r>
            <w:bookmarkEnd w:id="317"/>
            <w:bookmarkEnd w:id="318"/>
            <w:bookmarkEnd w:id="319"/>
            <w:bookmarkEnd w:id="320"/>
          </w:p>
        </w:tc>
        <w:tc>
          <w:tcPr>
            <w:tcW w:w="2184" w:type="dxa"/>
            <w:vAlign w:val="center"/>
          </w:tcPr>
          <w:p>
            <w:pPr>
              <w:pStyle w:val="8"/>
              <w:ind w:firstLine="0" w:firstLineChars="0"/>
            </w:pPr>
            <w:bookmarkStart w:id="321" w:name="_Toc10827"/>
            <w:bookmarkStart w:id="322" w:name="_Toc487411753"/>
            <w:bookmarkStart w:id="323" w:name="_Toc489916057"/>
            <w:bookmarkStart w:id="324" w:name="_Toc25253"/>
            <w:r>
              <w:t>81</w:t>
            </w:r>
            <w:bookmarkEnd w:id="321"/>
            <w:bookmarkEnd w:id="322"/>
            <w:bookmarkEnd w:id="323"/>
            <w:bookmarkEnd w:id="324"/>
          </w:p>
        </w:tc>
        <w:tc>
          <w:tcPr>
            <w:tcW w:w="2185" w:type="dxa"/>
            <w:vAlign w:val="center"/>
          </w:tcPr>
          <w:p>
            <w:pPr>
              <w:pStyle w:val="8"/>
              <w:ind w:firstLine="0" w:firstLineChars="0"/>
            </w:pPr>
            <w:bookmarkStart w:id="325" w:name="_Toc2050"/>
            <w:bookmarkStart w:id="326" w:name="_Toc31620"/>
            <w:bookmarkStart w:id="327" w:name="_Toc489916058"/>
            <w:bookmarkStart w:id="328" w:name="_Toc487411754"/>
            <w:r>
              <w:t>15</w:t>
            </w:r>
            <w:bookmarkEnd w:id="325"/>
            <w:bookmarkEnd w:id="326"/>
            <w:bookmarkEnd w:id="327"/>
            <w:bookmarkEnd w:id="32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trPr>
        <w:tc>
          <w:tcPr>
            <w:tcW w:w="2185" w:type="dxa"/>
            <w:vAlign w:val="center"/>
          </w:tcPr>
          <w:p>
            <w:pPr>
              <w:pStyle w:val="8"/>
              <w:ind w:firstLine="0" w:firstLineChars="0"/>
            </w:pPr>
            <w:bookmarkStart w:id="329" w:name="_Toc27714"/>
            <w:bookmarkStart w:id="330" w:name="_Toc20720"/>
            <w:bookmarkStart w:id="331" w:name="_Toc489916059"/>
            <w:bookmarkStart w:id="332" w:name="_Toc487411755"/>
            <w:r>
              <w:t>6</w:t>
            </w:r>
            <w:bookmarkEnd w:id="329"/>
            <w:bookmarkEnd w:id="330"/>
            <w:bookmarkEnd w:id="331"/>
            <w:bookmarkEnd w:id="332"/>
          </w:p>
        </w:tc>
        <w:tc>
          <w:tcPr>
            <w:tcW w:w="2185" w:type="dxa"/>
            <w:vAlign w:val="center"/>
          </w:tcPr>
          <w:p>
            <w:pPr>
              <w:pStyle w:val="8"/>
              <w:ind w:firstLine="0" w:firstLineChars="0"/>
            </w:pPr>
            <w:bookmarkStart w:id="333" w:name="_Toc20033"/>
            <w:bookmarkStart w:id="334" w:name="_Toc23357"/>
            <w:bookmarkStart w:id="335" w:name="_Toc489916060"/>
            <w:bookmarkStart w:id="336" w:name="_Toc487411756"/>
            <w:r>
              <w:t>静压式打桩机</w:t>
            </w:r>
            <w:bookmarkEnd w:id="333"/>
            <w:bookmarkEnd w:id="334"/>
            <w:bookmarkEnd w:id="335"/>
            <w:bookmarkEnd w:id="336"/>
          </w:p>
        </w:tc>
        <w:tc>
          <w:tcPr>
            <w:tcW w:w="2184" w:type="dxa"/>
            <w:vAlign w:val="center"/>
          </w:tcPr>
          <w:p>
            <w:pPr>
              <w:pStyle w:val="8"/>
              <w:ind w:firstLine="0" w:firstLineChars="0"/>
            </w:pPr>
            <w:bookmarkStart w:id="337" w:name="_Toc1135"/>
            <w:bookmarkStart w:id="338" w:name="_Toc16219"/>
            <w:bookmarkStart w:id="339" w:name="_Toc489916061"/>
            <w:bookmarkStart w:id="340" w:name="_Toc487411757"/>
            <w:r>
              <w:t>80</w:t>
            </w:r>
            <w:bookmarkEnd w:id="337"/>
            <w:bookmarkEnd w:id="338"/>
            <w:bookmarkEnd w:id="339"/>
            <w:bookmarkEnd w:id="340"/>
          </w:p>
        </w:tc>
        <w:tc>
          <w:tcPr>
            <w:tcW w:w="2185" w:type="dxa"/>
            <w:vAlign w:val="center"/>
          </w:tcPr>
          <w:p>
            <w:pPr>
              <w:pStyle w:val="8"/>
              <w:ind w:firstLine="0" w:firstLineChars="0"/>
            </w:pPr>
            <w:bookmarkStart w:id="341" w:name="_Toc25025"/>
            <w:bookmarkStart w:id="342" w:name="_Toc489916062"/>
            <w:bookmarkStart w:id="343" w:name="_Toc487411758"/>
            <w:bookmarkStart w:id="344" w:name="_Toc29749"/>
            <w:r>
              <w:t>15</w:t>
            </w:r>
            <w:bookmarkEnd w:id="341"/>
            <w:bookmarkEnd w:id="342"/>
            <w:bookmarkEnd w:id="343"/>
            <w:bookmarkEnd w:id="34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2185" w:type="dxa"/>
            <w:vAlign w:val="center"/>
          </w:tcPr>
          <w:p>
            <w:pPr>
              <w:pStyle w:val="8"/>
              <w:ind w:firstLine="0" w:firstLineChars="0"/>
            </w:pPr>
            <w:bookmarkStart w:id="345" w:name="_Toc22494"/>
            <w:bookmarkStart w:id="346" w:name="_Toc489916063"/>
            <w:bookmarkStart w:id="347" w:name="_Toc487411759"/>
            <w:bookmarkStart w:id="348" w:name="_Toc10365"/>
            <w:r>
              <w:t>7</w:t>
            </w:r>
            <w:bookmarkEnd w:id="345"/>
            <w:bookmarkEnd w:id="346"/>
            <w:bookmarkEnd w:id="347"/>
            <w:bookmarkEnd w:id="348"/>
          </w:p>
        </w:tc>
        <w:tc>
          <w:tcPr>
            <w:tcW w:w="2185" w:type="dxa"/>
            <w:vAlign w:val="center"/>
          </w:tcPr>
          <w:p>
            <w:pPr>
              <w:pStyle w:val="8"/>
              <w:ind w:firstLine="0" w:firstLineChars="0"/>
            </w:pPr>
            <w:bookmarkStart w:id="349" w:name="_Toc489916064"/>
            <w:bookmarkStart w:id="350" w:name="_Toc15345"/>
            <w:bookmarkStart w:id="351" w:name="_Toc5668"/>
            <w:bookmarkStart w:id="352" w:name="_Toc487411760"/>
            <w:r>
              <w:t>升降机</w:t>
            </w:r>
            <w:bookmarkEnd w:id="349"/>
            <w:bookmarkEnd w:id="350"/>
            <w:bookmarkEnd w:id="351"/>
            <w:bookmarkEnd w:id="352"/>
          </w:p>
        </w:tc>
        <w:tc>
          <w:tcPr>
            <w:tcW w:w="2184" w:type="dxa"/>
            <w:vAlign w:val="center"/>
          </w:tcPr>
          <w:p>
            <w:pPr>
              <w:pStyle w:val="8"/>
              <w:ind w:firstLine="0" w:firstLineChars="0"/>
            </w:pPr>
            <w:bookmarkStart w:id="353" w:name="_Toc487411761"/>
            <w:bookmarkStart w:id="354" w:name="_Toc22788"/>
            <w:bookmarkStart w:id="355" w:name="_Toc489916065"/>
            <w:bookmarkStart w:id="356" w:name="_Toc13902"/>
            <w:r>
              <w:t>72</w:t>
            </w:r>
            <w:bookmarkEnd w:id="353"/>
            <w:bookmarkEnd w:id="354"/>
            <w:bookmarkEnd w:id="355"/>
            <w:bookmarkEnd w:id="356"/>
          </w:p>
        </w:tc>
        <w:tc>
          <w:tcPr>
            <w:tcW w:w="2185" w:type="dxa"/>
            <w:vAlign w:val="center"/>
          </w:tcPr>
          <w:p>
            <w:pPr>
              <w:pStyle w:val="8"/>
              <w:ind w:firstLine="0" w:firstLineChars="0"/>
            </w:pPr>
            <w:bookmarkStart w:id="357" w:name="_Toc489916066"/>
            <w:bookmarkStart w:id="358" w:name="_Toc9720"/>
            <w:bookmarkStart w:id="359" w:name="_Toc11007"/>
            <w:bookmarkStart w:id="360" w:name="_Toc487411762"/>
            <w:r>
              <w:t>15</w:t>
            </w:r>
            <w:bookmarkEnd w:id="357"/>
            <w:bookmarkEnd w:id="358"/>
            <w:bookmarkEnd w:id="359"/>
            <w:bookmarkEnd w:id="360"/>
          </w:p>
        </w:tc>
      </w:tr>
    </w:tbl>
    <w:p>
      <w:pPr>
        <w:spacing w:before="156" w:beforeLines="50"/>
        <w:ind w:firstLine="480"/>
      </w:pPr>
      <w:bookmarkStart w:id="361" w:name="_Toc18366"/>
      <w:bookmarkStart w:id="362" w:name="_Toc16009"/>
      <w:r>
        <w:t>这些设备经基础减震处理后正常运行情况下的声级值在65~85dB(A)之间。根据上式，评价以施工最大噪声值85dB(A)计算施工噪声影响范围，估算出主要施工机械噪声随距离的衰减结果如下：</w:t>
      </w:r>
    </w:p>
    <w:p>
      <w:pPr>
        <w:pStyle w:val="11"/>
      </w:pPr>
      <w:r>
        <w:t xml:space="preserve">表4.1- </w:t>
      </w:r>
      <w:r>
        <w:fldChar w:fldCharType="begin"/>
      </w:r>
      <w:r>
        <w:instrText xml:space="preserve"> SEQ 表4.1- \* ARABIC </w:instrText>
      </w:r>
      <w:r>
        <w:fldChar w:fldCharType="separate"/>
      </w:r>
      <w:r>
        <w:t>5</w:t>
      </w:r>
      <w:r>
        <w:fldChar w:fldCharType="end"/>
      </w:r>
      <w:r>
        <w:rPr>
          <w:rFonts w:hint="eastAsia"/>
        </w:rPr>
        <w:t xml:space="preserve">  </w:t>
      </w:r>
      <w:r>
        <w:t>施工机械在不同距离处的噪声预测值单位：dB(A)</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7"/>
        <w:gridCol w:w="694"/>
        <w:gridCol w:w="797"/>
        <w:gridCol w:w="798"/>
        <w:gridCol w:w="797"/>
        <w:gridCol w:w="797"/>
        <w:gridCol w:w="799"/>
        <w:gridCol w:w="798"/>
        <w:gridCol w:w="798"/>
        <w:gridCol w:w="798"/>
        <w:gridCol w:w="7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9" w:hRule="atLeast"/>
          <w:jc w:val="center"/>
        </w:trPr>
        <w:tc>
          <w:tcPr>
            <w:tcW w:w="937" w:type="dxa"/>
            <w:vAlign w:val="center"/>
          </w:tcPr>
          <w:p>
            <w:pPr>
              <w:pStyle w:val="8"/>
              <w:ind w:firstLine="0" w:firstLineChars="0"/>
            </w:pPr>
            <w:r>
              <w:t>预测点</w:t>
            </w:r>
          </w:p>
        </w:tc>
        <w:tc>
          <w:tcPr>
            <w:tcW w:w="694" w:type="dxa"/>
            <w:vAlign w:val="center"/>
          </w:tcPr>
          <w:p>
            <w:pPr>
              <w:pStyle w:val="8"/>
              <w:ind w:firstLine="0" w:firstLineChars="0"/>
            </w:pPr>
            <w:r>
              <w:t>5m</w:t>
            </w:r>
          </w:p>
        </w:tc>
        <w:tc>
          <w:tcPr>
            <w:tcW w:w="797" w:type="dxa"/>
            <w:vAlign w:val="center"/>
          </w:tcPr>
          <w:p>
            <w:pPr>
              <w:pStyle w:val="8"/>
              <w:ind w:firstLine="0" w:firstLineChars="0"/>
            </w:pPr>
            <w:r>
              <w:t>10m</w:t>
            </w:r>
          </w:p>
        </w:tc>
        <w:tc>
          <w:tcPr>
            <w:tcW w:w="798" w:type="dxa"/>
            <w:vAlign w:val="center"/>
          </w:tcPr>
          <w:p>
            <w:pPr>
              <w:pStyle w:val="8"/>
              <w:ind w:firstLine="0" w:firstLineChars="0"/>
            </w:pPr>
            <w:r>
              <w:t>20m</w:t>
            </w:r>
          </w:p>
        </w:tc>
        <w:tc>
          <w:tcPr>
            <w:tcW w:w="797" w:type="dxa"/>
            <w:vAlign w:val="center"/>
          </w:tcPr>
          <w:p>
            <w:pPr>
              <w:pStyle w:val="8"/>
              <w:ind w:firstLine="0" w:firstLineChars="0"/>
            </w:pPr>
            <w:r>
              <w:t>30m</w:t>
            </w:r>
          </w:p>
        </w:tc>
        <w:tc>
          <w:tcPr>
            <w:tcW w:w="797" w:type="dxa"/>
            <w:vAlign w:val="center"/>
          </w:tcPr>
          <w:p>
            <w:pPr>
              <w:pStyle w:val="8"/>
              <w:ind w:firstLine="0" w:firstLineChars="0"/>
            </w:pPr>
            <w:r>
              <w:t>50 m</w:t>
            </w:r>
          </w:p>
        </w:tc>
        <w:tc>
          <w:tcPr>
            <w:tcW w:w="799" w:type="dxa"/>
            <w:vAlign w:val="center"/>
          </w:tcPr>
          <w:p>
            <w:pPr>
              <w:pStyle w:val="8"/>
              <w:ind w:firstLine="0" w:firstLineChars="0"/>
            </w:pPr>
            <w:r>
              <w:t>80 m</w:t>
            </w:r>
          </w:p>
        </w:tc>
        <w:tc>
          <w:tcPr>
            <w:tcW w:w="798" w:type="dxa"/>
            <w:vAlign w:val="center"/>
          </w:tcPr>
          <w:p>
            <w:pPr>
              <w:pStyle w:val="8"/>
              <w:ind w:firstLine="0" w:firstLineChars="0"/>
            </w:pPr>
            <w:r>
              <w:t>100 m</w:t>
            </w:r>
          </w:p>
        </w:tc>
        <w:tc>
          <w:tcPr>
            <w:tcW w:w="798" w:type="dxa"/>
            <w:vAlign w:val="center"/>
          </w:tcPr>
          <w:p>
            <w:pPr>
              <w:pStyle w:val="8"/>
              <w:ind w:firstLine="0" w:firstLineChars="0"/>
            </w:pPr>
            <w:r>
              <w:t>120 m</w:t>
            </w:r>
          </w:p>
        </w:tc>
        <w:tc>
          <w:tcPr>
            <w:tcW w:w="798" w:type="dxa"/>
            <w:vAlign w:val="center"/>
          </w:tcPr>
          <w:p>
            <w:pPr>
              <w:pStyle w:val="8"/>
              <w:ind w:firstLine="0" w:firstLineChars="0"/>
            </w:pPr>
            <w:r>
              <w:t>150 m</w:t>
            </w:r>
          </w:p>
        </w:tc>
        <w:tc>
          <w:tcPr>
            <w:tcW w:w="718" w:type="dxa"/>
            <w:vAlign w:val="center"/>
          </w:tcPr>
          <w:p>
            <w:pPr>
              <w:pStyle w:val="8"/>
              <w:ind w:firstLine="0" w:firstLineChars="0"/>
            </w:pPr>
            <w:r>
              <w:t>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937" w:type="dxa"/>
            <w:vAlign w:val="center"/>
          </w:tcPr>
          <w:p>
            <w:pPr>
              <w:pStyle w:val="8"/>
              <w:ind w:firstLine="0" w:firstLineChars="0"/>
            </w:pPr>
            <w:r>
              <w:t>预测值</w:t>
            </w:r>
          </w:p>
        </w:tc>
        <w:tc>
          <w:tcPr>
            <w:tcW w:w="694" w:type="dxa"/>
            <w:vAlign w:val="center"/>
          </w:tcPr>
          <w:p>
            <w:pPr>
              <w:pStyle w:val="8"/>
              <w:ind w:firstLine="0" w:firstLineChars="0"/>
            </w:pPr>
            <w:r>
              <w:t>71.0</w:t>
            </w:r>
          </w:p>
        </w:tc>
        <w:tc>
          <w:tcPr>
            <w:tcW w:w="797" w:type="dxa"/>
            <w:vAlign w:val="center"/>
          </w:tcPr>
          <w:p>
            <w:pPr>
              <w:pStyle w:val="8"/>
              <w:ind w:firstLine="0" w:firstLineChars="0"/>
            </w:pPr>
            <w:r>
              <w:t>65.0</w:t>
            </w:r>
          </w:p>
        </w:tc>
        <w:tc>
          <w:tcPr>
            <w:tcW w:w="798" w:type="dxa"/>
            <w:vAlign w:val="center"/>
          </w:tcPr>
          <w:p>
            <w:pPr>
              <w:pStyle w:val="8"/>
              <w:ind w:firstLine="0" w:firstLineChars="0"/>
            </w:pPr>
            <w:r>
              <w:t>59.0</w:t>
            </w:r>
          </w:p>
        </w:tc>
        <w:tc>
          <w:tcPr>
            <w:tcW w:w="797" w:type="dxa"/>
            <w:vAlign w:val="center"/>
          </w:tcPr>
          <w:p>
            <w:pPr>
              <w:pStyle w:val="8"/>
              <w:ind w:firstLine="0" w:firstLineChars="0"/>
            </w:pPr>
            <w:r>
              <w:t>55.5</w:t>
            </w:r>
          </w:p>
        </w:tc>
        <w:tc>
          <w:tcPr>
            <w:tcW w:w="797" w:type="dxa"/>
            <w:vAlign w:val="center"/>
          </w:tcPr>
          <w:p>
            <w:pPr>
              <w:pStyle w:val="8"/>
              <w:ind w:firstLine="0" w:firstLineChars="0"/>
            </w:pPr>
            <w:r>
              <w:t>51.0</w:t>
            </w:r>
          </w:p>
        </w:tc>
        <w:tc>
          <w:tcPr>
            <w:tcW w:w="799" w:type="dxa"/>
            <w:vAlign w:val="center"/>
          </w:tcPr>
          <w:p>
            <w:pPr>
              <w:pStyle w:val="8"/>
              <w:ind w:firstLine="0" w:firstLineChars="0"/>
            </w:pPr>
            <w:r>
              <w:t>46.9</w:t>
            </w:r>
          </w:p>
        </w:tc>
        <w:tc>
          <w:tcPr>
            <w:tcW w:w="798" w:type="dxa"/>
            <w:vAlign w:val="center"/>
          </w:tcPr>
          <w:p>
            <w:pPr>
              <w:pStyle w:val="8"/>
              <w:ind w:firstLine="0" w:firstLineChars="0"/>
            </w:pPr>
            <w:r>
              <w:t>45</w:t>
            </w:r>
          </w:p>
        </w:tc>
        <w:tc>
          <w:tcPr>
            <w:tcW w:w="798" w:type="dxa"/>
            <w:vAlign w:val="center"/>
          </w:tcPr>
          <w:p>
            <w:pPr>
              <w:pStyle w:val="8"/>
              <w:ind w:firstLine="0" w:firstLineChars="0"/>
            </w:pPr>
            <w:r>
              <w:t>43.4</w:t>
            </w:r>
          </w:p>
        </w:tc>
        <w:tc>
          <w:tcPr>
            <w:tcW w:w="798" w:type="dxa"/>
            <w:vAlign w:val="center"/>
          </w:tcPr>
          <w:p>
            <w:pPr>
              <w:pStyle w:val="8"/>
              <w:ind w:firstLine="0" w:firstLineChars="0"/>
            </w:pPr>
            <w:r>
              <w:t>41.5</w:t>
            </w:r>
          </w:p>
        </w:tc>
        <w:tc>
          <w:tcPr>
            <w:tcW w:w="718" w:type="dxa"/>
            <w:vAlign w:val="center"/>
          </w:tcPr>
          <w:p>
            <w:pPr>
              <w:pStyle w:val="8"/>
              <w:ind w:firstLine="0" w:firstLineChars="0"/>
            </w:pPr>
            <w:r>
              <w:t>39.0</w:t>
            </w:r>
          </w:p>
        </w:tc>
      </w:tr>
    </w:tbl>
    <w:p>
      <w:pPr>
        <w:ind w:firstLine="480"/>
      </w:pPr>
      <w:r>
        <w:t>由上表可知，施工期噪声昼间在10m处可达到《建筑施工场界环境噪声排放标准》（GB12523-2011）中的昼间标准限值要求，夜间在50m处可达到《建筑施工场界环境噪声排放标准》（GB12523-2011）中的夜间标准限值要求。</w:t>
      </w:r>
    </w:p>
    <w:p>
      <w:pPr>
        <w:ind w:firstLine="480"/>
      </w:pPr>
      <w:r>
        <w:t>根据现场调查情况可知，</w:t>
      </w:r>
      <w:r>
        <w:rPr>
          <w:rFonts w:hint="eastAsia"/>
        </w:rPr>
        <w:t>项目养殖区所在区域周边均为山林，</w:t>
      </w:r>
      <w:r>
        <w:t>200m</w:t>
      </w:r>
      <w:r>
        <w:rPr>
          <w:rFonts w:hint="eastAsia"/>
        </w:rPr>
        <w:t>范围内均没有居民。</w:t>
      </w:r>
      <w:r>
        <w:t>为了确保项目施工作业噪声排放满足《建筑施工场界环境噪声排放标准》（GB12523-2011）的标准限值，本次环评提出项目施工时应采取如下措施：</w:t>
      </w:r>
      <w:bookmarkEnd w:id="361"/>
      <w:bookmarkEnd w:id="362"/>
      <w:bookmarkStart w:id="363" w:name="_Toc8192"/>
      <w:bookmarkStart w:id="364" w:name="_Toc31250"/>
    </w:p>
    <w:p>
      <w:pPr>
        <w:ind w:firstLine="480"/>
      </w:pPr>
      <w:r>
        <w:rPr>
          <w:rFonts w:hint="eastAsia"/>
        </w:rPr>
        <w:t>①施工单位必须按国家关于建筑施工场界噪声的要求进行施工，并尽量分散噪声源。</w:t>
      </w:r>
    </w:p>
    <w:p>
      <w:pPr>
        <w:ind w:firstLine="480"/>
      </w:pPr>
      <w:r>
        <w:rPr>
          <w:rFonts w:hint="eastAsia"/>
        </w:rPr>
        <w:t>②在施工设备和方法中加以考虑，尽量采用低噪声机械，从源头控制噪声源强；</w:t>
      </w:r>
    </w:p>
    <w:p>
      <w:pPr>
        <w:ind w:firstLine="480"/>
      </w:pPr>
      <w:r>
        <w:rPr>
          <w:rFonts w:hint="eastAsia"/>
        </w:rPr>
        <w:t>③施工设备需严格做好隔声、减振、消声等措施，控制设备噪声；</w:t>
      </w:r>
    </w:p>
    <w:p>
      <w:pPr>
        <w:ind w:firstLine="480"/>
      </w:pPr>
      <w:r>
        <w:rPr>
          <w:rFonts w:hint="eastAsia"/>
        </w:rPr>
        <w:t>④施工过程中，经常对施工设备进行维修保养，避免由于设备性能减退使噪声增大；</w:t>
      </w:r>
    </w:p>
    <w:p>
      <w:pPr>
        <w:ind w:firstLine="480"/>
      </w:pPr>
      <w:r>
        <w:t>在严格落实以上措施，确保场界噪声排放《建筑施工场界环境噪声排放标准》（GB12523-2011）中的相关要求。因此，项目施工期噪声对外环境影响不大。</w:t>
      </w:r>
    </w:p>
    <w:bookmarkEnd w:id="363"/>
    <w:bookmarkEnd w:id="364"/>
    <w:p>
      <w:pPr>
        <w:pStyle w:val="5"/>
        <w:spacing w:before="62" w:after="62"/>
      </w:pPr>
      <w:bookmarkStart w:id="365" w:name="_Toc487411806"/>
      <w:bookmarkStart w:id="366" w:name="_Toc12063"/>
      <w:bookmarkStart w:id="367" w:name="_Toc20898"/>
      <w:bookmarkStart w:id="368" w:name="_Toc489916110"/>
      <w:r>
        <w:rPr>
          <w:rFonts w:hint="eastAsia"/>
        </w:rPr>
        <w:t>4.1.4施工期固体废弃物影响分析</w:t>
      </w:r>
      <w:bookmarkEnd w:id="365"/>
      <w:bookmarkEnd w:id="366"/>
      <w:bookmarkEnd w:id="367"/>
      <w:bookmarkEnd w:id="368"/>
    </w:p>
    <w:p>
      <w:pPr>
        <w:ind w:firstLine="480"/>
      </w:pPr>
      <w:r>
        <w:rPr>
          <w:rFonts w:hint="eastAsia"/>
          <w:lang w:val="en-GB"/>
        </w:rPr>
        <w:t>本项目施工期的固体废物主要包括工程弃土、建筑垃圾和施工人员生活垃圾。</w:t>
      </w:r>
    </w:p>
    <w:p>
      <w:pPr>
        <w:ind w:firstLine="480"/>
        <w:rPr>
          <w:highlight w:val="yellow"/>
        </w:rPr>
      </w:pPr>
      <w:r>
        <w:rPr>
          <w:lang w:val="en-GB"/>
        </w:rPr>
        <w:t>（1）工程弃土：</w:t>
      </w:r>
      <w:r>
        <w:rPr>
          <w:rFonts w:hint="eastAsia"/>
        </w:rPr>
        <w:t>本项目由于猪舍、办公楼等构筑物的修筑，</w:t>
      </w:r>
      <w:r>
        <w:rPr>
          <w:lang w:val="en-GB"/>
        </w:rPr>
        <w:t>地下</w:t>
      </w:r>
      <w:r>
        <w:rPr>
          <w:rFonts w:hint="eastAsia"/>
        </w:rPr>
        <w:t>集污</w:t>
      </w:r>
      <w:r>
        <w:rPr>
          <w:lang w:val="en-GB"/>
        </w:rPr>
        <w:t>池的开挖，产生一定量的挖方</w:t>
      </w:r>
      <w:r>
        <w:rPr>
          <w:rFonts w:hint="eastAsia"/>
        </w:rPr>
        <w:t>，</w:t>
      </w:r>
      <w:r>
        <w:rPr>
          <w:lang w:val="en-GB"/>
        </w:rPr>
        <w:t>由于项目建设场均为山丘，极不平整。项目所在地，由于开发程度很低，没有配套的进场公路，因此项目产生的土石方全部以挖作填就地平衡，集中用于进场道路的修筑和建设场地的平整。</w:t>
      </w:r>
    </w:p>
    <w:p>
      <w:pPr>
        <w:ind w:firstLine="480"/>
      </w:pPr>
      <w:r>
        <w:rPr>
          <w:lang w:val="en-GB"/>
        </w:rPr>
        <w:t>本项目不存在土石方转运，不存在弃方。因此，工程弃土对项目周边环境不会造成明显影响。</w:t>
      </w:r>
    </w:p>
    <w:p>
      <w:pPr>
        <w:ind w:firstLine="480"/>
      </w:pPr>
      <w:r>
        <w:rPr>
          <w:lang w:val="en-GB"/>
        </w:rPr>
        <w:t>（2）建筑垃圾：本项目建筑垃圾主要有废弃的沙土石、水泥、木屑、碎木块、弃砖、水泥袋、纤维、塑料泡沫、碎玻璃、废金属等。建筑垃圾在施工工地内堆放会对自然景观产生影响，占用土地。施工期建筑垃圾应尽量回用，减少垃圾产生量；建筑垃圾要集中暂存在固定地点，不应乱堆放；争取建筑垃圾日产日清，建筑垃圾</w:t>
      </w:r>
      <w:r>
        <w:rPr>
          <w:rFonts w:hint="eastAsia"/>
          <w:lang w:val="en-GB"/>
        </w:rPr>
        <w:t>尽量</w:t>
      </w:r>
      <w:r>
        <w:rPr>
          <w:lang w:val="en-GB"/>
        </w:rPr>
        <w:t>回收利用，剩余的施工垃圾交由环卫部门处理。</w:t>
      </w:r>
    </w:p>
    <w:p>
      <w:pPr>
        <w:ind w:firstLine="480"/>
      </w:pPr>
      <w:r>
        <w:rPr>
          <w:lang w:val="en-GB"/>
        </w:rPr>
        <w:t>（3）施工人员生活垃圾：施工人员生活垃圾应</w:t>
      </w:r>
      <w:r>
        <w:rPr>
          <w:rFonts w:hint="eastAsia"/>
          <w:lang w:val="en-GB"/>
        </w:rPr>
        <w:t>应集中收集，</w:t>
      </w:r>
      <w:r>
        <w:rPr>
          <w:lang w:val="en-GB"/>
        </w:rPr>
        <w:t>暂存在垃圾桶中，不允许随处乱丢，垃圾桶应加盖，防止滋生苍蝇、蚊虫等，防止散发臭味，</w:t>
      </w:r>
      <w:r>
        <w:rPr>
          <w:rFonts w:hint="eastAsia"/>
          <w:lang w:val="en-GB"/>
        </w:rPr>
        <w:t>生活</w:t>
      </w:r>
      <w:r>
        <w:rPr>
          <w:lang w:val="en-GB"/>
        </w:rPr>
        <w:t>垃圾</w:t>
      </w:r>
      <w:r>
        <w:rPr>
          <w:rFonts w:hint="eastAsia"/>
          <w:lang w:val="en-GB"/>
        </w:rPr>
        <w:t>定期</w:t>
      </w:r>
      <w:r>
        <w:rPr>
          <w:lang w:val="en-GB"/>
        </w:rPr>
        <w:t>交环卫部门</w:t>
      </w:r>
      <w:r>
        <w:rPr>
          <w:rFonts w:hint="eastAsia"/>
          <w:lang w:val="en-GB"/>
        </w:rPr>
        <w:t>进行清运</w:t>
      </w:r>
      <w:r>
        <w:rPr>
          <w:lang w:val="en-GB"/>
        </w:rPr>
        <w:t>处理。</w:t>
      </w:r>
    </w:p>
    <w:p>
      <w:pPr>
        <w:ind w:firstLine="480"/>
      </w:pPr>
      <w:bookmarkStart w:id="369" w:name="_Toc25665"/>
      <w:bookmarkStart w:id="370" w:name="_Toc11046"/>
      <w:r>
        <w:t>因此，从环境保护的角度看，对建设期产生的固体废弃物进行妥善处置十分重要。只要施工队伍严格按照以上措施施工，则施工过程产生的固废对周围环境影响不大。</w:t>
      </w:r>
      <w:bookmarkEnd w:id="369"/>
      <w:bookmarkEnd w:id="370"/>
    </w:p>
    <w:p>
      <w:pPr>
        <w:pStyle w:val="5"/>
        <w:spacing w:before="62" w:after="62"/>
      </w:pPr>
      <w:bookmarkStart w:id="371" w:name="_Toc27535"/>
      <w:bookmarkStart w:id="372" w:name="_Toc487411807"/>
      <w:bookmarkStart w:id="373" w:name="_Toc489916111"/>
      <w:bookmarkStart w:id="374" w:name="_Toc29064"/>
      <w:r>
        <w:rPr>
          <w:rFonts w:hint="eastAsia"/>
        </w:rPr>
        <w:t>4.1.5施工期生态环境影响分析</w:t>
      </w:r>
      <w:bookmarkEnd w:id="371"/>
      <w:bookmarkEnd w:id="372"/>
      <w:bookmarkEnd w:id="373"/>
      <w:bookmarkEnd w:id="374"/>
    </w:p>
    <w:p>
      <w:pPr>
        <w:ind w:firstLine="480"/>
      </w:pPr>
      <w:bookmarkStart w:id="375" w:name="_Toc15970"/>
      <w:bookmarkStart w:id="376" w:name="_Toc3356"/>
      <w:r>
        <w:rPr>
          <w:rFonts w:hint="eastAsia"/>
        </w:rPr>
        <w:t>（一）水土流失</w:t>
      </w:r>
      <w:bookmarkEnd w:id="375"/>
      <w:bookmarkEnd w:id="376"/>
    </w:p>
    <w:p>
      <w:pPr>
        <w:ind w:firstLine="480"/>
      </w:pPr>
      <w:bookmarkStart w:id="377" w:name="_Toc10814"/>
      <w:bookmarkStart w:id="378" w:name="_Toc1718"/>
      <w:r>
        <w:rPr>
          <w:lang w:val="en-GB"/>
        </w:rPr>
        <w:t>场区、厂房、道路的土建施工是引起水土流失的主要工程因素。施工期土壤暴露在雨、风以及其他干扰之中。另外，大量的土方挖填、陡坡、边坡的形成和整理，会使土壤暴露情况加剧。施工过程中，泥土转运装卸作业过程与堆放，都可能出现散落和水土流失。同时，施工中的土壤由于被挖出，其结构会受到破坏，土壤抵抗侵蚀的能力因此被减弱，在暴雨中降雨所产尘的土壤侵蚀，也将会导致项目施工建设期的水土流失。</w:t>
      </w:r>
      <w:r>
        <w:t>水土流失的危害性主要表现在：</w:t>
      </w:r>
      <w:bookmarkEnd w:id="377"/>
      <w:bookmarkEnd w:id="378"/>
    </w:p>
    <w:p>
      <w:pPr>
        <w:ind w:firstLine="480"/>
      </w:pPr>
      <w:bookmarkStart w:id="379" w:name="_Toc2693"/>
      <w:bookmarkStart w:id="380" w:name="_Toc5962"/>
      <w:r>
        <w:rPr>
          <w:rFonts w:hint="eastAsia"/>
        </w:rPr>
        <w:t>（</w:t>
      </w:r>
      <w:r>
        <w:t>1</w:t>
      </w:r>
      <w:r>
        <w:rPr>
          <w:rFonts w:hint="eastAsia"/>
        </w:rPr>
        <w:t>）降低土壤肥力，水土流失一般冲走富含有机质的表层细土粒；</w:t>
      </w:r>
      <w:bookmarkEnd w:id="379"/>
      <w:bookmarkEnd w:id="380"/>
    </w:p>
    <w:p>
      <w:pPr>
        <w:ind w:firstLine="480"/>
      </w:pPr>
      <w:bookmarkStart w:id="381" w:name="_Toc28394"/>
      <w:bookmarkStart w:id="382" w:name="_Toc1997"/>
      <w:r>
        <w:rPr>
          <w:rFonts w:hint="eastAsia"/>
        </w:rPr>
        <w:t>（</w:t>
      </w:r>
      <w:r>
        <w:t>2</w:t>
      </w:r>
      <w:r>
        <w:rPr>
          <w:rFonts w:hint="eastAsia"/>
        </w:rPr>
        <w:t>）水土流失造成下游水体水质混浊，影响了水体的使用功能；造成泥沙淤积，抬高河床，降低河道的泄洪能力；</w:t>
      </w:r>
      <w:bookmarkEnd w:id="381"/>
      <w:bookmarkEnd w:id="382"/>
    </w:p>
    <w:p>
      <w:pPr>
        <w:ind w:firstLine="480"/>
      </w:pPr>
      <w:bookmarkStart w:id="383" w:name="_Toc20363"/>
      <w:bookmarkStart w:id="384" w:name="_Toc22051"/>
      <w:r>
        <w:rPr>
          <w:rFonts w:hint="eastAsia"/>
        </w:rPr>
        <w:t>（</w:t>
      </w:r>
      <w:r>
        <w:t>3</w:t>
      </w:r>
      <w:r>
        <w:rPr>
          <w:rFonts w:hint="eastAsia"/>
        </w:rPr>
        <w:t>）项目所在丘陵地区，水土流失可能导致山体滑坡等地质灾害。</w:t>
      </w:r>
      <w:bookmarkEnd w:id="383"/>
      <w:bookmarkEnd w:id="384"/>
    </w:p>
    <w:p>
      <w:pPr>
        <w:ind w:firstLine="480"/>
      </w:pPr>
      <w:bookmarkStart w:id="385" w:name="_Toc11198"/>
      <w:bookmarkStart w:id="386" w:name="_Toc30619"/>
      <w:r>
        <w:rPr>
          <w:rFonts w:hint="eastAsia"/>
        </w:rPr>
        <w:t>为将本项目的水土流失、生态破坏减少到最低程度，建议采取如下措施：</w:t>
      </w:r>
      <w:bookmarkEnd w:id="385"/>
      <w:bookmarkEnd w:id="386"/>
    </w:p>
    <w:p>
      <w:pPr>
        <w:ind w:firstLine="480"/>
      </w:pPr>
      <w:bookmarkStart w:id="387" w:name="_Toc26192"/>
      <w:bookmarkStart w:id="388" w:name="_Toc27003"/>
      <w:r>
        <w:rPr>
          <w:lang w:val="en-GB"/>
        </w:rPr>
        <w:t>（1）施工时对树木的砍伐与土地平整要依工程进度循序渐进的进行。</w:t>
      </w:r>
    </w:p>
    <w:p>
      <w:pPr>
        <w:ind w:firstLine="480"/>
      </w:pPr>
      <w:r>
        <w:rPr>
          <w:lang w:val="en-GB"/>
        </w:rPr>
        <w:t>（2）削坡到位时即行植草、铺护坡，严禁开挖坡度较大的区域。</w:t>
      </w:r>
    </w:p>
    <w:p>
      <w:pPr>
        <w:ind w:firstLine="480"/>
      </w:pPr>
      <w:r>
        <w:t>（3）取土场地、开挖面等裸露地应尽快恢复土层和植被。</w:t>
      </w:r>
      <w:bookmarkEnd w:id="387"/>
      <w:bookmarkEnd w:id="388"/>
    </w:p>
    <w:p>
      <w:pPr>
        <w:ind w:firstLine="480"/>
      </w:pPr>
      <w:bookmarkStart w:id="389" w:name="_Toc15863"/>
      <w:bookmarkStart w:id="390" w:name="_Toc19651"/>
      <w:r>
        <w:t>（4）雨季施工期易造成水土流失，要注意施工场地建筑材料堆放及施工过程弃土的雨水冲刷问题</w:t>
      </w:r>
      <w:r>
        <w:rPr>
          <w:rFonts w:hint="eastAsia"/>
        </w:rPr>
        <w:t>，设置栏挡与覆盖</w:t>
      </w:r>
      <w:r>
        <w:t>。</w:t>
      </w:r>
      <w:bookmarkEnd w:id="389"/>
      <w:bookmarkEnd w:id="390"/>
    </w:p>
    <w:p>
      <w:pPr>
        <w:ind w:firstLine="480"/>
      </w:pPr>
      <w:bookmarkStart w:id="391" w:name="_Toc31579"/>
      <w:bookmarkStart w:id="392" w:name="_Toc3043"/>
      <w:r>
        <w:t>（5）尽量避开暴雨期施工</w:t>
      </w:r>
    </w:p>
    <w:p>
      <w:pPr>
        <w:ind w:firstLine="480"/>
      </w:pPr>
      <w:r>
        <w:rPr>
          <w:lang w:val="en-GB"/>
        </w:rPr>
        <w:t>（</w:t>
      </w:r>
      <w:r>
        <w:t>6</w:t>
      </w:r>
      <w:r>
        <w:rPr>
          <w:lang w:val="en-GB"/>
        </w:rPr>
        <w:t>）防止塌方与水土流失，在土方工程完成后，应加强绿化工作，尽快规划绿地和各种裸露地面的绿化恢复工作，使生态经管得到好转。</w:t>
      </w:r>
    </w:p>
    <w:p>
      <w:pPr>
        <w:ind w:firstLine="480"/>
      </w:pPr>
      <w:r>
        <w:rPr>
          <w:lang w:val="en-GB"/>
        </w:rPr>
        <w:t>（</w:t>
      </w:r>
      <w:r>
        <w:rPr>
          <w:rFonts w:hint="eastAsia"/>
          <w:lang w:val="en-GB"/>
        </w:rPr>
        <w:t>7</w:t>
      </w:r>
      <w:r>
        <w:rPr>
          <w:lang w:val="en-GB"/>
        </w:rPr>
        <w:t>）</w:t>
      </w:r>
      <w:r>
        <w:rPr>
          <w:rFonts w:hint="eastAsia"/>
          <w:lang w:val="en-GB"/>
        </w:rPr>
        <w:t>施工期做好排水工程，项目四周修建导流沟，对边坡进行硬化，防止雨水冲刷导致的水土流失。以挖代填，平整场地，削坡定级，</w:t>
      </w:r>
      <w:r>
        <w:rPr>
          <w:lang w:val="en-GB"/>
        </w:rPr>
        <w:t>对养殖区的裸露地面进行</w:t>
      </w:r>
      <w:r>
        <w:rPr>
          <w:rFonts w:hint="eastAsia"/>
        </w:rPr>
        <w:t>覆盖，尽快进行硬化或绿化等。</w:t>
      </w:r>
    </w:p>
    <w:p>
      <w:pPr>
        <w:ind w:firstLine="480"/>
        <w:rPr>
          <w:lang w:val="en-GB"/>
        </w:rPr>
      </w:pPr>
      <w:r>
        <w:rPr>
          <w:lang w:val="en-GB"/>
        </w:rPr>
        <w:t>（</w:t>
      </w:r>
      <w:r>
        <w:rPr>
          <w:rFonts w:hint="eastAsia"/>
        </w:rPr>
        <w:t>8</w:t>
      </w:r>
      <w:r>
        <w:rPr>
          <w:lang w:val="en-GB"/>
        </w:rPr>
        <w:t>）建设单位应对施工期及施工完毕影响区域的水土保持有足够的重视，落实建设资金，做到按计划有步骤地进行水土流失的防治，确保自然生态环境不受水土流失的严重影响。</w:t>
      </w:r>
    </w:p>
    <w:bookmarkEnd w:id="391"/>
    <w:bookmarkEnd w:id="392"/>
    <w:p>
      <w:pPr>
        <w:ind w:firstLine="480"/>
      </w:pPr>
      <w:bookmarkStart w:id="393" w:name="_Toc10001"/>
      <w:bookmarkStart w:id="394" w:name="_Toc6223"/>
      <w:r>
        <w:t>（二）生态环境</w:t>
      </w:r>
      <w:bookmarkEnd w:id="393"/>
      <w:bookmarkEnd w:id="394"/>
    </w:p>
    <w:p>
      <w:pPr>
        <w:ind w:firstLine="480"/>
      </w:pPr>
      <w:bookmarkStart w:id="395" w:name="_Toc31485"/>
      <w:bookmarkStart w:id="396" w:name="_Toc29204"/>
      <w:r>
        <w:t>本项目用地类型主要为</w:t>
      </w:r>
      <w:r>
        <w:rPr>
          <w:rFonts w:hint="eastAsia"/>
        </w:rPr>
        <w:t>山丘</w:t>
      </w:r>
      <w:r>
        <w:t>林地、杂木灌丛、荒地等，项目</w:t>
      </w:r>
      <w:r>
        <w:rPr>
          <w:rFonts w:hint="eastAsia"/>
        </w:rPr>
        <w:t>养殖区域建设</w:t>
      </w:r>
      <w:r>
        <w:t>施工过程会对其现有的陆生生态系统造成破坏，</w:t>
      </w:r>
      <w:r>
        <w:rPr>
          <w:rFonts w:hint="eastAsia"/>
        </w:rPr>
        <w:t>改变土地的使用类型，</w:t>
      </w:r>
      <w:r>
        <w:t>将其转变成</w:t>
      </w:r>
      <w:r>
        <w:rPr>
          <w:rFonts w:hint="eastAsia"/>
        </w:rPr>
        <w:t>农用设施</w:t>
      </w:r>
      <w:r>
        <w:t>用地，但在建设后期通过绿化等措施可缓和对生态系统的不利影响。</w:t>
      </w:r>
      <w:bookmarkEnd w:id="395"/>
      <w:bookmarkEnd w:id="396"/>
      <w:bookmarkStart w:id="397" w:name="_Toc12800"/>
      <w:bookmarkStart w:id="398" w:name="_Toc4692"/>
    </w:p>
    <w:p>
      <w:pPr>
        <w:ind w:firstLine="480"/>
      </w:pPr>
      <w:r>
        <w:t>因此，</w:t>
      </w:r>
      <w:r>
        <w:rPr>
          <w:rFonts w:hint="eastAsia"/>
        </w:rPr>
        <w:t>本项目施工期采取以上措施后，对周边生态环境</w:t>
      </w:r>
      <w:r>
        <w:t>带来不利影响较小。</w:t>
      </w:r>
      <w:bookmarkEnd w:id="397"/>
      <w:bookmarkEnd w:id="398"/>
    </w:p>
    <w:p>
      <w:pPr>
        <w:pStyle w:val="4"/>
        <w:spacing w:before="62" w:after="62"/>
      </w:pPr>
      <w:bookmarkStart w:id="399" w:name="_Toc8636"/>
      <w:r>
        <w:rPr>
          <w:rFonts w:hint="eastAsia"/>
        </w:rPr>
        <w:t>4.2</w:t>
      </w:r>
      <w:r>
        <w:t>营运期环境影响预测与分析</w:t>
      </w:r>
      <w:bookmarkEnd w:id="186"/>
      <w:bookmarkEnd w:id="187"/>
      <w:bookmarkEnd w:id="399"/>
    </w:p>
    <w:p>
      <w:pPr>
        <w:pStyle w:val="5"/>
        <w:spacing w:before="62" w:after="62"/>
      </w:pPr>
      <w:bookmarkStart w:id="400" w:name="_Toc468689192"/>
      <w:r>
        <w:rPr>
          <w:rFonts w:hint="eastAsia"/>
        </w:rPr>
        <w:t>4.2.1</w:t>
      </w:r>
      <w:r>
        <w:t>地表水环境影响分析</w:t>
      </w:r>
      <w:bookmarkEnd w:id="400"/>
    </w:p>
    <w:p>
      <w:pPr>
        <w:ind w:firstLine="480"/>
      </w:pPr>
      <w:bookmarkStart w:id="401" w:name="_Hlk486192968"/>
      <w:r>
        <w:rPr>
          <w:rFonts w:hint="eastAsia"/>
        </w:rPr>
        <w:t>本项目养殖场地均实施了雨污分流。项目设有发酵床系统，生产、生活废水进入发酵床处理，采用异位微生物发酵床处理养殖粪污，猪粪尿喷洒在发酵床的垫料上，粪尿中的污染物质被垫料中的微生物菌群进行生物发酵分解，猪尿中的水分90%在高温发酵过程中挥发损失，一部分滞留在垫料中维持垫料所需的湿度（45%左右），无养殖废水产生。垫料作为有机肥料外售。因此，项目废水均不外排地表水体。根据《环境影响评价技术导则-地表水环境》（HJ2.3-2018），本项目废水全部综合利用，属于间接排放，废水评价等级为三级B。因此，本环评针对项目废水的综合利用，分正常情况和非正常情况综合分析。</w:t>
      </w:r>
    </w:p>
    <w:p>
      <w:pPr>
        <w:pStyle w:val="11"/>
      </w:pPr>
      <w:r>
        <w:t xml:space="preserve">表4.2- </w:t>
      </w:r>
      <w:r>
        <w:fldChar w:fldCharType="begin"/>
      </w:r>
      <w:r>
        <w:instrText xml:space="preserve"> SEQ 表4.2- \* ARABIC </w:instrText>
      </w:r>
      <w:r>
        <w:fldChar w:fldCharType="separate"/>
      </w:r>
      <w:r>
        <w:t>1</w:t>
      </w:r>
      <w:r>
        <w:fldChar w:fldCharType="end"/>
      </w:r>
      <w:r>
        <w:rPr>
          <w:rFonts w:hint="eastAsia"/>
        </w:rPr>
        <w:t xml:space="preserve">  水污染影响型建设项目评价等级判定</w:t>
      </w:r>
    </w:p>
    <w:tbl>
      <w:tblPr>
        <w:tblStyle w:val="21"/>
        <w:tblW w:w="84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2"/>
        <w:gridCol w:w="1949"/>
        <w:gridCol w:w="44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2" w:type="dxa"/>
            <w:vMerge w:val="restart"/>
            <w:vAlign w:val="center"/>
          </w:tcPr>
          <w:p>
            <w:pPr>
              <w:pStyle w:val="8"/>
              <w:ind w:firstLine="0" w:firstLineChars="0"/>
            </w:pPr>
            <w:r>
              <w:rPr>
                <w:rFonts w:hint="eastAsia"/>
              </w:rPr>
              <w:t>评价等级</w:t>
            </w:r>
          </w:p>
        </w:tc>
        <w:tc>
          <w:tcPr>
            <w:tcW w:w="6408" w:type="dxa"/>
            <w:gridSpan w:val="2"/>
            <w:vAlign w:val="center"/>
          </w:tcPr>
          <w:p>
            <w:pPr>
              <w:pStyle w:val="8"/>
              <w:ind w:firstLine="0" w:firstLineChars="0"/>
            </w:pPr>
            <w:r>
              <w:rPr>
                <w:rFonts w:hint="eastAsia"/>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2" w:type="dxa"/>
            <w:vMerge w:val="continue"/>
            <w:vAlign w:val="center"/>
          </w:tcPr>
          <w:p>
            <w:pPr>
              <w:pStyle w:val="8"/>
              <w:ind w:firstLine="0" w:firstLineChars="0"/>
            </w:pPr>
          </w:p>
        </w:tc>
        <w:tc>
          <w:tcPr>
            <w:tcW w:w="1949" w:type="dxa"/>
            <w:vAlign w:val="center"/>
          </w:tcPr>
          <w:p>
            <w:pPr>
              <w:pStyle w:val="8"/>
              <w:ind w:firstLine="0" w:firstLineChars="0"/>
            </w:pPr>
            <w:r>
              <w:rPr>
                <w:rFonts w:hint="eastAsia"/>
              </w:rPr>
              <w:t>排放方式</w:t>
            </w:r>
          </w:p>
        </w:tc>
        <w:tc>
          <w:tcPr>
            <w:tcW w:w="4459" w:type="dxa"/>
            <w:vAlign w:val="center"/>
          </w:tcPr>
          <w:p>
            <w:pPr>
              <w:pStyle w:val="8"/>
              <w:ind w:firstLine="0" w:firstLineChars="0"/>
            </w:pPr>
            <w:r>
              <w:rPr>
                <w:rFonts w:hint="eastAsia"/>
              </w:rPr>
              <w:t>废水排放量Q/（m</w:t>
            </w:r>
            <w:r>
              <w:rPr>
                <w:rFonts w:hint="eastAsia"/>
                <w:vertAlign w:val="superscript"/>
              </w:rPr>
              <w:t>3</w:t>
            </w:r>
            <w:r>
              <w:rPr>
                <w:rFonts w:hint="eastAsia"/>
              </w:rPr>
              <w:t>/d）；</w:t>
            </w:r>
          </w:p>
          <w:p>
            <w:pPr>
              <w:pStyle w:val="8"/>
              <w:ind w:firstLine="0" w:firstLineChars="0"/>
            </w:pPr>
            <w:r>
              <w:rPr>
                <w:rFonts w:hint="eastAsia"/>
              </w:rPr>
              <w:t>水污染物当量数W/（无量纲）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2" w:type="dxa"/>
            <w:vAlign w:val="center"/>
          </w:tcPr>
          <w:p>
            <w:pPr>
              <w:pStyle w:val="8"/>
              <w:ind w:firstLine="0" w:firstLineChars="0"/>
            </w:pPr>
            <w:r>
              <w:rPr>
                <w:rFonts w:hint="eastAsia"/>
              </w:rPr>
              <w:t>一级</w:t>
            </w:r>
          </w:p>
        </w:tc>
        <w:tc>
          <w:tcPr>
            <w:tcW w:w="1949" w:type="dxa"/>
            <w:vAlign w:val="center"/>
          </w:tcPr>
          <w:p>
            <w:pPr>
              <w:pStyle w:val="8"/>
              <w:ind w:firstLine="0" w:firstLineChars="0"/>
            </w:pPr>
            <w:r>
              <w:rPr>
                <w:rFonts w:hint="eastAsia"/>
              </w:rPr>
              <w:t>直接排放</w:t>
            </w:r>
          </w:p>
        </w:tc>
        <w:tc>
          <w:tcPr>
            <w:tcW w:w="4459" w:type="dxa"/>
            <w:vAlign w:val="center"/>
          </w:tcPr>
          <w:p>
            <w:pPr>
              <w:pStyle w:val="8"/>
              <w:ind w:firstLine="0" w:firstLineChars="0"/>
            </w:pPr>
            <w:r>
              <w:rPr>
                <w:rFonts w:hint="eastAsia"/>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2" w:type="dxa"/>
            <w:vAlign w:val="center"/>
          </w:tcPr>
          <w:p>
            <w:pPr>
              <w:pStyle w:val="8"/>
              <w:ind w:firstLine="0" w:firstLineChars="0"/>
            </w:pPr>
            <w:r>
              <w:rPr>
                <w:rFonts w:hint="eastAsia"/>
              </w:rPr>
              <w:t>二级</w:t>
            </w:r>
          </w:p>
        </w:tc>
        <w:tc>
          <w:tcPr>
            <w:tcW w:w="1949" w:type="dxa"/>
            <w:vAlign w:val="center"/>
          </w:tcPr>
          <w:p>
            <w:pPr>
              <w:pStyle w:val="8"/>
              <w:ind w:firstLine="0" w:firstLineChars="0"/>
            </w:pPr>
            <w:r>
              <w:rPr>
                <w:rFonts w:hint="eastAsia"/>
              </w:rPr>
              <w:t>直接排放</w:t>
            </w:r>
          </w:p>
        </w:tc>
        <w:tc>
          <w:tcPr>
            <w:tcW w:w="4459" w:type="dxa"/>
            <w:vAlign w:val="center"/>
          </w:tcPr>
          <w:p>
            <w:pPr>
              <w:pStyle w:val="8"/>
              <w:ind w:firstLine="0" w:firstLineChars="0"/>
            </w:pPr>
            <w:r>
              <w:rPr>
                <w:rFonts w:hint="eastAsia"/>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2" w:type="dxa"/>
            <w:vAlign w:val="center"/>
          </w:tcPr>
          <w:p>
            <w:pPr>
              <w:pStyle w:val="8"/>
              <w:ind w:firstLine="0" w:firstLineChars="0"/>
            </w:pPr>
            <w:r>
              <w:rPr>
                <w:rFonts w:hint="eastAsia"/>
              </w:rPr>
              <w:t>三级A</w:t>
            </w:r>
          </w:p>
        </w:tc>
        <w:tc>
          <w:tcPr>
            <w:tcW w:w="1949" w:type="dxa"/>
            <w:vAlign w:val="center"/>
          </w:tcPr>
          <w:p>
            <w:pPr>
              <w:pStyle w:val="8"/>
              <w:ind w:firstLine="0" w:firstLineChars="0"/>
            </w:pPr>
            <w:r>
              <w:rPr>
                <w:rFonts w:hint="eastAsia"/>
              </w:rPr>
              <w:t>直接排放</w:t>
            </w:r>
          </w:p>
        </w:tc>
        <w:tc>
          <w:tcPr>
            <w:tcW w:w="4459" w:type="dxa"/>
            <w:vAlign w:val="center"/>
          </w:tcPr>
          <w:p>
            <w:pPr>
              <w:pStyle w:val="8"/>
              <w:ind w:firstLine="0" w:firstLineChars="0"/>
            </w:pPr>
            <w:r>
              <w:rPr>
                <w:rFonts w:hint="eastAsia"/>
              </w:rPr>
              <w:t>Q＜200且W＜6000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032" w:type="dxa"/>
            <w:vAlign w:val="center"/>
          </w:tcPr>
          <w:p>
            <w:pPr>
              <w:pStyle w:val="8"/>
              <w:ind w:firstLine="0" w:firstLineChars="0"/>
            </w:pPr>
            <w:r>
              <w:rPr>
                <w:rFonts w:hint="eastAsia"/>
              </w:rPr>
              <w:t>三级B</w:t>
            </w:r>
          </w:p>
        </w:tc>
        <w:tc>
          <w:tcPr>
            <w:tcW w:w="1949" w:type="dxa"/>
            <w:vAlign w:val="center"/>
          </w:tcPr>
          <w:p>
            <w:pPr>
              <w:pStyle w:val="8"/>
              <w:ind w:firstLine="0" w:firstLineChars="0"/>
            </w:pPr>
            <w:r>
              <w:rPr>
                <w:rFonts w:hint="eastAsia"/>
              </w:rPr>
              <w:t>间接排放</w:t>
            </w:r>
          </w:p>
        </w:tc>
        <w:tc>
          <w:tcPr>
            <w:tcW w:w="4459" w:type="dxa"/>
            <w:vAlign w:val="center"/>
          </w:tcPr>
          <w:p>
            <w:pPr>
              <w:pStyle w:val="8"/>
              <w:ind w:firstLine="0" w:firstLineChars="0"/>
            </w:pPr>
            <w:r>
              <w:rPr>
                <w:rFonts w:hint="eastAsia"/>
              </w:rPr>
              <w:t>—</w:t>
            </w:r>
          </w:p>
        </w:tc>
      </w:tr>
    </w:tbl>
    <w:p>
      <w:pPr>
        <w:ind w:firstLine="480"/>
      </w:pPr>
      <w:r>
        <w:rPr>
          <w:rFonts w:hint="eastAsia"/>
        </w:rPr>
        <w:t>（1）正常情况下水环境影响分析</w:t>
      </w:r>
    </w:p>
    <w:p>
      <w:pPr>
        <w:ind w:firstLine="480"/>
        <w:rPr>
          <w:highlight w:val="yellow"/>
        </w:rPr>
      </w:pPr>
      <w:r>
        <w:rPr>
          <w:rFonts w:hint="eastAsia"/>
        </w:rPr>
        <w:t>本项目养殖场均实施了雨污分流，粪便、猪尿与冲洗废水均一并冲入发酵床。发酵床更换垫料出售给周边农户，养殖废水均不外排</w:t>
      </w:r>
      <w:r>
        <w:t>。</w:t>
      </w:r>
      <w:r>
        <w:rPr>
          <w:rFonts w:hint="eastAsia"/>
        </w:rPr>
        <w:t>评价人员对项目养殖区及种植区周边进行走访调查，发现项目周边均为低山丘陵，地表水系不发达，没有明显的表面径流，与周边的河流、水库也没有明显的水力联系通道。因此，本项目养殖污水对周边水体水环境影响很小。</w:t>
      </w:r>
    </w:p>
    <w:p>
      <w:pPr>
        <w:ind w:firstLine="480"/>
      </w:pPr>
      <w:r>
        <w:rPr>
          <w:rFonts w:hint="eastAsia"/>
        </w:rPr>
        <w:t>本项目在正常情况下发酵床垫料全部作为肥料出售，污水不外排。本项目最近的水体为项目东南面农灌渠1直线距离约为550</w:t>
      </w:r>
      <w:r>
        <w:t>m</w:t>
      </w:r>
      <w:r>
        <w:rPr>
          <w:rFonts w:hint="eastAsia"/>
        </w:rPr>
        <w:t>，农灌渠1流经约1.6km汇入农灌渠2（与场界的最近距离1740</w:t>
      </w:r>
      <w:r>
        <w:t>m</w:t>
      </w:r>
      <w:r>
        <w:rPr>
          <w:rFonts w:hint="eastAsia"/>
        </w:rPr>
        <w:t>），农灌渠2流经6.3km汇入涔水。</w:t>
      </w:r>
    </w:p>
    <w:p>
      <w:pPr>
        <w:ind w:firstLine="480"/>
      </w:pPr>
      <w:r>
        <w:rPr>
          <w:rFonts w:hint="eastAsia"/>
        </w:rPr>
        <w:t>项目区域不属于饮用水源保护区的集雨范围。</w:t>
      </w:r>
    </w:p>
    <w:p>
      <w:pPr>
        <w:ind w:firstLine="480"/>
      </w:pPr>
      <w:r>
        <w:rPr>
          <w:rFonts w:hint="eastAsia"/>
        </w:rPr>
        <w:t>（2）非正常排污影响分析</w:t>
      </w:r>
    </w:p>
    <w:p>
      <w:pPr>
        <w:ind w:firstLine="480"/>
      </w:pPr>
      <w:bookmarkStart w:id="402" w:name="_Hlk486193060"/>
      <w:r>
        <w:t>非正常情况</w:t>
      </w:r>
      <w:r>
        <w:rPr>
          <w:rFonts w:hint="eastAsia"/>
        </w:rPr>
        <w:t>下，分为两种情况进行分析，一种情况为异常情况，即半失效情况下，一种情况为极端情况，完全失效情况下：</w:t>
      </w:r>
    </w:p>
    <w:p>
      <w:pPr>
        <w:ind w:firstLine="480"/>
      </w:pPr>
      <w:r>
        <w:rPr>
          <w:rFonts w:hint="eastAsia"/>
        </w:rPr>
        <w:t>①若在连续的雨季情况下或者发酵床异常的情况下，</w:t>
      </w:r>
      <w:r>
        <w:t>项目</w:t>
      </w:r>
      <w:r>
        <w:rPr>
          <w:rFonts w:hint="eastAsia"/>
        </w:rPr>
        <w:t>污水</w:t>
      </w:r>
      <w:r>
        <w:t>未经</w:t>
      </w:r>
      <w:r>
        <w:rPr>
          <w:rFonts w:hint="eastAsia"/>
        </w:rPr>
        <w:t>有效收集而外泄，首先会流入周边水塘中，对水塘水质造成严重污染</w:t>
      </w:r>
      <w:r>
        <w:t>，</w:t>
      </w:r>
      <w:r>
        <w:rPr>
          <w:rFonts w:hint="eastAsia"/>
        </w:rPr>
        <w:t>污染的塘水溢流进入农灌渠，一方面影响农灌渠水质，进入</w:t>
      </w:r>
      <w:r>
        <w:t>影响</w:t>
      </w:r>
      <w:r>
        <w:rPr>
          <w:rFonts w:hint="eastAsia"/>
        </w:rPr>
        <w:t>附近弄</w:t>
      </w:r>
      <w:r>
        <w:t>作物的生长成熟。</w:t>
      </w:r>
      <w:r>
        <w:rPr>
          <w:rFonts w:hint="eastAsia"/>
        </w:rPr>
        <w:t>农灌渠1流经约1.6km汇入农灌渠2（与场界的最近距离1740</w:t>
      </w:r>
      <w:r>
        <w:t>m</w:t>
      </w:r>
      <w:r>
        <w:rPr>
          <w:rFonts w:hint="eastAsia"/>
        </w:rPr>
        <w:t>），农灌渠2流经6.3km汇入界溪河，对周边水质造成局部的严重污染影响。</w:t>
      </w:r>
    </w:p>
    <w:p>
      <w:pPr>
        <w:ind w:firstLine="480"/>
      </w:pPr>
      <w:r>
        <w:rPr>
          <w:rFonts w:hint="eastAsia"/>
        </w:rPr>
        <w:t>因此，项目废水在采取适当的措施后，对地表水体水质影响均较小。</w:t>
      </w:r>
    </w:p>
    <w:bookmarkEnd w:id="401"/>
    <w:bookmarkEnd w:id="402"/>
    <w:p>
      <w:pPr>
        <w:pStyle w:val="5"/>
        <w:spacing w:before="62" w:after="62"/>
      </w:pPr>
      <w:bookmarkStart w:id="403" w:name="_Toc468689196"/>
      <w:r>
        <w:rPr>
          <w:rFonts w:hint="eastAsia"/>
        </w:rPr>
        <w:t>4.2.2</w:t>
      </w:r>
      <w:r>
        <w:t>地下水环境影响分析</w:t>
      </w:r>
      <w:bookmarkEnd w:id="403"/>
    </w:p>
    <w:p>
      <w:pPr>
        <w:ind w:firstLine="480"/>
      </w:pPr>
      <w:r>
        <w:rPr>
          <w:rFonts w:hint="eastAsia"/>
        </w:rPr>
        <w:t>（</w:t>
      </w:r>
      <w:r>
        <w:t>1</w:t>
      </w:r>
      <w:r>
        <w:rPr>
          <w:rFonts w:hint="eastAsia"/>
        </w:rPr>
        <w:t>）地下水污染途径分析</w:t>
      </w:r>
    </w:p>
    <w:p>
      <w:pPr>
        <w:ind w:firstLine="480"/>
      </w:pPr>
      <w:r>
        <w:rPr>
          <w:rFonts w:hint="eastAsia"/>
        </w:rPr>
        <w:t>本项目产生的养殖污水对地下水的污染途径主要来自厂区养殖区、集污池、生物发酵床以及粪污管道等跑、冒、滴、漏，导致粪污水经土层入渗，污染地下水。</w:t>
      </w:r>
    </w:p>
    <w:p>
      <w:pPr>
        <w:ind w:firstLine="480"/>
      </w:pPr>
      <w:r>
        <w:rPr>
          <w:rFonts w:hint="eastAsia"/>
        </w:rPr>
        <w:t>（</w:t>
      </w:r>
      <w:r>
        <w:t>2</w:t>
      </w:r>
      <w:r>
        <w:rPr>
          <w:rFonts w:hint="eastAsia"/>
        </w:rPr>
        <w:t>）地下水影响分析</w:t>
      </w:r>
    </w:p>
    <w:p>
      <w:pPr>
        <w:ind w:firstLine="480"/>
      </w:pPr>
      <w:r>
        <w:rPr>
          <w:rFonts w:hint="eastAsia"/>
        </w:rPr>
        <w:t>由于项目建设，原本的土地面被硬化，增大了地面的地表径流系数，同样使下渗的地下补充水有一定量的减少，但该区域内降雨量丰富，被硬化的土地面积较小，不会对地下水水量造成明显影响。</w:t>
      </w:r>
    </w:p>
    <w:p>
      <w:pPr>
        <w:ind w:firstLine="480"/>
      </w:pPr>
      <w:r>
        <w:rPr>
          <w:rFonts w:hint="eastAsia"/>
        </w:rPr>
        <w:t>本项目无养殖废水外排。每栋猪舍均为两层结构，地上一层为猪舍，猪舍水泥漏缝下面为刮粪池，均用混凝土修建</w:t>
      </w:r>
      <w:r>
        <w:t>。集污池体出现开裂和破损、粪污输送管道老化破裂、粪污输送渠道开裂、破损以及异位发酵床池体出现裂缝等情况，将导致养殖废水的非正常排放，粪污水直接入渗地下，从而对地下水质产生不利影响。</w:t>
      </w:r>
    </w:p>
    <w:p>
      <w:pPr>
        <w:ind w:firstLine="480"/>
      </w:pPr>
      <w:r>
        <w:rPr>
          <w:rFonts w:hint="eastAsia"/>
        </w:rPr>
        <w:t>本项目粪便污水等进入异位发酵床车间处理后作为有机肥外售给有机肥厂，本项目无废水不外排地表水环境。</w:t>
      </w:r>
      <w:r>
        <w:t>据有关资料表明，COD、NH</w:t>
      </w:r>
      <w:r>
        <w:rPr>
          <w:vertAlign w:val="subscript"/>
        </w:rPr>
        <w:t>3</w:t>
      </w:r>
      <w:r>
        <w:t>-N为代表的有机污染物质渗入到地下水体的速度非常缓慢，且在这个过程中98%以上的COD、NH</w:t>
      </w:r>
      <w:r>
        <w:rPr>
          <w:vertAlign w:val="subscript"/>
        </w:rPr>
        <w:t>3</w:t>
      </w:r>
      <w:r>
        <w:t>-N等有机污染物又被土壤的物理和化学吸附作用所截流，因此在还田施肥过程中，进入地下水体的浓度将极大地降低，再加之本项目周边水井极少，所以对地下水环境污染的风险较小。项目粪污处理区按规定进行了防渗处理，可以有效防止污水渗入地下，因而场区污水也不会渗入地下。</w:t>
      </w:r>
    </w:p>
    <w:p>
      <w:pPr>
        <w:ind w:firstLine="480"/>
      </w:pPr>
      <w:r>
        <w:t>因此，必须加强养殖区、集污池、生物发酵</w:t>
      </w:r>
      <w:r>
        <w:rPr>
          <w:rFonts w:hint="eastAsia"/>
        </w:rPr>
        <w:t>床池体的防渗，以上区域为重点防渗区，通过强有力的防渗措施可使地下水的影响控制在可接受的范围内。通过调查，评价区域地下水属于上部水量丰富、下部水量中等的双层孔隙承压水的区域，地下水的埋深较深，10m以上，因此，区域地下水受地表水影响较小，受地面渗漏的影响也较小。</w:t>
      </w:r>
      <w:bookmarkStart w:id="404" w:name="_Hlk486193180"/>
      <w:r>
        <w:rPr>
          <w:rFonts w:hint="eastAsia"/>
        </w:rPr>
        <w:t>此外，本项目集污池、微生物发酵床等按规定进行了相应的防渗处理，防渗等级符合相关标准要求，可以有效防止污水渗入地下，场区污水渗入地下的可能性较小</w:t>
      </w:r>
      <w:bookmarkEnd w:id="404"/>
      <w:r>
        <w:rPr>
          <w:rFonts w:hint="eastAsia"/>
        </w:rPr>
        <w:t>。</w:t>
      </w:r>
    </w:p>
    <w:p>
      <w:pPr>
        <w:pStyle w:val="5"/>
        <w:spacing w:before="62" w:after="62"/>
      </w:pPr>
      <w:bookmarkStart w:id="405" w:name="_Toc468689199"/>
      <w:r>
        <w:rPr>
          <w:rFonts w:hint="eastAsia"/>
        </w:rPr>
        <w:t>4.2.3</w:t>
      </w:r>
      <w:r>
        <w:t>环境空气影响分析</w:t>
      </w:r>
      <w:bookmarkEnd w:id="405"/>
    </w:p>
    <w:p>
      <w:pPr>
        <w:spacing w:line="460" w:lineRule="exact"/>
        <w:ind w:firstLine="480"/>
      </w:pPr>
      <w:r>
        <w:rPr>
          <w:rFonts w:hint="eastAsia"/>
        </w:rPr>
        <w:t>本项目运营后，废气排放源主要有猪舍、粪污暂存设施及发酵床产生的恶臭气体，备用发电机产生的烟气以及食堂产生的油烟等废气</w:t>
      </w:r>
      <w:r>
        <w:t>。</w:t>
      </w:r>
    </w:p>
    <w:p>
      <w:pPr>
        <w:spacing w:line="460" w:lineRule="exact"/>
        <w:ind w:firstLine="480"/>
      </w:pPr>
      <w:bookmarkStart w:id="406" w:name="_Toc468689200"/>
      <w:r>
        <w:t>(1)</w:t>
      </w:r>
      <w:r>
        <w:rPr>
          <w:rFonts w:hint="eastAsia"/>
        </w:rPr>
        <w:t xml:space="preserve"> 恶臭气体影响分析</w:t>
      </w:r>
    </w:p>
    <w:p>
      <w:pPr>
        <w:spacing w:line="460" w:lineRule="exact"/>
        <w:ind w:firstLine="480"/>
      </w:pPr>
      <w:r>
        <w:rPr>
          <w:rFonts w:hint="eastAsia"/>
        </w:rPr>
        <w:t>①恶臭特点分析</w:t>
      </w:r>
    </w:p>
    <w:p>
      <w:pPr>
        <w:spacing w:line="460" w:lineRule="exact"/>
        <w:ind w:firstLine="480"/>
      </w:pPr>
      <w:r>
        <w:rPr>
          <w:rFonts w:hint="eastAsia"/>
        </w:rPr>
        <w:t>恶臭是养殖场的主要大气污染物，主要来自猪粪尿、饲料及猪只尸体等腐败分解。猪的新鲜粪便、尿液、消化道排出气体、皮脂腺和汗腺的分泌物、粘附在体表的污物、畜体外激素等发出的难闻气味。但养猪场恶臭主要来源是猪只粪便排出体外之后的腐败分解。影响猪场恶臭产生的主要因素是清粪方式、管理水平、粪便和污水的无害化处理程度。同时，也与场址规划和布局、畜舍设计、畜舍通风等有关。</w:t>
      </w:r>
    </w:p>
    <w:p>
      <w:pPr>
        <w:spacing w:line="460" w:lineRule="exact"/>
        <w:ind w:firstLine="480"/>
      </w:pPr>
      <w:r>
        <w:rPr>
          <w:rFonts w:hint="eastAsia"/>
        </w:rPr>
        <w:t>根据有关文献，引起猪场恶臭的物质经鉴定有</w:t>
      </w:r>
      <w:r>
        <w:t>160</w:t>
      </w:r>
      <w:r>
        <w:rPr>
          <w:rFonts w:hint="eastAsia"/>
        </w:rPr>
        <w:t>种以上化合物。包括多种挥发性有机酸类（</w:t>
      </w:r>
      <w:r>
        <w:t>Acid</w:t>
      </w:r>
      <w:r>
        <w:rPr>
          <w:rFonts w:hint="eastAsia"/>
        </w:rPr>
        <w:t>）、醇类（</w:t>
      </w:r>
      <w:r>
        <w:t>Alcohls</w:t>
      </w:r>
      <w:r>
        <w:rPr>
          <w:rFonts w:hint="eastAsia"/>
        </w:rPr>
        <w:t>）、酚类（</w:t>
      </w:r>
      <w:r>
        <w:t>Phenols</w:t>
      </w:r>
      <w:r>
        <w:rPr>
          <w:rFonts w:hint="eastAsia"/>
        </w:rPr>
        <w:t>）、酮类（</w:t>
      </w:r>
      <w:r>
        <w:t>Kelones</w:t>
      </w:r>
      <w:r>
        <w:rPr>
          <w:rFonts w:hint="eastAsia"/>
        </w:rPr>
        <w:t>）、酯类（</w:t>
      </w:r>
      <w:r>
        <w:t>Esters</w:t>
      </w:r>
      <w:r>
        <w:rPr>
          <w:rFonts w:hint="eastAsia"/>
        </w:rPr>
        <w:t>）、胺类（</w:t>
      </w:r>
      <w:r>
        <w:t>Amines</w:t>
      </w:r>
      <w:r>
        <w:rPr>
          <w:rFonts w:hint="eastAsia"/>
        </w:rPr>
        <w:t>）、硫醇类（</w:t>
      </w:r>
      <w:r>
        <w:t>Mercaptans</w:t>
      </w:r>
      <w:r>
        <w:rPr>
          <w:rFonts w:hint="eastAsia"/>
        </w:rPr>
        <w:t>）以及含氮杂环类物质。其中主要有三大类化合物：挥发性脂肪酸、酚类化合物，吲哚。养猪场中的恶臭是由许多单一的臭气物质复合作用生成的。其中对环境危害最大的恶臭物质是</w:t>
      </w:r>
      <w:r>
        <w:t>NH</w:t>
      </w:r>
      <w:r>
        <w:rPr>
          <w:vertAlign w:val="subscript"/>
        </w:rPr>
        <w:t>3</w:t>
      </w:r>
      <w:r>
        <w:rPr>
          <w:rFonts w:hint="eastAsia"/>
        </w:rPr>
        <w:t>和</w:t>
      </w:r>
      <w:r>
        <w:t>H</w:t>
      </w:r>
      <w:r>
        <w:rPr>
          <w:vertAlign w:val="subscript"/>
        </w:rPr>
        <w:t>2</w:t>
      </w:r>
      <w:r>
        <w:t>S</w:t>
      </w:r>
      <w:r>
        <w:rPr>
          <w:rFonts w:hint="eastAsia"/>
        </w:rPr>
        <w:t>。</w:t>
      </w:r>
    </w:p>
    <w:p>
      <w:pPr>
        <w:spacing w:line="460" w:lineRule="exact"/>
        <w:ind w:firstLine="480"/>
      </w:pPr>
      <w:r>
        <w:t>NH</w:t>
      </w:r>
      <w:r>
        <w:rPr>
          <w:vertAlign w:val="subscript"/>
        </w:rPr>
        <w:t>3</w:t>
      </w:r>
      <w:r>
        <w:rPr>
          <w:rFonts w:hint="eastAsia"/>
        </w:rPr>
        <w:t>为无色气体，具有刺激性臭气，比空气轻，易溶于水。</w:t>
      </w:r>
      <w:r>
        <w:t>NH</w:t>
      </w:r>
      <w:r>
        <w:rPr>
          <w:vertAlign w:val="subscript"/>
        </w:rPr>
        <w:t>3</w:t>
      </w:r>
      <w:r>
        <w:rPr>
          <w:rFonts w:hint="eastAsia"/>
        </w:rPr>
        <w:t>能刺激黏膜，引起黏膜充血，喉头水肿，</w:t>
      </w:r>
      <w:r>
        <w:t>NH</w:t>
      </w:r>
      <w:r>
        <w:rPr>
          <w:vertAlign w:val="subscript"/>
        </w:rPr>
        <w:t>3</w:t>
      </w:r>
      <w:r>
        <w:rPr>
          <w:rFonts w:hint="eastAsia"/>
        </w:rPr>
        <w:t>吸入呼吸系统后，可引起上部呼吸道黏膜充血、支气管炎，严重者可引起肺水肿、肺出血等。低浓度的</w:t>
      </w:r>
      <w:r>
        <w:t>NH</w:t>
      </w:r>
      <w:r>
        <w:rPr>
          <w:vertAlign w:val="subscript"/>
        </w:rPr>
        <w:t>3</w:t>
      </w:r>
      <w:r>
        <w:rPr>
          <w:rFonts w:hint="eastAsia"/>
        </w:rPr>
        <w:t>可刺激三叉神经末稍，引起呼吸中枢的反射性兴奋。吸入肺部的</w:t>
      </w:r>
      <w:r>
        <w:t>NH</w:t>
      </w:r>
      <w:r>
        <w:rPr>
          <w:vertAlign w:val="subscript"/>
        </w:rPr>
        <w:t>3</w:t>
      </w:r>
      <w:r>
        <w:rPr>
          <w:rFonts w:hint="eastAsia"/>
        </w:rPr>
        <w:t>，可通过肺泡上皮组织进入血液，引起血管中枢神经的反应，并与血红蛋白结合，置换氧基，破坏血液的运氧功能。如果短期吸入少量的</w:t>
      </w:r>
      <w:r>
        <w:t>NH</w:t>
      </w:r>
      <w:r>
        <w:rPr>
          <w:vertAlign w:val="subscript"/>
        </w:rPr>
        <w:t>3</w:t>
      </w:r>
      <w:r>
        <w:rPr>
          <w:rFonts w:hint="eastAsia"/>
        </w:rPr>
        <w:t>，可被体液吸收，变成尿素排出体外。而高浓度的</w:t>
      </w:r>
      <w:r>
        <w:t>NH</w:t>
      </w:r>
      <w:r>
        <w:rPr>
          <w:vertAlign w:val="subscript"/>
        </w:rPr>
        <w:t>3</w:t>
      </w:r>
      <w:r>
        <w:rPr>
          <w:rFonts w:hint="eastAsia"/>
        </w:rPr>
        <w:t>，可直接刺激肌体组织，引起中枢神经系统麻痹、中毒性肝病、心肌损伤等症。空气中如含有</w:t>
      </w:r>
      <w:r>
        <w:t>47.5mg/m</w:t>
      </w:r>
      <w:r>
        <w:rPr>
          <w:vertAlign w:val="superscript"/>
        </w:rPr>
        <w:t>3</w:t>
      </w:r>
      <w:r>
        <w:rPr>
          <w:rFonts w:hint="eastAsia"/>
        </w:rPr>
        <w:t>的</w:t>
      </w:r>
      <w:r>
        <w:t>NH</w:t>
      </w:r>
      <w:r>
        <w:rPr>
          <w:vertAlign w:val="subscript"/>
        </w:rPr>
        <w:t>3</w:t>
      </w:r>
      <w:r>
        <w:rPr>
          <w:rFonts w:hint="eastAsia"/>
        </w:rPr>
        <w:t>，可使猪的增重滞缓；</w:t>
      </w:r>
      <w:r>
        <w:t>75</w:t>
      </w:r>
      <w:r>
        <w:rPr>
          <w:rFonts w:hint="eastAsia"/>
        </w:rPr>
        <w:t>～</w:t>
      </w:r>
      <w:r>
        <w:t>150mg/m</w:t>
      </w:r>
      <w:r>
        <w:rPr>
          <w:vertAlign w:val="superscript"/>
        </w:rPr>
        <w:t>3</w:t>
      </w:r>
      <w:r>
        <w:rPr>
          <w:rFonts w:hint="eastAsia"/>
        </w:rPr>
        <w:t>时可引起猪只摇头、流涎、喷嚏、丧失食欲。</w:t>
      </w:r>
    </w:p>
    <w:p>
      <w:pPr>
        <w:spacing w:line="460" w:lineRule="exact"/>
        <w:ind w:firstLine="480"/>
      </w:pPr>
      <w:r>
        <w:t>H</w:t>
      </w:r>
      <w:r>
        <w:rPr>
          <w:vertAlign w:val="subscript"/>
        </w:rPr>
        <w:t>2</w:t>
      </w:r>
      <w:r>
        <w:t>S</w:t>
      </w:r>
      <w:r>
        <w:rPr>
          <w:rFonts w:hint="eastAsia"/>
        </w:rPr>
        <w:t>是一种无色、易挥发的恶臭气体，比空气重，易溶于水。</w:t>
      </w:r>
      <w:r>
        <w:t>H</w:t>
      </w:r>
      <w:r>
        <w:rPr>
          <w:vertAlign w:val="subscript"/>
        </w:rPr>
        <w:t>2</w:t>
      </w:r>
      <w:r>
        <w:t>S</w:t>
      </w:r>
      <w:r>
        <w:rPr>
          <w:rFonts w:hint="eastAsia"/>
        </w:rPr>
        <w:t>的危害主要是刺激人的黏膜，当</w:t>
      </w:r>
      <w:r>
        <w:t>H</w:t>
      </w:r>
      <w:r>
        <w:rPr>
          <w:vertAlign w:val="subscript"/>
        </w:rPr>
        <w:t>2</w:t>
      </w:r>
      <w:r>
        <w:t>S</w:t>
      </w:r>
      <w:r>
        <w:rPr>
          <w:rFonts w:hint="eastAsia"/>
        </w:rPr>
        <w:t>接触到动物黏膜上的水分时，很快溶解并与黏液中的钠离子结合生成Na</w:t>
      </w:r>
      <w:r>
        <w:rPr>
          <w:rFonts w:hint="eastAsia"/>
          <w:vertAlign w:val="subscript"/>
        </w:rPr>
        <w:t>2</w:t>
      </w:r>
      <w:r>
        <w:rPr>
          <w:rFonts w:hint="eastAsia"/>
        </w:rPr>
        <w:t>S，对黏膜产生刺激作用，引起结膜炎，表现流泪、角膜混浊、畏光等症状，同时引起鼻炎、气管炎、咽喉灼伤，以至肺水肿。人若经常吸入低浓度的</w:t>
      </w:r>
      <w:r>
        <w:t>H</w:t>
      </w:r>
      <w:r>
        <w:rPr>
          <w:vertAlign w:val="subscript"/>
        </w:rPr>
        <w:t>2</w:t>
      </w:r>
      <w:r>
        <w:t>S</w:t>
      </w:r>
      <w:r>
        <w:rPr>
          <w:rFonts w:hint="eastAsia"/>
        </w:rPr>
        <w:t>，可出现植物性神经紊乱，偶然发生多发性神经炎。</w:t>
      </w:r>
      <w:r>
        <w:t>H</w:t>
      </w:r>
      <w:r>
        <w:rPr>
          <w:vertAlign w:val="subscript"/>
        </w:rPr>
        <w:t>2</w:t>
      </w:r>
      <w:r>
        <w:t>S</w:t>
      </w:r>
      <w:r>
        <w:rPr>
          <w:rFonts w:hint="eastAsia"/>
        </w:rPr>
        <w:t>在肺泡内很快被吸收进入血液内，氧化成硫酸盐或硫代硫酸盐等；游离在血液中的</w:t>
      </w:r>
      <w:r>
        <w:t>H</w:t>
      </w:r>
      <w:r>
        <w:rPr>
          <w:vertAlign w:val="subscript"/>
        </w:rPr>
        <w:t>2</w:t>
      </w:r>
      <w:r>
        <w:t>S</w:t>
      </w:r>
      <w:r>
        <w:rPr>
          <w:rFonts w:hint="eastAsia"/>
        </w:rPr>
        <w:t>，能和氧化型细胞色素氧化酶中的三价铁结合，使酶失去活性，以致影响细胞的氧化过程，造成组织缺氧。长期处于低浓度的</w:t>
      </w:r>
      <w:r>
        <w:t>H</w:t>
      </w:r>
      <w:r>
        <w:rPr>
          <w:vertAlign w:val="subscript"/>
        </w:rPr>
        <w:t>2</w:t>
      </w:r>
      <w:r>
        <w:t>S</w:t>
      </w:r>
      <w:r>
        <w:rPr>
          <w:rFonts w:hint="eastAsia"/>
        </w:rPr>
        <w:t>的环境中，牲畜体质变弱，抗病能力下降，易发生肠胃病、心脏衰弱等；高浓度的</w:t>
      </w:r>
      <w:r>
        <w:t>H</w:t>
      </w:r>
      <w:r>
        <w:rPr>
          <w:vertAlign w:val="subscript"/>
        </w:rPr>
        <w:t>2</w:t>
      </w:r>
      <w:r>
        <w:t>S</w:t>
      </w:r>
      <w:r>
        <w:rPr>
          <w:rFonts w:hint="eastAsia"/>
        </w:rPr>
        <w:t>可直接抵制呼吸中枢，引起窒息或死亡。</w:t>
      </w:r>
      <w:r>
        <w:t>H</w:t>
      </w:r>
      <w:r>
        <w:rPr>
          <w:vertAlign w:val="subscript"/>
        </w:rPr>
        <w:t>2</w:t>
      </w:r>
      <w:r>
        <w:t>S</w:t>
      </w:r>
      <w:r>
        <w:rPr>
          <w:rFonts w:hint="eastAsia"/>
        </w:rPr>
        <w:t>浓度为</w:t>
      </w:r>
      <w:r>
        <w:t>30mg/m</w:t>
      </w:r>
      <w:r>
        <w:rPr>
          <w:vertAlign w:val="superscript"/>
        </w:rPr>
        <w:t>3</w:t>
      </w:r>
      <w:r>
        <w:rPr>
          <w:rFonts w:hint="eastAsia"/>
        </w:rPr>
        <w:t>时，猪只变得畏光、丧失食欲、神经质；</w:t>
      </w:r>
      <w:r>
        <w:t>75</w:t>
      </w:r>
      <w:r>
        <w:rPr>
          <w:rFonts w:hint="eastAsia"/>
        </w:rPr>
        <w:t>～</w:t>
      </w:r>
      <w:r>
        <w:t>300mg/m</w:t>
      </w:r>
      <w:r>
        <w:rPr>
          <w:vertAlign w:val="superscript"/>
        </w:rPr>
        <w:t>3</w:t>
      </w:r>
      <w:r>
        <w:rPr>
          <w:rFonts w:hint="eastAsia"/>
        </w:rPr>
        <w:t>时，猪只会突然呕吐，失去知觉，最后因呼吸中枢和血管运动中枢麻痹而死亡。</w:t>
      </w:r>
      <w:r>
        <w:t>H</w:t>
      </w:r>
      <w:r>
        <w:rPr>
          <w:vertAlign w:val="subscript"/>
        </w:rPr>
        <w:t>2</w:t>
      </w:r>
      <w:r>
        <w:t>S</w:t>
      </w:r>
      <w:r>
        <w:rPr>
          <w:rFonts w:hint="eastAsia"/>
        </w:rPr>
        <w:t>对人类的危害也相当大，低浓度时即可引起慢性中毒，高浓度（大于</w:t>
      </w:r>
      <w:r>
        <w:t>900mg/m</w:t>
      </w:r>
      <w:r>
        <w:rPr>
          <w:vertAlign w:val="superscript"/>
        </w:rPr>
        <w:t>3</w:t>
      </w:r>
      <w:r>
        <w:rPr>
          <w:rFonts w:hint="eastAsia"/>
        </w:rPr>
        <w:t>）时，可直接抵制呼吸中枢，引起窒息死亡。</w:t>
      </w:r>
    </w:p>
    <w:p>
      <w:pPr>
        <w:spacing w:line="460" w:lineRule="exact"/>
        <w:ind w:firstLine="480"/>
      </w:pPr>
      <w:r>
        <w:rPr>
          <w:rFonts w:hint="eastAsia"/>
        </w:rPr>
        <w:t>②猪舍恶臭影响分析</w:t>
      </w:r>
    </w:p>
    <w:p>
      <w:pPr>
        <w:spacing w:line="460" w:lineRule="exact"/>
        <w:ind w:firstLine="480"/>
      </w:pPr>
      <w:r>
        <w:rPr>
          <w:rFonts w:hint="eastAsia"/>
        </w:rPr>
        <w:t>根据前面的工程分析，结合本项目构筑物的布置，本项目将项目占地范围作为一个面源来进行分析。</w:t>
      </w:r>
    </w:p>
    <w:p>
      <w:pPr>
        <w:spacing w:line="460" w:lineRule="exact"/>
        <w:ind w:firstLine="480"/>
      </w:pPr>
      <w:r>
        <w:t>根据《环境影响评价技术导则 大气环境》HJ2.2—20</w:t>
      </w:r>
      <w:r>
        <w:rPr>
          <w:rFonts w:hint="eastAsia"/>
        </w:rPr>
        <w:t>1</w:t>
      </w:r>
      <w:r>
        <w:t>8</w:t>
      </w:r>
      <w:r>
        <w:rPr>
          <w:rFonts w:hint="eastAsia"/>
        </w:rPr>
        <w:t>，本项目主要</w:t>
      </w:r>
      <w:r>
        <w:t>采用</w:t>
      </w:r>
      <w:r>
        <w:rPr>
          <w:rFonts w:hint="eastAsia"/>
        </w:rPr>
        <w:t>A</w:t>
      </w:r>
      <w:r>
        <w:t>ERSCREEN估算模式对养殖区恶臭气体进行预测，相关预测参数见表</w:t>
      </w:r>
      <w:r>
        <w:rPr>
          <w:rFonts w:hint="eastAsia"/>
        </w:rPr>
        <w:t>4.2-2</w:t>
      </w:r>
      <w:r>
        <w:t>，预测结果见表</w:t>
      </w:r>
      <w:r>
        <w:rPr>
          <w:rFonts w:hint="eastAsia"/>
        </w:rPr>
        <w:t>4.2-3</w:t>
      </w:r>
      <w:r>
        <w:t>、表</w:t>
      </w:r>
      <w:r>
        <w:rPr>
          <w:rFonts w:hint="eastAsia"/>
        </w:rPr>
        <w:t>4.2-4</w:t>
      </w:r>
      <w:r>
        <w:t>。</w:t>
      </w:r>
    </w:p>
    <w:p>
      <w:pPr>
        <w:pStyle w:val="11"/>
      </w:pPr>
      <w:r>
        <w:t xml:space="preserve">表4.2- </w:t>
      </w:r>
      <w:r>
        <w:fldChar w:fldCharType="begin"/>
      </w:r>
      <w:r>
        <w:instrText xml:space="preserve"> SEQ 表4.2- \* ARABIC </w:instrText>
      </w:r>
      <w:r>
        <w:fldChar w:fldCharType="separate"/>
      </w:r>
      <w:r>
        <w:t>2</w:t>
      </w:r>
      <w:r>
        <w:fldChar w:fldCharType="end"/>
      </w:r>
      <w:r>
        <w:rPr>
          <w:rFonts w:hint="eastAsia"/>
        </w:rPr>
        <w:t xml:space="preserve">   恶臭气体无组织排放面源预测参数表</w:t>
      </w:r>
    </w:p>
    <w:tbl>
      <w:tblPr>
        <w:tblStyle w:val="21"/>
        <w:tblW w:w="87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59"/>
        <w:gridCol w:w="2839"/>
        <w:gridCol w:w="36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 w:hRule="atLeast"/>
          <w:jc w:val="center"/>
        </w:trPr>
        <w:tc>
          <w:tcPr>
            <w:tcW w:w="5098" w:type="dxa"/>
            <w:gridSpan w:val="2"/>
            <w:vAlign w:val="center"/>
          </w:tcPr>
          <w:p>
            <w:pPr>
              <w:pStyle w:val="8"/>
              <w:ind w:firstLine="0" w:firstLineChars="0"/>
            </w:pPr>
            <w:r>
              <w:t>参数</w:t>
            </w:r>
          </w:p>
        </w:tc>
        <w:tc>
          <w:tcPr>
            <w:tcW w:w="3671" w:type="dxa"/>
            <w:vAlign w:val="center"/>
          </w:tcPr>
          <w:p>
            <w:pPr>
              <w:pStyle w:val="8"/>
              <w:ind w:firstLine="0" w:firstLineChars="0"/>
            </w:pPr>
            <w: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259" w:type="dxa"/>
            <w:vMerge w:val="restart"/>
            <w:vAlign w:val="center"/>
          </w:tcPr>
          <w:p>
            <w:pPr>
              <w:pStyle w:val="8"/>
              <w:ind w:firstLine="0" w:firstLineChars="0"/>
            </w:pPr>
            <w:r>
              <w:t>城市农村/选项</w:t>
            </w:r>
          </w:p>
        </w:tc>
        <w:tc>
          <w:tcPr>
            <w:tcW w:w="2839" w:type="dxa"/>
            <w:vAlign w:val="center"/>
          </w:tcPr>
          <w:p>
            <w:pPr>
              <w:pStyle w:val="8"/>
              <w:ind w:firstLine="0" w:firstLineChars="0"/>
            </w:pPr>
            <w:r>
              <w:t>城市/农村</w:t>
            </w:r>
          </w:p>
        </w:tc>
        <w:tc>
          <w:tcPr>
            <w:tcW w:w="3671" w:type="dxa"/>
            <w:vAlign w:val="center"/>
          </w:tcPr>
          <w:p>
            <w:pPr>
              <w:pStyle w:val="8"/>
              <w:ind w:firstLine="0" w:firstLineChars="0"/>
            </w:pPr>
            <w: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2259" w:type="dxa"/>
            <w:vMerge w:val="continue"/>
            <w:vAlign w:val="center"/>
          </w:tcPr>
          <w:p>
            <w:pPr>
              <w:pStyle w:val="8"/>
              <w:ind w:firstLine="0" w:firstLineChars="0"/>
            </w:pPr>
          </w:p>
        </w:tc>
        <w:tc>
          <w:tcPr>
            <w:tcW w:w="2839" w:type="dxa"/>
            <w:vAlign w:val="center"/>
          </w:tcPr>
          <w:p>
            <w:pPr>
              <w:pStyle w:val="8"/>
              <w:ind w:firstLine="0" w:firstLineChars="0"/>
            </w:pPr>
            <w:r>
              <w:t>人口数(城市人口数)</w:t>
            </w:r>
          </w:p>
        </w:tc>
        <w:tc>
          <w:tcPr>
            <w:tcW w:w="3671" w:type="dxa"/>
            <w:vAlign w:val="center"/>
          </w:tcPr>
          <w:p>
            <w:pPr>
              <w:pStyle w:val="8"/>
              <w:ind w:firstLine="0" w:firstLineChars="0"/>
            </w:pPr>
            <w:r>
              <w:t>91.57万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98" w:type="dxa"/>
            <w:gridSpan w:val="2"/>
            <w:vAlign w:val="center"/>
          </w:tcPr>
          <w:p>
            <w:pPr>
              <w:pStyle w:val="8"/>
              <w:ind w:firstLine="0" w:firstLineChars="0"/>
            </w:pPr>
            <w:r>
              <w:t>最高环境温度</w:t>
            </w:r>
          </w:p>
        </w:tc>
        <w:tc>
          <w:tcPr>
            <w:tcW w:w="3671" w:type="dxa"/>
            <w:vAlign w:val="center"/>
          </w:tcPr>
          <w:p>
            <w:pPr>
              <w:pStyle w:val="8"/>
              <w:ind w:firstLine="0" w:firstLineChars="0"/>
            </w:pPr>
            <w:r>
              <w:t>40.7°C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 w:hRule="atLeast"/>
          <w:jc w:val="center"/>
        </w:trPr>
        <w:tc>
          <w:tcPr>
            <w:tcW w:w="5098" w:type="dxa"/>
            <w:gridSpan w:val="2"/>
            <w:vAlign w:val="center"/>
          </w:tcPr>
          <w:p>
            <w:pPr>
              <w:pStyle w:val="8"/>
              <w:ind w:firstLine="0" w:firstLineChars="0"/>
            </w:pPr>
            <w:r>
              <w:t>最低环境温度</w:t>
            </w:r>
          </w:p>
        </w:tc>
        <w:tc>
          <w:tcPr>
            <w:tcW w:w="3671" w:type="dxa"/>
            <w:vAlign w:val="center"/>
          </w:tcPr>
          <w:p>
            <w:pPr>
              <w:pStyle w:val="8"/>
              <w:ind w:firstLine="0" w:firstLineChars="0"/>
            </w:pPr>
            <w:r>
              <w:t>-</w:t>
            </w:r>
            <w:r>
              <w:rPr>
                <w:rFonts w:hint="eastAsia"/>
              </w:rPr>
              <w:t>13.45</w:t>
            </w:r>
            <w: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5098" w:type="dxa"/>
            <w:gridSpan w:val="2"/>
            <w:vAlign w:val="center"/>
          </w:tcPr>
          <w:p>
            <w:pPr>
              <w:pStyle w:val="8"/>
              <w:ind w:firstLine="0" w:firstLineChars="0"/>
            </w:pPr>
            <w:r>
              <w:t>土地利用类型</w:t>
            </w:r>
          </w:p>
        </w:tc>
        <w:tc>
          <w:tcPr>
            <w:tcW w:w="3671" w:type="dxa"/>
            <w:vAlign w:val="center"/>
          </w:tcPr>
          <w:p>
            <w:pPr>
              <w:pStyle w:val="8"/>
              <w:ind w:firstLine="0" w:firstLineChars="0"/>
            </w:pPr>
            <w:r>
              <w:rPr>
                <w:rFonts w:hint="eastAsia"/>
              </w:rPr>
              <w:t>农用设施用地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1" w:hRule="atLeast"/>
          <w:jc w:val="center"/>
        </w:trPr>
        <w:tc>
          <w:tcPr>
            <w:tcW w:w="5098" w:type="dxa"/>
            <w:gridSpan w:val="2"/>
            <w:vAlign w:val="center"/>
          </w:tcPr>
          <w:p>
            <w:pPr>
              <w:pStyle w:val="8"/>
              <w:ind w:firstLine="0" w:firstLineChars="0"/>
            </w:pPr>
            <w:r>
              <w:t>区域湿度条件</w:t>
            </w:r>
          </w:p>
        </w:tc>
        <w:tc>
          <w:tcPr>
            <w:tcW w:w="3671" w:type="dxa"/>
            <w:vAlign w:val="center"/>
          </w:tcPr>
          <w:p>
            <w:pPr>
              <w:pStyle w:val="8"/>
              <w:ind w:firstLine="0" w:firstLineChars="0"/>
            </w:pPr>
            <w:r>
              <w:t>潮湿气候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5" w:hRule="atLeast"/>
          <w:jc w:val="center"/>
        </w:trPr>
        <w:tc>
          <w:tcPr>
            <w:tcW w:w="2259" w:type="dxa"/>
            <w:vMerge w:val="restart"/>
            <w:vAlign w:val="center"/>
          </w:tcPr>
          <w:p>
            <w:pPr>
              <w:pStyle w:val="8"/>
              <w:ind w:firstLine="0" w:firstLineChars="0"/>
            </w:pPr>
            <w:r>
              <w:t>是否考虑地形</w:t>
            </w:r>
          </w:p>
        </w:tc>
        <w:tc>
          <w:tcPr>
            <w:tcW w:w="2839" w:type="dxa"/>
            <w:vAlign w:val="center"/>
          </w:tcPr>
          <w:p>
            <w:pPr>
              <w:pStyle w:val="8"/>
              <w:ind w:firstLine="0" w:firstLineChars="0"/>
            </w:pPr>
            <w:r>
              <w:t>考虑地形</w:t>
            </w:r>
          </w:p>
        </w:tc>
        <w:tc>
          <w:tcPr>
            <w:tcW w:w="3671" w:type="dxa"/>
            <w:vAlign w:val="center"/>
          </w:tcPr>
          <w:p>
            <w:pPr>
              <w:pStyle w:val="8"/>
              <w:ind w:firstLine="0" w:firstLineChars="0"/>
            </w:pPr>
            <w: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2259" w:type="dxa"/>
            <w:vMerge w:val="continue"/>
            <w:vAlign w:val="center"/>
          </w:tcPr>
          <w:p>
            <w:pPr>
              <w:pStyle w:val="8"/>
              <w:ind w:firstLine="0" w:firstLineChars="0"/>
            </w:pPr>
          </w:p>
        </w:tc>
        <w:tc>
          <w:tcPr>
            <w:tcW w:w="2839" w:type="dxa"/>
            <w:vAlign w:val="center"/>
          </w:tcPr>
          <w:p>
            <w:pPr>
              <w:pStyle w:val="8"/>
              <w:ind w:firstLine="0" w:firstLineChars="0"/>
            </w:pPr>
            <w:r>
              <w:t>地形数据分辨率/m</w:t>
            </w:r>
          </w:p>
        </w:tc>
        <w:tc>
          <w:tcPr>
            <w:tcW w:w="3671" w:type="dxa"/>
            <w:vAlign w:val="center"/>
          </w:tcPr>
          <w:p>
            <w:pPr>
              <w:pStyle w:val="8"/>
              <w:ind w:firstLine="0" w:firstLineChars="0"/>
            </w:pPr>
            <w: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2259" w:type="dxa"/>
            <w:vMerge w:val="restart"/>
            <w:vAlign w:val="center"/>
          </w:tcPr>
          <w:p>
            <w:pPr>
              <w:pStyle w:val="8"/>
              <w:ind w:firstLine="0" w:firstLineChars="0"/>
            </w:pPr>
            <w:r>
              <w:t>是否考虑岸线熏烟</w:t>
            </w:r>
          </w:p>
        </w:tc>
        <w:tc>
          <w:tcPr>
            <w:tcW w:w="2839" w:type="dxa"/>
            <w:vAlign w:val="center"/>
          </w:tcPr>
          <w:p>
            <w:pPr>
              <w:pStyle w:val="8"/>
              <w:ind w:firstLine="0" w:firstLineChars="0"/>
            </w:pPr>
            <w:r>
              <w:t>考虑岸线熏烟</w:t>
            </w:r>
          </w:p>
        </w:tc>
        <w:tc>
          <w:tcPr>
            <w:tcW w:w="3671" w:type="dxa"/>
            <w:vAlign w:val="center"/>
          </w:tcPr>
          <w:p>
            <w:pPr>
              <w:pStyle w:val="8"/>
              <w:ind w:firstLine="0" w:firstLineChars="0"/>
            </w:pPr>
            <w: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2259" w:type="dxa"/>
            <w:vMerge w:val="continue"/>
            <w:vAlign w:val="center"/>
          </w:tcPr>
          <w:p>
            <w:pPr>
              <w:pStyle w:val="8"/>
              <w:ind w:firstLine="0" w:firstLineChars="0"/>
            </w:pPr>
          </w:p>
        </w:tc>
        <w:tc>
          <w:tcPr>
            <w:tcW w:w="2839" w:type="dxa"/>
            <w:vAlign w:val="center"/>
          </w:tcPr>
          <w:p>
            <w:pPr>
              <w:pStyle w:val="8"/>
              <w:ind w:firstLine="0" w:firstLineChars="0"/>
            </w:pPr>
            <w:r>
              <w:rPr>
                <w:rFonts w:hint="eastAsia"/>
              </w:rPr>
              <w:t>岸线距离/km</w:t>
            </w:r>
          </w:p>
        </w:tc>
        <w:tc>
          <w:tcPr>
            <w:tcW w:w="3671" w:type="dxa"/>
            <w:vAlign w:val="center"/>
          </w:tcPr>
          <w:p>
            <w:pPr>
              <w:pStyle w:val="8"/>
              <w:ind w:firstLine="0" w:firstLineChars="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2259" w:type="dxa"/>
            <w:vMerge w:val="continue"/>
            <w:vAlign w:val="center"/>
          </w:tcPr>
          <w:p>
            <w:pPr>
              <w:pStyle w:val="8"/>
              <w:ind w:firstLine="0" w:firstLineChars="0"/>
            </w:pPr>
          </w:p>
        </w:tc>
        <w:tc>
          <w:tcPr>
            <w:tcW w:w="2839" w:type="dxa"/>
            <w:vAlign w:val="center"/>
          </w:tcPr>
          <w:p>
            <w:pPr>
              <w:pStyle w:val="8"/>
              <w:ind w:firstLine="0" w:firstLineChars="0"/>
            </w:pPr>
            <w:r>
              <w:rPr>
                <w:rFonts w:hint="eastAsia"/>
              </w:rPr>
              <w:t>岸线方向/º</w:t>
            </w:r>
          </w:p>
        </w:tc>
        <w:tc>
          <w:tcPr>
            <w:tcW w:w="3671" w:type="dxa"/>
            <w:vAlign w:val="center"/>
          </w:tcPr>
          <w:p>
            <w:pPr>
              <w:pStyle w:val="8"/>
              <w:ind w:firstLine="0" w:firstLineChars="0"/>
            </w:pPr>
            <w:r>
              <w:rPr>
                <w:rFonts w:hint="eastAsia"/>
              </w:rPr>
              <w:t>/</w:t>
            </w:r>
          </w:p>
        </w:tc>
      </w:tr>
    </w:tbl>
    <w:p>
      <w:pPr>
        <w:pStyle w:val="11"/>
      </w:pPr>
      <w:r>
        <w:t xml:space="preserve">表4.2- </w:t>
      </w:r>
      <w:r>
        <w:fldChar w:fldCharType="begin"/>
      </w:r>
      <w:r>
        <w:instrText xml:space="preserve"> SEQ 表4.2- \* ARABIC </w:instrText>
      </w:r>
      <w:r>
        <w:fldChar w:fldCharType="separate"/>
      </w:r>
      <w:r>
        <w:t>3</w:t>
      </w:r>
      <w:r>
        <w:fldChar w:fldCharType="end"/>
      </w:r>
      <w:r>
        <w:rPr>
          <w:rFonts w:hint="eastAsia"/>
        </w:rPr>
        <w:t xml:space="preserve">   面源参数表</w:t>
      </w:r>
    </w:p>
    <w:tbl>
      <w:tblPr>
        <w:tblStyle w:val="21"/>
        <w:tblW w:w="83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0"/>
        <w:gridCol w:w="1167"/>
        <w:gridCol w:w="1100"/>
        <w:gridCol w:w="1367"/>
        <w:gridCol w:w="983"/>
        <w:gridCol w:w="1083"/>
        <w:gridCol w:w="14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jc w:val="center"/>
        </w:trPr>
        <w:tc>
          <w:tcPr>
            <w:tcW w:w="1210" w:type="dxa"/>
            <w:vAlign w:val="center"/>
          </w:tcPr>
          <w:p>
            <w:pPr>
              <w:pStyle w:val="8"/>
              <w:ind w:firstLine="0" w:firstLineChars="0"/>
            </w:pPr>
            <w:r>
              <w:t>污染源</w:t>
            </w:r>
          </w:p>
        </w:tc>
        <w:tc>
          <w:tcPr>
            <w:tcW w:w="1167" w:type="dxa"/>
            <w:vAlign w:val="center"/>
          </w:tcPr>
          <w:p>
            <w:pPr>
              <w:pStyle w:val="8"/>
              <w:ind w:firstLine="0" w:firstLineChars="0"/>
            </w:pPr>
            <w:r>
              <w:t>面源长度/m</w:t>
            </w:r>
          </w:p>
        </w:tc>
        <w:tc>
          <w:tcPr>
            <w:tcW w:w="1100" w:type="dxa"/>
            <w:vAlign w:val="center"/>
          </w:tcPr>
          <w:p>
            <w:pPr>
              <w:pStyle w:val="8"/>
              <w:ind w:firstLine="0" w:firstLineChars="0"/>
            </w:pPr>
            <w:r>
              <w:t>面源宽度/m</w:t>
            </w:r>
          </w:p>
        </w:tc>
        <w:tc>
          <w:tcPr>
            <w:tcW w:w="1367" w:type="dxa"/>
            <w:vAlign w:val="center"/>
          </w:tcPr>
          <w:p>
            <w:pPr>
              <w:pStyle w:val="8"/>
              <w:ind w:firstLine="0" w:firstLineChars="0"/>
            </w:pPr>
            <w:r>
              <w:t>面源有效排放高度/m</w:t>
            </w:r>
          </w:p>
        </w:tc>
        <w:tc>
          <w:tcPr>
            <w:tcW w:w="983" w:type="dxa"/>
            <w:vAlign w:val="center"/>
          </w:tcPr>
          <w:p>
            <w:pPr>
              <w:pStyle w:val="8"/>
              <w:ind w:firstLine="0" w:firstLineChars="0"/>
            </w:pPr>
            <w:r>
              <w:t>污染物</w:t>
            </w:r>
          </w:p>
        </w:tc>
        <w:tc>
          <w:tcPr>
            <w:tcW w:w="1083" w:type="dxa"/>
            <w:vAlign w:val="center"/>
          </w:tcPr>
          <w:p>
            <w:pPr>
              <w:pStyle w:val="8"/>
              <w:ind w:firstLine="0" w:firstLineChars="0"/>
            </w:pPr>
            <w:r>
              <w:t>排放速率</w:t>
            </w:r>
          </w:p>
          <w:p>
            <w:pPr>
              <w:pStyle w:val="8"/>
              <w:ind w:firstLine="0" w:firstLineChars="0"/>
            </w:pPr>
            <w:r>
              <w:rPr>
                <w:rFonts w:hint="eastAsia"/>
              </w:rPr>
              <w:t>(kg/h)</w:t>
            </w:r>
          </w:p>
        </w:tc>
        <w:tc>
          <w:tcPr>
            <w:tcW w:w="1430" w:type="dxa"/>
            <w:vAlign w:val="center"/>
          </w:tcPr>
          <w:p>
            <w:pPr>
              <w:pStyle w:val="8"/>
              <w:ind w:firstLine="0" w:firstLineChars="0"/>
            </w:pPr>
            <w:r>
              <w:t>1h评价标准μg/m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1210" w:type="dxa"/>
            <w:vMerge w:val="restart"/>
            <w:vAlign w:val="center"/>
          </w:tcPr>
          <w:p>
            <w:pPr>
              <w:pStyle w:val="8"/>
              <w:ind w:firstLine="0" w:firstLineChars="0"/>
              <w:rPr>
                <w:highlight w:val="yellow"/>
              </w:rPr>
            </w:pPr>
            <w:r>
              <w:rPr>
                <w:rFonts w:hint="eastAsia"/>
              </w:rPr>
              <w:t>养殖区</w:t>
            </w:r>
          </w:p>
        </w:tc>
        <w:tc>
          <w:tcPr>
            <w:tcW w:w="1167" w:type="dxa"/>
            <w:vMerge w:val="restart"/>
            <w:vAlign w:val="center"/>
          </w:tcPr>
          <w:p>
            <w:pPr>
              <w:pStyle w:val="8"/>
              <w:ind w:firstLine="0" w:firstLineChars="0"/>
              <w:rPr>
                <w:color w:val="000000"/>
              </w:rPr>
            </w:pPr>
            <w:r>
              <w:rPr>
                <w:rFonts w:hint="eastAsia"/>
                <w:color w:val="000000"/>
              </w:rPr>
              <w:t>106</w:t>
            </w:r>
          </w:p>
        </w:tc>
        <w:tc>
          <w:tcPr>
            <w:tcW w:w="1100" w:type="dxa"/>
            <w:vMerge w:val="restart"/>
            <w:vAlign w:val="center"/>
          </w:tcPr>
          <w:p>
            <w:pPr>
              <w:pStyle w:val="8"/>
              <w:ind w:firstLine="0" w:firstLineChars="0"/>
              <w:rPr>
                <w:color w:val="000000"/>
              </w:rPr>
            </w:pPr>
            <w:r>
              <w:rPr>
                <w:rFonts w:hint="eastAsia"/>
                <w:color w:val="000000"/>
              </w:rPr>
              <w:t>192</w:t>
            </w:r>
          </w:p>
        </w:tc>
        <w:tc>
          <w:tcPr>
            <w:tcW w:w="1367" w:type="dxa"/>
            <w:vMerge w:val="restart"/>
            <w:vAlign w:val="center"/>
          </w:tcPr>
          <w:p>
            <w:pPr>
              <w:pStyle w:val="8"/>
              <w:ind w:firstLine="0" w:firstLineChars="0"/>
              <w:rPr>
                <w:highlight w:val="yellow"/>
              </w:rPr>
            </w:pPr>
            <w:r>
              <w:rPr>
                <w:rFonts w:hint="eastAsia"/>
              </w:rPr>
              <w:t>6</w:t>
            </w:r>
          </w:p>
        </w:tc>
        <w:tc>
          <w:tcPr>
            <w:tcW w:w="983" w:type="dxa"/>
            <w:vAlign w:val="center"/>
          </w:tcPr>
          <w:p>
            <w:pPr>
              <w:pStyle w:val="8"/>
              <w:ind w:firstLine="0" w:firstLineChars="0"/>
            </w:pPr>
            <w:r>
              <w:t>NH</w:t>
            </w:r>
            <w:r>
              <w:rPr>
                <w:vertAlign w:val="subscript"/>
              </w:rPr>
              <w:t>3</w:t>
            </w:r>
          </w:p>
        </w:tc>
        <w:tc>
          <w:tcPr>
            <w:tcW w:w="1083" w:type="dxa"/>
            <w:vAlign w:val="center"/>
          </w:tcPr>
          <w:p>
            <w:pPr>
              <w:pStyle w:val="8"/>
              <w:ind w:firstLine="0" w:firstLineChars="0"/>
              <w:rPr>
                <w:highlight w:val="yellow"/>
              </w:rPr>
            </w:pPr>
            <w:r>
              <w:rPr>
                <w:rFonts w:hint="eastAsia"/>
              </w:rPr>
              <w:t>0.033</w:t>
            </w:r>
          </w:p>
        </w:tc>
        <w:tc>
          <w:tcPr>
            <w:tcW w:w="1430" w:type="dxa"/>
            <w:vAlign w:val="center"/>
          </w:tcPr>
          <w:p>
            <w:pPr>
              <w:pStyle w:val="8"/>
              <w:ind w:firstLine="0" w:firstLineChars="0"/>
            </w:pPr>
            <w: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1210" w:type="dxa"/>
            <w:vMerge w:val="continue"/>
            <w:vAlign w:val="center"/>
          </w:tcPr>
          <w:p>
            <w:pPr>
              <w:pStyle w:val="8"/>
              <w:ind w:firstLine="0" w:firstLineChars="0"/>
              <w:rPr>
                <w:highlight w:val="yellow"/>
              </w:rPr>
            </w:pPr>
          </w:p>
        </w:tc>
        <w:tc>
          <w:tcPr>
            <w:tcW w:w="1167" w:type="dxa"/>
            <w:vMerge w:val="continue"/>
            <w:vAlign w:val="center"/>
          </w:tcPr>
          <w:p>
            <w:pPr>
              <w:pStyle w:val="8"/>
              <w:ind w:firstLine="0" w:firstLineChars="0"/>
              <w:rPr>
                <w:highlight w:val="yellow"/>
              </w:rPr>
            </w:pPr>
          </w:p>
        </w:tc>
        <w:tc>
          <w:tcPr>
            <w:tcW w:w="1100" w:type="dxa"/>
            <w:vMerge w:val="continue"/>
            <w:vAlign w:val="center"/>
          </w:tcPr>
          <w:p>
            <w:pPr>
              <w:pStyle w:val="8"/>
              <w:ind w:firstLine="0" w:firstLineChars="0"/>
              <w:rPr>
                <w:highlight w:val="yellow"/>
              </w:rPr>
            </w:pPr>
          </w:p>
        </w:tc>
        <w:tc>
          <w:tcPr>
            <w:tcW w:w="1367" w:type="dxa"/>
            <w:vMerge w:val="continue"/>
            <w:vAlign w:val="center"/>
          </w:tcPr>
          <w:p>
            <w:pPr>
              <w:pStyle w:val="8"/>
              <w:ind w:firstLine="0" w:firstLineChars="0"/>
              <w:rPr>
                <w:highlight w:val="yellow"/>
              </w:rPr>
            </w:pPr>
          </w:p>
        </w:tc>
        <w:tc>
          <w:tcPr>
            <w:tcW w:w="983" w:type="dxa"/>
            <w:vAlign w:val="center"/>
          </w:tcPr>
          <w:p>
            <w:pPr>
              <w:pStyle w:val="8"/>
              <w:ind w:firstLine="0" w:firstLineChars="0"/>
            </w:pPr>
            <w:r>
              <w:t>H</w:t>
            </w:r>
            <w:r>
              <w:rPr>
                <w:vertAlign w:val="subscript"/>
              </w:rPr>
              <w:t>2</w:t>
            </w:r>
            <w:r>
              <w:t>S</w:t>
            </w:r>
          </w:p>
        </w:tc>
        <w:tc>
          <w:tcPr>
            <w:tcW w:w="1083" w:type="dxa"/>
            <w:vAlign w:val="center"/>
          </w:tcPr>
          <w:p>
            <w:pPr>
              <w:pStyle w:val="8"/>
              <w:ind w:firstLine="0" w:firstLineChars="0"/>
              <w:rPr>
                <w:highlight w:val="yellow"/>
              </w:rPr>
            </w:pPr>
            <w:r>
              <w:rPr>
                <w:rFonts w:hint="eastAsia"/>
              </w:rPr>
              <w:t>0.0027</w:t>
            </w:r>
          </w:p>
        </w:tc>
        <w:tc>
          <w:tcPr>
            <w:tcW w:w="1430" w:type="dxa"/>
            <w:vAlign w:val="center"/>
          </w:tcPr>
          <w:p>
            <w:pPr>
              <w:pStyle w:val="8"/>
              <w:ind w:firstLine="0" w:firstLineChars="0"/>
            </w:pPr>
            <w:r>
              <w:t>10</w:t>
            </w:r>
          </w:p>
        </w:tc>
      </w:tr>
    </w:tbl>
    <w:p>
      <w:pPr>
        <w:pStyle w:val="11"/>
        <w:rPr>
          <w:kern w:val="2"/>
        </w:rPr>
      </w:pPr>
      <w:r>
        <w:t xml:space="preserve">表4.2- </w:t>
      </w:r>
      <w:r>
        <w:fldChar w:fldCharType="begin"/>
      </w:r>
      <w:r>
        <w:instrText xml:space="preserve"> SEQ 表4.2- \* ARABIC </w:instrText>
      </w:r>
      <w:r>
        <w:fldChar w:fldCharType="separate"/>
      </w:r>
      <w:r>
        <w:t>4</w:t>
      </w:r>
      <w:r>
        <w:fldChar w:fldCharType="end"/>
      </w:r>
      <w:r>
        <w:rPr>
          <w:rFonts w:hint="eastAsia"/>
        </w:rPr>
        <w:t xml:space="preserve">  </w:t>
      </w:r>
      <w:r>
        <w:t>项目面源估算模式计算结果一览表</w:t>
      </w:r>
    </w:p>
    <w:tbl>
      <w:tblPr>
        <w:tblStyle w:val="21"/>
        <w:tblpPr w:leftFromText="180" w:rightFromText="180" w:vertAnchor="text" w:tblpXSpec="center" w:tblpY="1"/>
        <w:tblOverlap w:val="never"/>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62"/>
        <w:gridCol w:w="1774"/>
        <w:gridCol w:w="1704"/>
        <w:gridCol w:w="1936"/>
        <w:gridCol w:w="1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Merge w:val="restart"/>
            <w:vAlign w:val="center"/>
          </w:tcPr>
          <w:p>
            <w:pPr>
              <w:spacing w:line="300" w:lineRule="exact"/>
              <w:ind w:firstLine="0" w:firstLineChars="0"/>
              <w:jc w:val="center"/>
              <w:rPr>
                <w:sz w:val="21"/>
                <w:szCs w:val="21"/>
              </w:rPr>
            </w:pPr>
            <w:r>
              <w:rPr>
                <w:sz w:val="21"/>
                <w:szCs w:val="21"/>
              </w:rPr>
              <w:t>距源中心下风向距离D（m）</w:t>
            </w:r>
          </w:p>
        </w:tc>
        <w:tc>
          <w:tcPr>
            <w:tcW w:w="2055" w:type="pct"/>
            <w:gridSpan w:val="2"/>
            <w:vAlign w:val="center"/>
          </w:tcPr>
          <w:p>
            <w:pPr>
              <w:spacing w:line="300" w:lineRule="exact"/>
              <w:ind w:firstLine="0" w:firstLineChars="0"/>
              <w:jc w:val="center"/>
              <w:rPr>
                <w:sz w:val="21"/>
                <w:szCs w:val="21"/>
              </w:rPr>
            </w:pPr>
            <w:r>
              <w:rPr>
                <w:sz w:val="21"/>
                <w:szCs w:val="21"/>
              </w:rPr>
              <w:t>NH</w:t>
            </w:r>
            <w:r>
              <w:rPr>
                <w:sz w:val="21"/>
                <w:szCs w:val="21"/>
                <w:vertAlign w:val="subscript"/>
              </w:rPr>
              <w:t>3</w:t>
            </w:r>
          </w:p>
        </w:tc>
        <w:tc>
          <w:tcPr>
            <w:tcW w:w="2081" w:type="pct"/>
            <w:gridSpan w:val="2"/>
            <w:vAlign w:val="center"/>
          </w:tcPr>
          <w:p>
            <w:pPr>
              <w:spacing w:line="300" w:lineRule="exact"/>
              <w:ind w:firstLine="0" w:firstLineChars="0"/>
              <w:jc w:val="center"/>
              <w:rPr>
                <w:sz w:val="21"/>
                <w:szCs w:val="21"/>
              </w:rPr>
            </w:pPr>
            <w:r>
              <w:rPr>
                <w:sz w:val="21"/>
                <w:szCs w:val="21"/>
              </w:rPr>
              <w:t>H</w:t>
            </w:r>
            <w:r>
              <w:rPr>
                <w:sz w:val="21"/>
                <w:szCs w:val="21"/>
                <w:vertAlign w:val="subscript"/>
              </w:rPr>
              <w:t>2</w:t>
            </w:r>
            <w:r>
              <w:rPr>
                <w:sz w:val="21"/>
                <w:szCs w:val="21"/>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Merge w:val="continue"/>
            <w:vAlign w:val="center"/>
          </w:tcPr>
          <w:p>
            <w:pPr>
              <w:spacing w:line="300" w:lineRule="exact"/>
              <w:ind w:firstLine="0" w:firstLineChars="0"/>
              <w:jc w:val="center"/>
              <w:rPr>
                <w:sz w:val="21"/>
                <w:szCs w:val="21"/>
              </w:rPr>
            </w:pPr>
          </w:p>
        </w:tc>
        <w:tc>
          <w:tcPr>
            <w:tcW w:w="1048" w:type="pct"/>
            <w:vAlign w:val="center"/>
          </w:tcPr>
          <w:p>
            <w:pPr>
              <w:spacing w:line="300" w:lineRule="exact"/>
              <w:ind w:firstLine="0" w:firstLineChars="0"/>
              <w:jc w:val="center"/>
              <w:rPr>
                <w:sz w:val="21"/>
                <w:szCs w:val="21"/>
              </w:rPr>
            </w:pPr>
            <w:r>
              <w:rPr>
                <w:sz w:val="21"/>
                <w:szCs w:val="21"/>
              </w:rPr>
              <w:t>下风向预测浓度（mg/m</w:t>
            </w:r>
            <w:r>
              <w:rPr>
                <w:sz w:val="21"/>
                <w:szCs w:val="21"/>
                <w:vertAlign w:val="superscript"/>
              </w:rPr>
              <w:t>3</w:t>
            </w:r>
            <w:r>
              <w:rPr>
                <w:sz w:val="21"/>
                <w:szCs w:val="21"/>
              </w:rPr>
              <w:t>）</w:t>
            </w:r>
          </w:p>
        </w:tc>
        <w:tc>
          <w:tcPr>
            <w:tcW w:w="1007" w:type="pct"/>
            <w:vAlign w:val="center"/>
          </w:tcPr>
          <w:p>
            <w:pPr>
              <w:spacing w:line="300" w:lineRule="exact"/>
              <w:ind w:firstLine="0" w:firstLineChars="0"/>
              <w:jc w:val="center"/>
              <w:rPr>
                <w:sz w:val="21"/>
                <w:szCs w:val="21"/>
              </w:rPr>
            </w:pPr>
            <w:r>
              <w:rPr>
                <w:sz w:val="21"/>
                <w:szCs w:val="21"/>
              </w:rPr>
              <w:t>浓度占标率（%）</w:t>
            </w:r>
          </w:p>
        </w:tc>
        <w:tc>
          <w:tcPr>
            <w:tcW w:w="1144" w:type="pct"/>
            <w:vAlign w:val="center"/>
          </w:tcPr>
          <w:p>
            <w:pPr>
              <w:spacing w:line="300" w:lineRule="exact"/>
              <w:ind w:firstLine="0" w:firstLineChars="0"/>
              <w:jc w:val="center"/>
              <w:rPr>
                <w:sz w:val="21"/>
                <w:szCs w:val="21"/>
              </w:rPr>
            </w:pPr>
            <w:r>
              <w:rPr>
                <w:sz w:val="21"/>
                <w:szCs w:val="21"/>
              </w:rPr>
              <w:t>下风向预测浓度（mg/m</w:t>
            </w:r>
            <w:r>
              <w:rPr>
                <w:sz w:val="21"/>
                <w:szCs w:val="21"/>
                <w:vertAlign w:val="superscript"/>
              </w:rPr>
              <w:t>3</w:t>
            </w:r>
            <w:r>
              <w:rPr>
                <w:sz w:val="21"/>
                <w:szCs w:val="21"/>
              </w:rPr>
              <w:t>）</w:t>
            </w:r>
          </w:p>
        </w:tc>
        <w:tc>
          <w:tcPr>
            <w:tcW w:w="937" w:type="pct"/>
            <w:vAlign w:val="center"/>
          </w:tcPr>
          <w:p>
            <w:pPr>
              <w:spacing w:line="300" w:lineRule="exact"/>
              <w:ind w:firstLine="0" w:firstLineChars="0"/>
              <w:jc w:val="center"/>
              <w:rPr>
                <w:sz w:val="21"/>
                <w:szCs w:val="21"/>
              </w:rPr>
            </w:pPr>
            <w:r>
              <w:rPr>
                <w:sz w:val="21"/>
                <w:szCs w:val="21"/>
              </w:rPr>
              <w:t>浓度占标率（%）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50</w:t>
            </w:r>
          </w:p>
        </w:tc>
        <w:tc>
          <w:tcPr>
            <w:tcW w:w="1048" w:type="pct"/>
            <w:vAlign w:val="bottom"/>
          </w:tcPr>
          <w:p>
            <w:pPr>
              <w:spacing w:line="300" w:lineRule="exact"/>
              <w:ind w:firstLine="0" w:firstLineChars="0"/>
              <w:jc w:val="center"/>
              <w:rPr>
                <w:sz w:val="21"/>
                <w:szCs w:val="21"/>
              </w:rPr>
            </w:pPr>
            <w:r>
              <w:rPr>
                <w:rFonts w:hint="eastAsia"/>
                <w:sz w:val="21"/>
                <w:szCs w:val="21"/>
              </w:rPr>
              <w:t>1.85E-03</w:t>
            </w:r>
          </w:p>
        </w:tc>
        <w:tc>
          <w:tcPr>
            <w:tcW w:w="1007" w:type="pct"/>
            <w:vAlign w:val="bottom"/>
          </w:tcPr>
          <w:p>
            <w:pPr>
              <w:spacing w:line="300" w:lineRule="exact"/>
              <w:ind w:firstLine="0" w:firstLineChars="0"/>
              <w:jc w:val="center"/>
              <w:rPr>
                <w:sz w:val="21"/>
                <w:szCs w:val="21"/>
              </w:rPr>
            </w:pPr>
            <w:r>
              <w:rPr>
                <w:rFonts w:hint="eastAsia"/>
                <w:sz w:val="21"/>
                <w:szCs w:val="21"/>
              </w:rPr>
              <w:t>0.93</w:t>
            </w:r>
          </w:p>
        </w:tc>
        <w:tc>
          <w:tcPr>
            <w:tcW w:w="1144" w:type="pct"/>
            <w:vAlign w:val="bottom"/>
          </w:tcPr>
          <w:p>
            <w:pPr>
              <w:spacing w:line="300" w:lineRule="exact"/>
              <w:ind w:firstLine="0" w:firstLineChars="0"/>
              <w:jc w:val="center"/>
              <w:rPr>
                <w:sz w:val="21"/>
                <w:szCs w:val="21"/>
              </w:rPr>
            </w:pPr>
            <w:r>
              <w:rPr>
                <w:rFonts w:hint="eastAsia"/>
                <w:sz w:val="21"/>
                <w:szCs w:val="21"/>
              </w:rPr>
              <w:t>1.51E-04</w:t>
            </w:r>
          </w:p>
        </w:tc>
        <w:tc>
          <w:tcPr>
            <w:tcW w:w="937" w:type="pct"/>
            <w:vAlign w:val="bottom"/>
          </w:tcPr>
          <w:p>
            <w:pPr>
              <w:spacing w:line="300" w:lineRule="exact"/>
              <w:ind w:firstLine="0" w:firstLineChars="0"/>
              <w:jc w:val="center"/>
              <w:rPr>
                <w:sz w:val="21"/>
                <w:szCs w:val="21"/>
              </w:rPr>
            </w:pPr>
            <w:r>
              <w:rPr>
                <w:rFonts w:hint="eastAsia"/>
                <w:sz w:val="21"/>
                <w:szCs w:val="21"/>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100</w:t>
            </w:r>
          </w:p>
        </w:tc>
        <w:tc>
          <w:tcPr>
            <w:tcW w:w="1048" w:type="pct"/>
            <w:vAlign w:val="bottom"/>
          </w:tcPr>
          <w:p>
            <w:pPr>
              <w:spacing w:line="300" w:lineRule="exact"/>
              <w:ind w:firstLine="0" w:firstLineChars="0"/>
              <w:jc w:val="center"/>
              <w:rPr>
                <w:sz w:val="21"/>
                <w:szCs w:val="21"/>
              </w:rPr>
            </w:pPr>
            <w:r>
              <w:rPr>
                <w:rFonts w:hint="eastAsia"/>
                <w:sz w:val="21"/>
                <w:szCs w:val="21"/>
              </w:rPr>
              <w:t>1.92E-03</w:t>
            </w:r>
          </w:p>
        </w:tc>
        <w:tc>
          <w:tcPr>
            <w:tcW w:w="1007" w:type="pct"/>
            <w:vAlign w:val="bottom"/>
          </w:tcPr>
          <w:p>
            <w:pPr>
              <w:spacing w:line="300" w:lineRule="exact"/>
              <w:ind w:firstLine="0" w:firstLineChars="0"/>
              <w:jc w:val="center"/>
              <w:rPr>
                <w:sz w:val="21"/>
                <w:szCs w:val="21"/>
              </w:rPr>
            </w:pPr>
            <w:r>
              <w:rPr>
                <w:rFonts w:hint="eastAsia"/>
                <w:sz w:val="21"/>
                <w:szCs w:val="21"/>
              </w:rPr>
              <w:t>0.96</w:t>
            </w:r>
          </w:p>
        </w:tc>
        <w:tc>
          <w:tcPr>
            <w:tcW w:w="1144" w:type="pct"/>
            <w:vAlign w:val="bottom"/>
          </w:tcPr>
          <w:p>
            <w:pPr>
              <w:spacing w:line="300" w:lineRule="exact"/>
              <w:ind w:firstLine="0" w:firstLineChars="0"/>
              <w:jc w:val="center"/>
              <w:rPr>
                <w:sz w:val="21"/>
                <w:szCs w:val="21"/>
              </w:rPr>
            </w:pPr>
            <w:r>
              <w:rPr>
                <w:rFonts w:hint="eastAsia"/>
                <w:sz w:val="21"/>
                <w:szCs w:val="21"/>
              </w:rPr>
              <w:t>1.57E-04</w:t>
            </w:r>
          </w:p>
        </w:tc>
        <w:tc>
          <w:tcPr>
            <w:tcW w:w="937" w:type="pct"/>
            <w:vAlign w:val="bottom"/>
          </w:tcPr>
          <w:p>
            <w:pPr>
              <w:spacing w:line="300" w:lineRule="exact"/>
              <w:ind w:firstLine="0" w:firstLineChars="0"/>
              <w:jc w:val="center"/>
              <w:rPr>
                <w:sz w:val="21"/>
                <w:szCs w:val="21"/>
              </w:rPr>
            </w:pPr>
            <w:r>
              <w:rPr>
                <w:rFonts w:hint="eastAsia"/>
                <w:sz w:val="21"/>
                <w:szCs w:val="21"/>
              </w:rPr>
              <w:t xml:space="preserve">1.57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136</w:t>
            </w:r>
          </w:p>
        </w:tc>
        <w:tc>
          <w:tcPr>
            <w:tcW w:w="1048" w:type="pct"/>
            <w:vAlign w:val="bottom"/>
          </w:tcPr>
          <w:p>
            <w:pPr>
              <w:spacing w:line="300" w:lineRule="exact"/>
              <w:ind w:firstLine="0" w:firstLineChars="0"/>
              <w:jc w:val="center"/>
              <w:rPr>
                <w:sz w:val="21"/>
                <w:szCs w:val="21"/>
              </w:rPr>
            </w:pPr>
            <w:r>
              <w:rPr>
                <w:rFonts w:hint="eastAsia"/>
                <w:sz w:val="21"/>
                <w:szCs w:val="21"/>
              </w:rPr>
              <w:t>1.94E-03</w:t>
            </w:r>
          </w:p>
        </w:tc>
        <w:tc>
          <w:tcPr>
            <w:tcW w:w="1007" w:type="pct"/>
            <w:vAlign w:val="bottom"/>
          </w:tcPr>
          <w:p>
            <w:pPr>
              <w:spacing w:line="300" w:lineRule="exact"/>
              <w:ind w:firstLine="0" w:firstLineChars="0"/>
              <w:jc w:val="center"/>
              <w:rPr>
                <w:sz w:val="21"/>
                <w:szCs w:val="21"/>
              </w:rPr>
            </w:pPr>
            <w:r>
              <w:rPr>
                <w:rFonts w:hint="eastAsia"/>
                <w:sz w:val="21"/>
                <w:szCs w:val="21"/>
              </w:rPr>
              <w:t xml:space="preserve">0.97 </w:t>
            </w:r>
          </w:p>
        </w:tc>
        <w:tc>
          <w:tcPr>
            <w:tcW w:w="1144" w:type="pct"/>
            <w:vAlign w:val="bottom"/>
          </w:tcPr>
          <w:p>
            <w:pPr>
              <w:spacing w:line="300" w:lineRule="exact"/>
              <w:ind w:firstLine="0" w:firstLineChars="0"/>
              <w:jc w:val="center"/>
              <w:rPr>
                <w:sz w:val="21"/>
                <w:szCs w:val="21"/>
              </w:rPr>
            </w:pPr>
            <w:r>
              <w:rPr>
                <w:rFonts w:hint="eastAsia"/>
                <w:sz w:val="21"/>
                <w:szCs w:val="21"/>
              </w:rPr>
              <w:t>1.59E-04</w:t>
            </w:r>
          </w:p>
        </w:tc>
        <w:tc>
          <w:tcPr>
            <w:tcW w:w="937" w:type="pct"/>
            <w:vAlign w:val="bottom"/>
          </w:tcPr>
          <w:p>
            <w:pPr>
              <w:spacing w:line="300" w:lineRule="exact"/>
              <w:ind w:firstLine="0" w:firstLineChars="0"/>
              <w:jc w:val="center"/>
              <w:rPr>
                <w:sz w:val="21"/>
                <w:szCs w:val="21"/>
              </w:rPr>
            </w:pPr>
            <w:r>
              <w:rPr>
                <w:rFonts w:hint="eastAsia"/>
                <w:sz w:val="21"/>
                <w:szCs w:val="21"/>
              </w:rPr>
              <w:t xml:space="preserve">1.59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200</w:t>
            </w:r>
          </w:p>
        </w:tc>
        <w:tc>
          <w:tcPr>
            <w:tcW w:w="1048" w:type="pct"/>
            <w:vAlign w:val="bottom"/>
          </w:tcPr>
          <w:p>
            <w:pPr>
              <w:spacing w:line="300" w:lineRule="exact"/>
              <w:ind w:firstLine="0" w:firstLineChars="0"/>
              <w:jc w:val="center"/>
              <w:rPr>
                <w:sz w:val="21"/>
                <w:szCs w:val="21"/>
              </w:rPr>
            </w:pPr>
            <w:r>
              <w:rPr>
                <w:rFonts w:hint="eastAsia"/>
                <w:sz w:val="21"/>
                <w:szCs w:val="21"/>
              </w:rPr>
              <w:t>4.87E-04</w:t>
            </w:r>
          </w:p>
        </w:tc>
        <w:tc>
          <w:tcPr>
            <w:tcW w:w="1007" w:type="pct"/>
            <w:vAlign w:val="bottom"/>
          </w:tcPr>
          <w:p>
            <w:pPr>
              <w:spacing w:line="300" w:lineRule="exact"/>
              <w:ind w:firstLine="0" w:firstLineChars="0"/>
              <w:jc w:val="center"/>
              <w:rPr>
                <w:sz w:val="21"/>
                <w:szCs w:val="21"/>
              </w:rPr>
            </w:pPr>
            <w:r>
              <w:rPr>
                <w:rFonts w:hint="eastAsia"/>
                <w:sz w:val="21"/>
                <w:szCs w:val="21"/>
              </w:rPr>
              <w:t>0.24</w:t>
            </w:r>
          </w:p>
        </w:tc>
        <w:tc>
          <w:tcPr>
            <w:tcW w:w="1144" w:type="pct"/>
            <w:vAlign w:val="bottom"/>
          </w:tcPr>
          <w:p>
            <w:pPr>
              <w:spacing w:line="300" w:lineRule="exact"/>
              <w:ind w:firstLine="0" w:firstLineChars="0"/>
              <w:jc w:val="center"/>
              <w:rPr>
                <w:sz w:val="21"/>
                <w:szCs w:val="21"/>
              </w:rPr>
            </w:pPr>
            <w:r>
              <w:rPr>
                <w:rFonts w:hint="eastAsia"/>
                <w:sz w:val="21"/>
                <w:szCs w:val="21"/>
              </w:rPr>
              <w:t>3.99E-05</w:t>
            </w:r>
          </w:p>
        </w:tc>
        <w:tc>
          <w:tcPr>
            <w:tcW w:w="937" w:type="pct"/>
            <w:vAlign w:val="bottom"/>
          </w:tcPr>
          <w:p>
            <w:pPr>
              <w:spacing w:line="300" w:lineRule="exact"/>
              <w:ind w:firstLine="0" w:firstLineChars="0"/>
              <w:jc w:val="center"/>
              <w:rPr>
                <w:sz w:val="21"/>
                <w:szCs w:val="21"/>
              </w:rPr>
            </w:pPr>
            <w:r>
              <w:rPr>
                <w:rFonts w:hint="eastAsia"/>
                <w:sz w:val="21"/>
                <w:szCs w:val="21"/>
              </w:rPr>
              <w:t>0.40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300</w:t>
            </w:r>
          </w:p>
        </w:tc>
        <w:tc>
          <w:tcPr>
            <w:tcW w:w="1048" w:type="pct"/>
            <w:vAlign w:val="bottom"/>
          </w:tcPr>
          <w:p>
            <w:pPr>
              <w:spacing w:line="300" w:lineRule="exact"/>
              <w:ind w:firstLine="0" w:firstLineChars="0"/>
              <w:jc w:val="center"/>
              <w:rPr>
                <w:sz w:val="21"/>
                <w:szCs w:val="21"/>
              </w:rPr>
            </w:pPr>
            <w:r>
              <w:rPr>
                <w:rFonts w:hint="eastAsia"/>
                <w:sz w:val="21"/>
                <w:szCs w:val="21"/>
              </w:rPr>
              <w:t>2.09E-04</w:t>
            </w:r>
          </w:p>
        </w:tc>
        <w:tc>
          <w:tcPr>
            <w:tcW w:w="1007" w:type="pct"/>
            <w:vAlign w:val="bottom"/>
          </w:tcPr>
          <w:p>
            <w:pPr>
              <w:spacing w:line="300" w:lineRule="exact"/>
              <w:ind w:firstLine="0" w:firstLineChars="0"/>
              <w:jc w:val="center"/>
              <w:rPr>
                <w:sz w:val="21"/>
                <w:szCs w:val="21"/>
              </w:rPr>
            </w:pPr>
            <w:r>
              <w:rPr>
                <w:rFonts w:hint="eastAsia"/>
                <w:sz w:val="21"/>
                <w:szCs w:val="21"/>
              </w:rPr>
              <w:t>0.10</w:t>
            </w:r>
          </w:p>
        </w:tc>
        <w:tc>
          <w:tcPr>
            <w:tcW w:w="1144" w:type="pct"/>
            <w:vAlign w:val="bottom"/>
          </w:tcPr>
          <w:p>
            <w:pPr>
              <w:spacing w:line="300" w:lineRule="exact"/>
              <w:ind w:firstLine="0" w:firstLineChars="0"/>
              <w:jc w:val="center"/>
              <w:rPr>
                <w:sz w:val="21"/>
                <w:szCs w:val="21"/>
              </w:rPr>
            </w:pPr>
            <w:r>
              <w:rPr>
                <w:rFonts w:hint="eastAsia"/>
                <w:sz w:val="21"/>
                <w:szCs w:val="21"/>
              </w:rPr>
              <w:t>1.71E-05</w:t>
            </w:r>
          </w:p>
        </w:tc>
        <w:tc>
          <w:tcPr>
            <w:tcW w:w="937" w:type="pct"/>
            <w:vAlign w:val="bottom"/>
          </w:tcPr>
          <w:p>
            <w:pPr>
              <w:spacing w:line="300" w:lineRule="exact"/>
              <w:ind w:firstLine="0" w:firstLineChars="0"/>
              <w:jc w:val="center"/>
              <w:rPr>
                <w:sz w:val="21"/>
                <w:szCs w:val="21"/>
              </w:rPr>
            </w:pPr>
            <w:r>
              <w:rPr>
                <w:rFonts w:hint="eastAsia"/>
                <w:sz w:val="21"/>
                <w:szCs w:val="21"/>
              </w:rPr>
              <w:t xml:space="preserve">0.17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400</w:t>
            </w:r>
          </w:p>
        </w:tc>
        <w:tc>
          <w:tcPr>
            <w:tcW w:w="1048" w:type="pct"/>
            <w:vAlign w:val="bottom"/>
          </w:tcPr>
          <w:p>
            <w:pPr>
              <w:spacing w:line="300" w:lineRule="exact"/>
              <w:ind w:firstLine="0" w:firstLineChars="0"/>
              <w:jc w:val="center"/>
              <w:rPr>
                <w:sz w:val="21"/>
                <w:szCs w:val="21"/>
              </w:rPr>
            </w:pPr>
            <w:r>
              <w:rPr>
                <w:rFonts w:hint="eastAsia"/>
                <w:sz w:val="21"/>
                <w:szCs w:val="21"/>
              </w:rPr>
              <w:t>1.22E-05</w:t>
            </w:r>
          </w:p>
        </w:tc>
        <w:tc>
          <w:tcPr>
            <w:tcW w:w="1007" w:type="pct"/>
            <w:vAlign w:val="bottom"/>
          </w:tcPr>
          <w:p>
            <w:pPr>
              <w:spacing w:line="300" w:lineRule="exact"/>
              <w:ind w:firstLine="0" w:firstLineChars="0"/>
              <w:jc w:val="center"/>
              <w:rPr>
                <w:sz w:val="21"/>
                <w:szCs w:val="21"/>
              </w:rPr>
            </w:pPr>
            <w:r>
              <w:rPr>
                <w:rFonts w:hint="eastAsia"/>
                <w:sz w:val="21"/>
                <w:szCs w:val="21"/>
              </w:rPr>
              <w:t xml:space="preserve">0.06 </w:t>
            </w:r>
          </w:p>
        </w:tc>
        <w:tc>
          <w:tcPr>
            <w:tcW w:w="1144" w:type="pct"/>
            <w:vAlign w:val="bottom"/>
          </w:tcPr>
          <w:p>
            <w:pPr>
              <w:spacing w:line="300" w:lineRule="exact"/>
              <w:ind w:firstLine="0" w:firstLineChars="0"/>
              <w:jc w:val="center"/>
              <w:rPr>
                <w:sz w:val="21"/>
                <w:szCs w:val="21"/>
              </w:rPr>
            </w:pPr>
            <w:r>
              <w:rPr>
                <w:rFonts w:hint="eastAsia"/>
                <w:sz w:val="21"/>
                <w:szCs w:val="21"/>
              </w:rPr>
              <w:t>1.00E-05</w:t>
            </w:r>
          </w:p>
        </w:tc>
        <w:tc>
          <w:tcPr>
            <w:tcW w:w="937" w:type="pct"/>
            <w:vAlign w:val="bottom"/>
          </w:tcPr>
          <w:p>
            <w:pPr>
              <w:spacing w:line="300" w:lineRule="exact"/>
              <w:ind w:firstLine="0" w:firstLineChars="0"/>
              <w:jc w:val="center"/>
              <w:rPr>
                <w:sz w:val="21"/>
                <w:szCs w:val="21"/>
              </w:rPr>
            </w:pPr>
            <w:r>
              <w:rPr>
                <w:rFonts w:hint="eastAsia"/>
                <w:sz w:val="21"/>
                <w:szCs w:val="21"/>
              </w:rPr>
              <w:t xml:space="preserve">0.10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500</w:t>
            </w:r>
          </w:p>
        </w:tc>
        <w:tc>
          <w:tcPr>
            <w:tcW w:w="1048" w:type="pct"/>
            <w:vAlign w:val="bottom"/>
          </w:tcPr>
          <w:p>
            <w:pPr>
              <w:spacing w:line="300" w:lineRule="exact"/>
              <w:ind w:firstLine="0" w:firstLineChars="0"/>
              <w:jc w:val="center"/>
              <w:rPr>
                <w:sz w:val="21"/>
                <w:szCs w:val="21"/>
              </w:rPr>
            </w:pPr>
            <w:r>
              <w:rPr>
                <w:rFonts w:hint="eastAsia"/>
                <w:sz w:val="21"/>
                <w:szCs w:val="21"/>
              </w:rPr>
              <w:t>8.23E-05</w:t>
            </w:r>
          </w:p>
        </w:tc>
        <w:tc>
          <w:tcPr>
            <w:tcW w:w="1007" w:type="pct"/>
            <w:vAlign w:val="bottom"/>
          </w:tcPr>
          <w:p>
            <w:pPr>
              <w:spacing w:line="300" w:lineRule="exact"/>
              <w:ind w:firstLine="0" w:firstLineChars="0"/>
              <w:jc w:val="center"/>
              <w:rPr>
                <w:sz w:val="21"/>
                <w:szCs w:val="21"/>
              </w:rPr>
            </w:pPr>
            <w:r>
              <w:rPr>
                <w:rFonts w:hint="eastAsia"/>
                <w:sz w:val="21"/>
                <w:szCs w:val="21"/>
              </w:rPr>
              <w:t xml:space="preserve">0.04 </w:t>
            </w:r>
          </w:p>
        </w:tc>
        <w:tc>
          <w:tcPr>
            <w:tcW w:w="1144" w:type="pct"/>
            <w:vAlign w:val="bottom"/>
          </w:tcPr>
          <w:p>
            <w:pPr>
              <w:spacing w:line="300" w:lineRule="exact"/>
              <w:ind w:firstLine="0" w:firstLineChars="0"/>
              <w:jc w:val="center"/>
              <w:rPr>
                <w:sz w:val="21"/>
                <w:szCs w:val="21"/>
              </w:rPr>
            </w:pPr>
            <w:r>
              <w:rPr>
                <w:rFonts w:hint="eastAsia"/>
                <w:sz w:val="21"/>
                <w:szCs w:val="21"/>
              </w:rPr>
              <w:t>6.73E-06</w:t>
            </w:r>
          </w:p>
        </w:tc>
        <w:tc>
          <w:tcPr>
            <w:tcW w:w="937" w:type="pct"/>
            <w:vAlign w:val="bottom"/>
          </w:tcPr>
          <w:p>
            <w:pPr>
              <w:spacing w:line="300" w:lineRule="exact"/>
              <w:ind w:firstLine="0" w:firstLineChars="0"/>
              <w:jc w:val="center"/>
              <w:rPr>
                <w:sz w:val="21"/>
                <w:szCs w:val="21"/>
              </w:rPr>
            </w:pPr>
            <w:r>
              <w:rPr>
                <w:rFonts w:hint="eastAsia"/>
                <w:sz w:val="21"/>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600</w:t>
            </w:r>
          </w:p>
        </w:tc>
        <w:tc>
          <w:tcPr>
            <w:tcW w:w="1048" w:type="pct"/>
            <w:vAlign w:val="bottom"/>
          </w:tcPr>
          <w:p>
            <w:pPr>
              <w:spacing w:line="300" w:lineRule="exact"/>
              <w:ind w:firstLine="0" w:firstLineChars="0"/>
              <w:jc w:val="center"/>
              <w:rPr>
                <w:sz w:val="21"/>
                <w:szCs w:val="21"/>
              </w:rPr>
            </w:pPr>
            <w:r>
              <w:rPr>
                <w:rFonts w:hint="eastAsia"/>
                <w:sz w:val="21"/>
                <w:szCs w:val="21"/>
              </w:rPr>
              <w:t>5.97E-05</w:t>
            </w:r>
          </w:p>
        </w:tc>
        <w:tc>
          <w:tcPr>
            <w:tcW w:w="1007" w:type="pct"/>
            <w:vAlign w:val="bottom"/>
          </w:tcPr>
          <w:p>
            <w:pPr>
              <w:spacing w:line="300" w:lineRule="exact"/>
              <w:ind w:firstLine="0" w:firstLineChars="0"/>
              <w:jc w:val="center"/>
              <w:rPr>
                <w:sz w:val="21"/>
                <w:szCs w:val="21"/>
              </w:rPr>
            </w:pPr>
            <w:r>
              <w:rPr>
                <w:rFonts w:hint="eastAsia"/>
                <w:sz w:val="21"/>
                <w:szCs w:val="21"/>
              </w:rPr>
              <w:t xml:space="preserve">0.03 </w:t>
            </w:r>
          </w:p>
        </w:tc>
        <w:tc>
          <w:tcPr>
            <w:tcW w:w="1144" w:type="pct"/>
            <w:vAlign w:val="bottom"/>
          </w:tcPr>
          <w:p>
            <w:pPr>
              <w:spacing w:line="300" w:lineRule="exact"/>
              <w:ind w:firstLine="0" w:firstLineChars="0"/>
              <w:jc w:val="center"/>
              <w:rPr>
                <w:sz w:val="21"/>
                <w:szCs w:val="21"/>
              </w:rPr>
            </w:pPr>
            <w:r>
              <w:rPr>
                <w:rFonts w:hint="eastAsia"/>
                <w:sz w:val="21"/>
                <w:szCs w:val="21"/>
              </w:rPr>
              <w:t>4.89E-06</w:t>
            </w:r>
          </w:p>
        </w:tc>
        <w:tc>
          <w:tcPr>
            <w:tcW w:w="937" w:type="pct"/>
            <w:vAlign w:val="bottom"/>
          </w:tcPr>
          <w:p>
            <w:pPr>
              <w:spacing w:line="300" w:lineRule="exact"/>
              <w:ind w:firstLine="0" w:firstLineChars="0"/>
              <w:jc w:val="center"/>
              <w:rPr>
                <w:sz w:val="21"/>
                <w:szCs w:val="21"/>
              </w:rPr>
            </w:pPr>
            <w:r>
              <w:rPr>
                <w:rFonts w:hint="eastAsia"/>
                <w:sz w:val="21"/>
                <w:szCs w:val="21"/>
              </w:rPr>
              <w:t xml:space="preserve">0.05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700</w:t>
            </w:r>
          </w:p>
        </w:tc>
        <w:tc>
          <w:tcPr>
            <w:tcW w:w="1048" w:type="pct"/>
            <w:vAlign w:val="bottom"/>
          </w:tcPr>
          <w:p>
            <w:pPr>
              <w:spacing w:line="300" w:lineRule="exact"/>
              <w:ind w:firstLine="0" w:firstLineChars="0"/>
              <w:jc w:val="center"/>
              <w:rPr>
                <w:sz w:val="21"/>
                <w:szCs w:val="21"/>
              </w:rPr>
            </w:pPr>
            <w:r>
              <w:rPr>
                <w:rFonts w:hint="eastAsia"/>
                <w:sz w:val="21"/>
                <w:szCs w:val="21"/>
              </w:rPr>
              <w:t>4.56E-05</w:t>
            </w:r>
          </w:p>
        </w:tc>
        <w:tc>
          <w:tcPr>
            <w:tcW w:w="1007" w:type="pct"/>
            <w:vAlign w:val="bottom"/>
          </w:tcPr>
          <w:p>
            <w:pPr>
              <w:spacing w:line="300" w:lineRule="exact"/>
              <w:ind w:firstLine="0" w:firstLineChars="0"/>
              <w:jc w:val="center"/>
              <w:rPr>
                <w:sz w:val="21"/>
                <w:szCs w:val="21"/>
              </w:rPr>
            </w:pPr>
            <w:r>
              <w:rPr>
                <w:rFonts w:hint="eastAsia"/>
                <w:sz w:val="21"/>
                <w:szCs w:val="21"/>
              </w:rPr>
              <w:t xml:space="preserve">0.02 </w:t>
            </w:r>
          </w:p>
        </w:tc>
        <w:tc>
          <w:tcPr>
            <w:tcW w:w="1144" w:type="pct"/>
            <w:vAlign w:val="bottom"/>
          </w:tcPr>
          <w:p>
            <w:pPr>
              <w:spacing w:line="300" w:lineRule="exact"/>
              <w:ind w:firstLine="0" w:firstLineChars="0"/>
              <w:jc w:val="center"/>
              <w:rPr>
                <w:sz w:val="21"/>
                <w:szCs w:val="21"/>
              </w:rPr>
            </w:pPr>
            <w:r>
              <w:rPr>
                <w:rFonts w:hint="eastAsia"/>
                <w:sz w:val="21"/>
                <w:szCs w:val="21"/>
              </w:rPr>
              <w:t>3.73E-06</w:t>
            </w:r>
          </w:p>
        </w:tc>
        <w:tc>
          <w:tcPr>
            <w:tcW w:w="937" w:type="pct"/>
            <w:vAlign w:val="bottom"/>
          </w:tcPr>
          <w:p>
            <w:pPr>
              <w:spacing w:line="300" w:lineRule="exact"/>
              <w:ind w:firstLine="0" w:firstLineChars="0"/>
              <w:jc w:val="center"/>
              <w:rPr>
                <w:sz w:val="21"/>
                <w:szCs w:val="21"/>
              </w:rPr>
            </w:pPr>
            <w:r>
              <w:rPr>
                <w:rFonts w:hint="eastAsia"/>
                <w:sz w:val="21"/>
                <w:szCs w:val="21"/>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800</w:t>
            </w:r>
          </w:p>
        </w:tc>
        <w:tc>
          <w:tcPr>
            <w:tcW w:w="1048" w:type="pct"/>
            <w:vAlign w:val="bottom"/>
          </w:tcPr>
          <w:p>
            <w:pPr>
              <w:spacing w:line="300" w:lineRule="exact"/>
              <w:ind w:firstLine="0" w:firstLineChars="0"/>
              <w:jc w:val="center"/>
              <w:rPr>
                <w:sz w:val="21"/>
                <w:szCs w:val="21"/>
              </w:rPr>
            </w:pPr>
            <w:r>
              <w:rPr>
                <w:rFonts w:hint="eastAsia"/>
                <w:sz w:val="21"/>
                <w:szCs w:val="21"/>
              </w:rPr>
              <w:t>3.61E-05</w:t>
            </w:r>
          </w:p>
        </w:tc>
        <w:tc>
          <w:tcPr>
            <w:tcW w:w="1007" w:type="pct"/>
            <w:vAlign w:val="bottom"/>
          </w:tcPr>
          <w:p>
            <w:pPr>
              <w:spacing w:line="300" w:lineRule="exact"/>
              <w:ind w:firstLine="0" w:firstLineChars="0"/>
              <w:jc w:val="center"/>
              <w:rPr>
                <w:sz w:val="21"/>
                <w:szCs w:val="21"/>
              </w:rPr>
            </w:pPr>
            <w:r>
              <w:rPr>
                <w:rFonts w:hint="eastAsia"/>
                <w:sz w:val="21"/>
                <w:szCs w:val="21"/>
              </w:rPr>
              <w:t xml:space="preserve">0.02 </w:t>
            </w:r>
          </w:p>
        </w:tc>
        <w:tc>
          <w:tcPr>
            <w:tcW w:w="1144" w:type="pct"/>
            <w:vAlign w:val="bottom"/>
          </w:tcPr>
          <w:p>
            <w:pPr>
              <w:spacing w:line="300" w:lineRule="exact"/>
              <w:ind w:firstLine="0" w:firstLineChars="0"/>
              <w:jc w:val="center"/>
              <w:rPr>
                <w:sz w:val="21"/>
                <w:szCs w:val="21"/>
              </w:rPr>
            </w:pPr>
            <w:r>
              <w:rPr>
                <w:rFonts w:hint="eastAsia"/>
                <w:sz w:val="21"/>
                <w:szCs w:val="21"/>
              </w:rPr>
              <w:t>2.95E-06</w:t>
            </w:r>
          </w:p>
        </w:tc>
        <w:tc>
          <w:tcPr>
            <w:tcW w:w="937" w:type="pct"/>
            <w:vAlign w:val="bottom"/>
          </w:tcPr>
          <w:p>
            <w:pPr>
              <w:spacing w:line="300" w:lineRule="exact"/>
              <w:ind w:firstLine="0" w:firstLineChars="0"/>
              <w:jc w:val="center"/>
              <w:rPr>
                <w:sz w:val="21"/>
                <w:szCs w:val="21"/>
              </w:rPr>
            </w:pPr>
            <w:r>
              <w:rPr>
                <w:rFonts w:hint="eastAsia"/>
                <w:sz w:val="21"/>
                <w:szCs w:val="21"/>
              </w:rPr>
              <w:t xml:space="preserve">0.03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900</w:t>
            </w:r>
          </w:p>
        </w:tc>
        <w:tc>
          <w:tcPr>
            <w:tcW w:w="1048" w:type="pct"/>
            <w:vAlign w:val="bottom"/>
          </w:tcPr>
          <w:p>
            <w:pPr>
              <w:spacing w:line="300" w:lineRule="exact"/>
              <w:ind w:firstLine="0" w:firstLineChars="0"/>
              <w:jc w:val="center"/>
              <w:rPr>
                <w:sz w:val="21"/>
                <w:szCs w:val="21"/>
              </w:rPr>
            </w:pPr>
            <w:r>
              <w:rPr>
                <w:rFonts w:hint="eastAsia"/>
                <w:sz w:val="21"/>
                <w:szCs w:val="21"/>
              </w:rPr>
              <w:t>2.93E-05</w:t>
            </w:r>
          </w:p>
        </w:tc>
        <w:tc>
          <w:tcPr>
            <w:tcW w:w="1007" w:type="pct"/>
            <w:vAlign w:val="bottom"/>
          </w:tcPr>
          <w:p>
            <w:pPr>
              <w:spacing w:line="300" w:lineRule="exact"/>
              <w:ind w:firstLine="0" w:firstLineChars="0"/>
              <w:jc w:val="center"/>
              <w:rPr>
                <w:sz w:val="21"/>
                <w:szCs w:val="21"/>
              </w:rPr>
            </w:pPr>
            <w:r>
              <w:rPr>
                <w:rFonts w:hint="eastAsia"/>
                <w:sz w:val="21"/>
                <w:szCs w:val="21"/>
              </w:rPr>
              <w:t xml:space="preserve">0.01 </w:t>
            </w:r>
          </w:p>
        </w:tc>
        <w:tc>
          <w:tcPr>
            <w:tcW w:w="1144" w:type="pct"/>
            <w:vAlign w:val="bottom"/>
          </w:tcPr>
          <w:p>
            <w:pPr>
              <w:spacing w:line="300" w:lineRule="exact"/>
              <w:ind w:firstLine="0" w:firstLineChars="0"/>
              <w:jc w:val="center"/>
              <w:rPr>
                <w:sz w:val="21"/>
                <w:szCs w:val="21"/>
              </w:rPr>
            </w:pPr>
            <w:r>
              <w:rPr>
                <w:rFonts w:hint="eastAsia"/>
                <w:sz w:val="21"/>
                <w:szCs w:val="21"/>
              </w:rPr>
              <w:t>2.40E-06</w:t>
            </w:r>
          </w:p>
        </w:tc>
        <w:tc>
          <w:tcPr>
            <w:tcW w:w="937" w:type="pct"/>
            <w:vAlign w:val="bottom"/>
          </w:tcPr>
          <w:p>
            <w:pPr>
              <w:spacing w:line="300" w:lineRule="exact"/>
              <w:ind w:firstLine="0" w:firstLineChars="0"/>
              <w:jc w:val="center"/>
              <w:rPr>
                <w:sz w:val="21"/>
                <w:szCs w:val="21"/>
              </w:rPr>
            </w:pPr>
            <w:r>
              <w:rPr>
                <w:rFonts w:hint="eastAsia"/>
                <w:sz w:val="21"/>
                <w:szCs w:val="21"/>
              </w:rPr>
              <w:t xml:space="preserve">0.02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1" w:hRule="atLeast"/>
          <w:jc w:val="center"/>
        </w:trPr>
        <w:tc>
          <w:tcPr>
            <w:tcW w:w="864" w:type="pct"/>
            <w:vAlign w:val="bottom"/>
          </w:tcPr>
          <w:p>
            <w:pPr>
              <w:spacing w:line="300" w:lineRule="exact"/>
              <w:ind w:firstLine="0" w:firstLineChars="0"/>
              <w:jc w:val="center"/>
              <w:rPr>
                <w:sz w:val="21"/>
                <w:szCs w:val="21"/>
              </w:rPr>
            </w:pPr>
            <w:r>
              <w:rPr>
                <w:rFonts w:hint="eastAsia"/>
                <w:sz w:val="21"/>
                <w:szCs w:val="21"/>
              </w:rPr>
              <w:t>1000</w:t>
            </w:r>
          </w:p>
        </w:tc>
        <w:tc>
          <w:tcPr>
            <w:tcW w:w="1048" w:type="pct"/>
            <w:vAlign w:val="bottom"/>
          </w:tcPr>
          <w:p>
            <w:pPr>
              <w:spacing w:line="300" w:lineRule="exact"/>
              <w:ind w:firstLine="0" w:firstLineChars="0"/>
              <w:jc w:val="center"/>
              <w:rPr>
                <w:sz w:val="21"/>
                <w:szCs w:val="21"/>
              </w:rPr>
            </w:pPr>
            <w:r>
              <w:rPr>
                <w:rFonts w:hint="eastAsia"/>
                <w:sz w:val="21"/>
                <w:szCs w:val="21"/>
              </w:rPr>
              <w:t>2.43E-05</w:t>
            </w:r>
          </w:p>
        </w:tc>
        <w:tc>
          <w:tcPr>
            <w:tcW w:w="1007" w:type="pct"/>
            <w:vAlign w:val="bottom"/>
          </w:tcPr>
          <w:p>
            <w:pPr>
              <w:spacing w:line="300" w:lineRule="exact"/>
              <w:ind w:firstLine="0" w:firstLineChars="0"/>
              <w:jc w:val="center"/>
              <w:rPr>
                <w:sz w:val="21"/>
                <w:szCs w:val="21"/>
              </w:rPr>
            </w:pPr>
            <w:r>
              <w:rPr>
                <w:rFonts w:hint="eastAsia"/>
                <w:sz w:val="21"/>
                <w:szCs w:val="21"/>
              </w:rPr>
              <w:t xml:space="preserve">0.01 </w:t>
            </w:r>
          </w:p>
        </w:tc>
        <w:tc>
          <w:tcPr>
            <w:tcW w:w="1144" w:type="pct"/>
            <w:vAlign w:val="bottom"/>
          </w:tcPr>
          <w:p>
            <w:pPr>
              <w:spacing w:line="300" w:lineRule="exact"/>
              <w:ind w:firstLine="0" w:firstLineChars="0"/>
              <w:jc w:val="center"/>
              <w:rPr>
                <w:sz w:val="21"/>
                <w:szCs w:val="21"/>
              </w:rPr>
            </w:pPr>
            <w:r>
              <w:rPr>
                <w:rFonts w:hint="eastAsia"/>
                <w:sz w:val="21"/>
                <w:szCs w:val="21"/>
              </w:rPr>
              <w:t>1.99E-06</w:t>
            </w:r>
          </w:p>
        </w:tc>
        <w:tc>
          <w:tcPr>
            <w:tcW w:w="937" w:type="pct"/>
            <w:vAlign w:val="bottom"/>
          </w:tcPr>
          <w:p>
            <w:pPr>
              <w:spacing w:line="300" w:lineRule="exact"/>
              <w:ind w:firstLine="0" w:firstLineChars="0"/>
              <w:jc w:val="center"/>
              <w:rPr>
                <w:sz w:val="21"/>
                <w:szCs w:val="21"/>
              </w:rPr>
            </w:pPr>
            <w:r>
              <w:rPr>
                <w:rFonts w:hint="eastAsia"/>
                <w:sz w:val="21"/>
                <w:szCs w:val="21"/>
              </w:rPr>
              <w:t xml:space="preserve">0.02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1500</w:t>
            </w:r>
          </w:p>
        </w:tc>
        <w:tc>
          <w:tcPr>
            <w:tcW w:w="1048" w:type="pct"/>
            <w:vAlign w:val="bottom"/>
          </w:tcPr>
          <w:p>
            <w:pPr>
              <w:spacing w:line="300" w:lineRule="exact"/>
              <w:ind w:firstLine="0" w:firstLineChars="0"/>
              <w:jc w:val="center"/>
              <w:rPr>
                <w:sz w:val="21"/>
                <w:szCs w:val="21"/>
              </w:rPr>
            </w:pPr>
            <w:r>
              <w:rPr>
                <w:rFonts w:hint="eastAsia"/>
                <w:sz w:val="21"/>
                <w:szCs w:val="21"/>
              </w:rPr>
              <w:t>1.17E-06</w:t>
            </w:r>
          </w:p>
        </w:tc>
        <w:tc>
          <w:tcPr>
            <w:tcW w:w="1007" w:type="pct"/>
            <w:vAlign w:val="bottom"/>
          </w:tcPr>
          <w:p>
            <w:pPr>
              <w:spacing w:line="300" w:lineRule="exact"/>
              <w:ind w:firstLine="0" w:firstLineChars="0"/>
              <w:jc w:val="center"/>
              <w:rPr>
                <w:sz w:val="21"/>
                <w:szCs w:val="21"/>
              </w:rPr>
            </w:pPr>
            <w:r>
              <w:rPr>
                <w:rFonts w:hint="eastAsia"/>
                <w:sz w:val="21"/>
                <w:szCs w:val="21"/>
              </w:rPr>
              <w:t xml:space="preserve">0.00 </w:t>
            </w:r>
          </w:p>
        </w:tc>
        <w:tc>
          <w:tcPr>
            <w:tcW w:w="1144" w:type="pct"/>
            <w:vAlign w:val="bottom"/>
          </w:tcPr>
          <w:p>
            <w:pPr>
              <w:spacing w:line="300" w:lineRule="exact"/>
              <w:ind w:firstLine="0" w:firstLineChars="0"/>
              <w:jc w:val="center"/>
              <w:rPr>
                <w:sz w:val="21"/>
                <w:szCs w:val="21"/>
              </w:rPr>
            </w:pPr>
            <w:r>
              <w:rPr>
                <w:rFonts w:hint="eastAsia"/>
                <w:sz w:val="21"/>
                <w:szCs w:val="21"/>
              </w:rPr>
              <w:t>9.53E-07</w:t>
            </w:r>
          </w:p>
        </w:tc>
        <w:tc>
          <w:tcPr>
            <w:tcW w:w="937" w:type="pct"/>
            <w:vAlign w:val="bottom"/>
          </w:tcPr>
          <w:p>
            <w:pPr>
              <w:spacing w:line="300" w:lineRule="exact"/>
              <w:ind w:firstLine="0" w:firstLineChars="0"/>
              <w:jc w:val="center"/>
              <w:rPr>
                <w:sz w:val="21"/>
                <w:szCs w:val="21"/>
              </w:rPr>
            </w:pPr>
            <w:r>
              <w:rPr>
                <w:rFonts w:hint="eastAsia"/>
                <w:sz w:val="21"/>
                <w:szCs w:val="21"/>
              </w:rPr>
              <w:t xml:space="preserve">0.01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2000</w:t>
            </w:r>
          </w:p>
        </w:tc>
        <w:tc>
          <w:tcPr>
            <w:tcW w:w="1048" w:type="pct"/>
            <w:vAlign w:val="bottom"/>
          </w:tcPr>
          <w:p>
            <w:pPr>
              <w:spacing w:line="300" w:lineRule="exact"/>
              <w:ind w:firstLine="0" w:firstLineChars="0"/>
              <w:jc w:val="center"/>
              <w:rPr>
                <w:sz w:val="21"/>
                <w:szCs w:val="21"/>
              </w:rPr>
            </w:pPr>
            <w:r>
              <w:rPr>
                <w:rFonts w:hint="eastAsia"/>
                <w:sz w:val="21"/>
                <w:szCs w:val="21"/>
              </w:rPr>
              <w:t>7.02E-06</w:t>
            </w:r>
          </w:p>
        </w:tc>
        <w:tc>
          <w:tcPr>
            <w:tcW w:w="1007" w:type="pct"/>
            <w:vAlign w:val="bottom"/>
          </w:tcPr>
          <w:p>
            <w:pPr>
              <w:spacing w:line="300" w:lineRule="exact"/>
              <w:ind w:firstLine="0" w:firstLineChars="0"/>
              <w:jc w:val="center"/>
              <w:rPr>
                <w:sz w:val="21"/>
                <w:szCs w:val="21"/>
              </w:rPr>
            </w:pPr>
            <w:r>
              <w:rPr>
                <w:rFonts w:hint="eastAsia"/>
                <w:sz w:val="21"/>
                <w:szCs w:val="21"/>
              </w:rPr>
              <w:t xml:space="preserve">0.00 </w:t>
            </w:r>
          </w:p>
        </w:tc>
        <w:tc>
          <w:tcPr>
            <w:tcW w:w="1144" w:type="pct"/>
            <w:vAlign w:val="bottom"/>
          </w:tcPr>
          <w:p>
            <w:pPr>
              <w:spacing w:line="300" w:lineRule="exact"/>
              <w:ind w:firstLine="0" w:firstLineChars="0"/>
              <w:jc w:val="center"/>
              <w:rPr>
                <w:sz w:val="21"/>
                <w:szCs w:val="21"/>
              </w:rPr>
            </w:pPr>
            <w:r>
              <w:rPr>
                <w:rFonts w:hint="eastAsia"/>
                <w:sz w:val="21"/>
                <w:szCs w:val="21"/>
              </w:rPr>
              <w:t>5.75E-07</w:t>
            </w:r>
          </w:p>
        </w:tc>
        <w:tc>
          <w:tcPr>
            <w:tcW w:w="937" w:type="pct"/>
            <w:vAlign w:val="bottom"/>
          </w:tcPr>
          <w:p>
            <w:pPr>
              <w:spacing w:line="300" w:lineRule="exact"/>
              <w:ind w:firstLine="0" w:firstLineChars="0"/>
              <w:jc w:val="center"/>
              <w:rPr>
                <w:sz w:val="21"/>
                <w:szCs w:val="21"/>
              </w:rPr>
            </w:pPr>
            <w:r>
              <w:rPr>
                <w:rFonts w:hint="eastAsia"/>
                <w:sz w:val="21"/>
                <w:szCs w:val="21"/>
              </w:rPr>
              <w:t xml:space="preserve">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bottom"/>
          </w:tcPr>
          <w:p>
            <w:pPr>
              <w:spacing w:line="300" w:lineRule="exact"/>
              <w:ind w:firstLine="0" w:firstLineChars="0"/>
              <w:jc w:val="center"/>
              <w:rPr>
                <w:sz w:val="21"/>
                <w:szCs w:val="21"/>
              </w:rPr>
            </w:pPr>
            <w:r>
              <w:rPr>
                <w:rFonts w:hint="eastAsia"/>
                <w:sz w:val="21"/>
                <w:szCs w:val="21"/>
              </w:rPr>
              <w:t>2500</w:t>
            </w:r>
          </w:p>
        </w:tc>
        <w:tc>
          <w:tcPr>
            <w:tcW w:w="1048" w:type="pct"/>
            <w:vAlign w:val="bottom"/>
          </w:tcPr>
          <w:p>
            <w:pPr>
              <w:spacing w:line="300" w:lineRule="exact"/>
              <w:ind w:firstLine="0" w:firstLineChars="0"/>
              <w:jc w:val="center"/>
              <w:rPr>
                <w:sz w:val="21"/>
                <w:szCs w:val="21"/>
              </w:rPr>
            </w:pPr>
            <w:r>
              <w:rPr>
                <w:rFonts w:hint="eastAsia"/>
                <w:sz w:val="21"/>
                <w:szCs w:val="21"/>
              </w:rPr>
              <w:t>4.99E-06</w:t>
            </w:r>
          </w:p>
        </w:tc>
        <w:tc>
          <w:tcPr>
            <w:tcW w:w="1007" w:type="pct"/>
            <w:vAlign w:val="bottom"/>
          </w:tcPr>
          <w:p>
            <w:pPr>
              <w:spacing w:line="300" w:lineRule="exact"/>
              <w:ind w:firstLine="0" w:firstLineChars="0"/>
              <w:jc w:val="center"/>
              <w:rPr>
                <w:sz w:val="21"/>
                <w:szCs w:val="21"/>
              </w:rPr>
            </w:pPr>
            <w:r>
              <w:rPr>
                <w:rFonts w:hint="eastAsia"/>
                <w:sz w:val="21"/>
                <w:szCs w:val="21"/>
              </w:rPr>
              <w:t xml:space="preserve">0.00 </w:t>
            </w:r>
          </w:p>
        </w:tc>
        <w:tc>
          <w:tcPr>
            <w:tcW w:w="1144" w:type="pct"/>
            <w:vAlign w:val="bottom"/>
          </w:tcPr>
          <w:p>
            <w:pPr>
              <w:spacing w:line="300" w:lineRule="exact"/>
              <w:ind w:firstLine="0" w:firstLineChars="0"/>
              <w:jc w:val="center"/>
              <w:rPr>
                <w:sz w:val="21"/>
                <w:szCs w:val="21"/>
              </w:rPr>
            </w:pPr>
            <w:r>
              <w:rPr>
                <w:rFonts w:hint="eastAsia"/>
                <w:sz w:val="21"/>
                <w:szCs w:val="21"/>
              </w:rPr>
              <w:t>4.08E-07</w:t>
            </w:r>
          </w:p>
        </w:tc>
        <w:tc>
          <w:tcPr>
            <w:tcW w:w="937" w:type="pct"/>
            <w:vAlign w:val="bottom"/>
          </w:tcPr>
          <w:p>
            <w:pPr>
              <w:spacing w:line="300" w:lineRule="exact"/>
              <w:ind w:firstLine="0" w:firstLineChars="0"/>
              <w:jc w:val="center"/>
              <w:rPr>
                <w:sz w:val="21"/>
                <w:szCs w:val="21"/>
              </w:rPr>
            </w:pPr>
            <w:r>
              <w:rPr>
                <w:rFonts w:hint="eastAsia"/>
                <w:sz w:val="21"/>
                <w:szCs w:val="21"/>
              </w:rPr>
              <w:t xml:space="preserve">0.00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center"/>
          </w:tcPr>
          <w:p>
            <w:pPr>
              <w:spacing w:line="300" w:lineRule="exact"/>
              <w:ind w:firstLine="0" w:firstLineChars="0"/>
              <w:jc w:val="center"/>
              <w:rPr>
                <w:sz w:val="21"/>
                <w:szCs w:val="21"/>
              </w:rPr>
            </w:pPr>
            <w:r>
              <w:rPr>
                <w:sz w:val="21"/>
                <w:szCs w:val="21"/>
              </w:rPr>
              <w:t>下风向最大浓度</w:t>
            </w:r>
          </w:p>
        </w:tc>
        <w:tc>
          <w:tcPr>
            <w:tcW w:w="2055" w:type="pct"/>
            <w:gridSpan w:val="2"/>
            <w:vAlign w:val="center"/>
          </w:tcPr>
          <w:p>
            <w:pPr>
              <w:spacing w:line="300" w:lineRule="exact"/>
              <w:ind w:firstLine="0" w:firstLineChars="0"/>
              <w:jc w:val="center"/>
              <w:rPr>
                <w:sz w:val="21"/>
                <w:szCs w:val="21"/>
                <w:highlight w:val="yellow"/>
              </w:rPr>
            </w:pPr>
            <w:r>
              <w:rPr>
                <w:rFonts w:hint="eastAsia"/>
                <w:sz w:val="21"/>
                <w:szCs w:val="21"/>
              </w:rPr>
              <w:t>1.94E-03</w:t>
            </w:r>
          </w:p>
        </w:tc>
        <w:tc>
          <w:tcPr>
            <w:tcW w:w="2081" w:type="pct"/>
            <w:gridSpan w:val="2"/>
            <w:vAlign w:val="center"/>
          </w:tcPr>
          <w:p>
            <w:pPr>
              <w:spacing w:line="300" w:lineRule="exact"/>
              <w:ind w:firstLine="0" w:firstLineChars="0"/>
              <w:jc w:val="center"/>
              <w:rPr>
                <w:sz w:val="21"/>
                <w:szCs w:val="21"/>
                <w:highlight w:val="yellow"/>
              </w:rPr>
            </w:pPr>
            <w:r>
              <w:rPr>
                <w:rFonts w:hint="eastAsia"/>
                <w:sz w:val="21"/>
                <w:szCs w:val="21"/>
              </w:rPr>
              <w:t>1.59E-04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center"/>
          </w:tcPr>
          <w:p>
            <w:pPr>
              <w:spacing w:line="300" w:lineRule="exact"/>
              <w:ind w:firstLine="0" w:firstLineChars="0"/>
              <w:jc w:val="center"/>
              <w:rPr>
                <w:sz w:val="21"/>
                <w:szCs w:val="21"/>
              </w:rPr>
            </w:pPr>
            <w:r>
              <w:rPr>
                <w:sz w:val="21"/>
                <w:szCs w:val="21"/>
              </w:rPr>
              <w:t>最大浓度占标率（%）</w:t>
            </w:r>
          </w:p>
        </w:tc>
        <w:tc>
          <w:tcPr>
            <w:tcW w:w="2055" w:type="pct"/>
            <w:gridSpan w:val="2"/>
            <w:vAlign w:val="center"/>
          </w:tcPr>
          <w:p>
            <w:pPr>
              <w:spacing w:line="300" w:lineRule="exact"/>
              <w:ind w:firstLine="0" w:firstLineChars="0"/>
              <w:jc w:val="center"/>
              <w:rPr>
                <w:sz w:val="21"/>
                <w:szCs w:val="21"/>
                <w:highlight w:val="yellow"/>
              </w:rPr>
            </w:pPr>
            <w:r>
              <w:rPr>
                <w:rFonts w:hint="eastAsia"/>
                <w:sz w:val="21"/>
                <w:szCs w:val="21"/>
              </w:rPr>
              <w:t>0.97</w:t>
            </w:r>
          </w:p>
        </w:tc>
        <w:tc>
          <w:tcPr>
            <w:tcW w:w="2081" w:type="pct"/>
            <w:gridSpan w:val="2"/>
            <w:vAlign w:val="center"/>
          </w:tcPr>
          <w:p>
            <w:pPr>
              <w:spacing w:line="300" w:lineRule="exact"/>
              <w:ind w:firstLine="0" w:firstLineChars="0"/>
              <w:jc w:val="center"/>
              <w:rPr>
                <w:sz w:val="21"/>
                <w:szCs w:val="21"/>
                <w:highlight w:val="yellow"/>
              </w:rPr>
            </w:pPr>
            <w:r>
              <w:rPr>
                <w:rFonts w:hint="eastAsia"/>
                <w:sz w:val="21"/>
                <w:szCs w:val="21"/>
              </w:rPr>
              <w:t>1.59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4" w:type="pct"/>
            <w:vAlign w:val="center"/>
          </w:tcPr>
          <w:p>
            <w:pPr>
              <w:spacing w:line="300" w:lineRule="exact"/>
              <w:ind w:firstLine="0" w:firstLineChars="0"/>
              <w:jc w:val="center"/>
              <w:rPr>
                <w:sz w:val="21"/>
                <w:szCs w:val="21"/>
              </w:rPr>
            </w:pPr>
            <w:r>
              <w:rPr>
                <w:sz w:val="21"/>
                <w:szCs w:val="21"/>
              </w:rPr>
              <w:t>最大浓度出现距离（m）</w:t>
            </w:r>
          </w:p>
        </w:tc>
        <w:tc>
          <w:tcPr>
            <w:tcW w:w="2055" w:type="pct"/>
            <w:gridSpan w:val="2"/>
            <w:vAlign w:val="center"/>
          </w:tcPr>
          <w:p>
            <w:pPr>
              <w:spacing w:line="300" w:lineRule="exact"/>
              <w:ind w:firstLine="0" w:firstLineChars="0"/>
              <w:jc w:val="center"/>
              <w:rPr>
                <w:sz w:val="21"/>
                <w:szCs w:val="21"/>
                <w:highlight w:val="yellow"/>
              </w:rPr>
            </w:pPr>
            <w:r>
              <w:rPr>
                <w:rFonts w:hint="eastAsia"/>
                <w:sz w:val="21"/>
                <w:szCs w:val="21"/>
              </w:rPr>
              <w:t>136</w:t>
            </w:r>
          </w:p>
        </w:tc>
        <w:tc>
          <w:tcPr>
            <w:tcW w:w="2081" w:type="pct"/>
            <w:gridSpan w:val="2"/>
            <w:vAlign w:val="center"/>
          </w:tcPr>
          <w:p>
            <w:pPr>
              <w:spacing w:line="300" w:lineRule="exact"/>
              <w:ind w:firstLine="0" w:firstLineChars="0"/>
              <w:jc w:val="center"/>
              <w:rPr>
                <w:sz w:val="21"/>
                <w:szCs w:val="21"/>
                <w:highlight w:val="yellow"/>
              </w:rPr>
            </w:pPr>
            <w:r>
              <w:rPr>
                <w:rFonts w:hint="eastAsia"/>
                <w:sz w:val="21"/>
                <w:szCs w:val="21"/>
              </w:rPr>
              <w:t>136</w:t>
            </w:r>
          </w:p>
        </w:tc>
      </w:tr>
    </w:tbl>
    <w:p>
      <w:pPr>
        <w:ind w:firstLine="480"/>
        <w:rPr>
          <w:highlight w:val="yellow"/>
        </w:rPr>
      </w:pPr>
      <w:r>
        <w:t>本项目废气污染物占标率最大的污染源为无组织面源，其中污染物NH</w:t>
      </w:r>
      <w:r>
        <w:rPr>
          <w:vertAlign w:val="subscript"/>
        </w:rPr>
        <w:t>3</w:t>
      </w:r>
      <w:r>
        <w:t>最大占标率Pmax为</w:t>
      </w:r>
      <w:r>
        <w:rPr>
          <w:rFonts w:hint="eastAsia"/>
        </w:rPr>
        <w:t>0.97</w:t>
      </w:r>
      <w:r>
        <w:t>%，H</w:t>
      </w:r>
      <w:r>
        <w:rPr>
          <w:vertAlign w:val="subscript"/>
        </w:rPr>
        <w:t>2</w:t>
      </w:r>
      <w:r>
        <w:t>S最大占标率Pmax为</w:t>
      </w:r>
      <w:r>
        <w:rPr>
          <w:rFonts w:hint="eastAsia"/>
        </w:rPr>
        <w:t>1.59</w:t>
      </w:r>
      <w:r>
        <w:t>%，离源距离为</w:t>
      </w:r>
      <w:r>
        <w:rPr>
          <w:rFonts w:hint="eastAsia"/>
        </w:rPr>
        <w:t>136</w:t>
      </w:r>
      <w:r>
        <w:t>m，占标率＜10%。本项目大气评价等级为二级。</w:t>
      </w:r>
    </w:p>
    <w:p>
      <w:pPr>
        <w:ind w:firstLine="480"/>
      </w:pPr>
      <w:r>
        <w:rPr>
          <w:rFonts w:hint="eastAsia"/>
        </w:rPr>
        <w:t>估算模式已考虑了最不利的气象条件，分析预测结果表明，项目养殖区恶臭气体无组织排放对周围大气环境质量影响不大。</w:t>
      </w:r>
    </w:p>
    <w:p>
      <w:pPr>
        <w:spacing w:line="460" w:lineRule="exact"/>
        <w:ind w:firstLine="480"/>
      </w:pPr>
      <w:r>
        <w:rPr>
          <w:rFonts w:hint="eastAsia"/>
        </w:rPr>
        <w:t>③食堂油烟废气影响分析</w:t>
      </w:r>
    </w:p>
    <w:p>
      <w:pPr>
        <w:spacing w:line="460" w:lineRule="exact"/>
        <w:ind w:firstLine="480"/>
      </w:pPr>
      <w:r>
        <w:rPr>
          <w:rFonts w:hint="eastAsia"/>
        </w:rPr>
        <w:t>项目设置职工厨房，食物在烹饪、加工过程中将挥发出油脂、有机质及热分解或裂解产物，产生油烟废气。本项目厨房烹饪产生的油烟拟采取油烟净化器处理后排放，油烟净化器的净化效率不低</w:t>
      </w:r>
      <w:r>
        <w:t>于85%</w:t>
      </w:r>
      <w:r>
        <w:rPr>
          <w:rFonts w:hint="eastAsia"/>
        </w:rPr>
        <w:t>，经处理后，项目工程油烟的排放浓度为</w:t>
      </w:r>
      <w:r>
        <w:t>0.27mg/m</w:t>
      </w:r>
      <w:r>
        <w:rPr>
          <w:vertAlign w:val="superscript"/>
        </w:rPr>
        <w:t>3</w:t>
      </w:r>
      <w:r>
        <w:rPr>
          <w:rFonts w:hint="eastAsia"/>
        </w:rPr>
        <w:t>，满足相关的排放标准。由于本项目油烟产生量较小，且为不连续排放，经油烟净化器处理后对周围环境不会产生明显影响。</w:t>
      </w:r>
    </w:p>
    <w:p>
      <w:pPr>
        <w:spacing w:line="460" w:lineRule="exact"/>
        <w:ind w:firstLine="480"/>
      </w:pPr>
      <w:r>
        <w:rPr>
          <w:rFonts w:hint="eastAsia"/>
        </w:rPr>
        <w:t>④备用柴油发电机尾气</w:t>
      </w:r>
    </w:p>
    <w:p>
      <w:pPr>
        <w:spacing w:line="460" w:lineRule="exact"/>
        <w:ind w:firstLine="480"/>
      </w:pPr>
      <w:r>
        <w:rPr>
          <w:rFonts w:hint="eastAsia"/>
        </w:rPr>
        <w:t>项目设有一台备用柴油发电机，以备停电时供应生产用电。燃油发电机设置在柴油发电机房内。项目发电机使用时间不定，无法进行定量计算。环评要求项目使用</w:t>
      </w:r>
      <w:r>
        <w:t>0＃柴油，0＃柴</w:t>
      </w:r>
      <w:r>
        <w:rPr>
          <w:rFonts w:hint="eastAsia"/>
        </w:rPr>
        <w:t>油属清洁能源，其燃烧产生的废气污染物较少，发电机尾气引至屋顶排放，对周围环境的影响较小。</w:t>
      </w:r>
    </w:p>
    <w:p>
      <w:pPr>
        <w:ind w:firstLine="480"/>
      </w:pPr>
      <w:r>
        <w:rPr>
          <w:rFonts w:hint="eastAsia"/>
        </w:rPr>
        <w:t>（2）污染物排放量核算</w:t>
      </w:r>
    </w:p>
    <w:p>
      <w:pPr>
        <w:ind w:firstLine="480"/>
      </w:pPr>
      <w:r>
        <w:t>工程分析表明，本项目恶臭主要来自猪舍、发酵区的无组织废气，主要污染物包括有NH</w:t>
      </w:r>
      <w:r>
        <w:rPr>
          <w:vertAlign w:val="subscript"/>
        </w:rPr>
        <w:t>3</w:t>
      </w:r>
      <w:r>
        <w:t>和H</w:t>
      </w:r>
      <w:r>
        <w:rPr>
          <w:vertAlign w:val="subscript"/>
        </w:rPr>
        <w:t>2</w:t>
      </w:r>
      <w:r>
        <w:t>S。大气污染物排放量核算表见表</w:t>
      </w:r>
      <w:r>
        <w:rPr>
          <w:rFonts w:hint="eastAsia"/>
        </w:rPr>
        <w:t>4.2-6</w:t>
      </w:r>
      <w:r>
        <w:t>、表</w:t>
      </w:r>
      <w:r>
        <w:rPr>
          <w:rFonts w:hint="eastAsia"/>
        </w:rPr>
        <w:t>4.2-7</w:t>
      </w:r>
      <w:r>
        <w:t>。</w:t>
      </w:r>
    </w:p>
    <w:p>
      <w:pPr>
        <w:pStyle w:val="11"/>
      </w:pPr>
    </w:p>
    <w:p>
      <w:pPr>
        <w:pStyle w:val="11"/>
      </w:pPr>
      <w:r>
        <w:t xml:space="preserve">表4.2- </w:t>
      </w:r>
      <w:r>
        <w:fldChar w:fldCharType="begin"/>
      </w:r>
      <w:r>
        <w:instrText xml:space="preserve"> SEQ 表4.2- \* ARABIC </w:instrText>
      </w:r>
      <w:r>
        <w:fldChar w:fldCharType="separate"/>
      </w:r>
      <w:r>
        <w:t>5</w:t>
      </w:r>
      <w:r>
        <w:fldChar w:fldCharType="end"/>
      </w:r>
      <w:r>
        <w:rPr>
          <w:rFonts w:hint="eastAsia"/>
        </w:rPr>
        <w:t xml:space="preserve">    </w:t>
      </w:r>
      <w:r>
        <w:t xml:space="preserve"> 大气污染物无组织排放量核算表</w:t>
      </w:r>
    </w:p>
    <w:tbl>
      <w:tblPr>
        <w:tblStyle w:val="21"/>
        <w:tblW w:w="90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851"/>
        <w:gridCol w:w="959"/>
        <w:gridCol w:w="851"/>
        <w:gridCol w:w="2181"/>
        <w:gridCol w:w="1632"/>
        <w:gridCol w:w="1134"/>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vAlign w:val="center"/>
          </w:tcPr>
          <w:p>
            <w:pPr>
              <w:pStyle w:val="8"/>
              <w:ind w:firstLine="0" w:firstLineChars="0"/>
            </w:pPr>
            <w:r>
              <w:rPr>
                <w:rFonts w:hint="eastAsia"/>
              </w:rPr>
              <w:t>序号</w:t>
            </w:r>
          </w:p>
        </w:tc>
        <w:tc>
          <w:tcPr>
            <w:tcW w:w="851" w:type="dxa"/>
            <w:vAlign w:val="center"/>
          </w:tcPr>
          <w:p>
            <w:pPr>
              <w:pStyle w:val="8"/>
              <w:ind w:firstLine="0" w:firstLineChars="0"/>
            </w:pPr>
            <w:r>
              <w:rPr>
                <w:rFonts w:hint="eastAsia"/>
              </w:rPr>
              <w:t>排放口编号</w:t>
            </w:r>
          </w:p>
        </w:tc>
        <w:tc>
          <w:tcPr>
            <w:tcW w:w="959" w:type="dxa"/>
            <w:vAlign w:val="center"/>
          </w:tcPr>
          <w:p>
            <w:pPr>
              <w:pStyle w:val="8"/>
              <w:ind w:firstLine="0" w:firstLineChars="0"/>
            </w:pPr>
            <w:r>
              <w:rPr>
                <w:rFonts w:hint="eastAsia"/>
              </w:rPr>
              <w:t>污染源</w:t>
            </w:r>
          </w:p>
        </w:tc>
        <w:tc>
          <w:tcPr>
            <w:tcW w:w="851" w:type="dxa"/>
            <w:vAlign w:val="center"/>
          </w:tcPr>
          <w:p>
            <w:pPr>
              <w:pStyle w:val="8"/>
              <w:ind w:firstLine="0" w:firstLineChars="0"/>
            </w:pPr>
            <w:r>
              <w:rPr>
                <w:rFonts w:hint="eastAsia"/>
              </w:rPr>
              <w:t>污染物</w:t>
            </w:r>
          </w:p>
        </w:tc>
        <w:tc>
          <w:tcPr>
            <w:tcW w:w="2181" w:type="dxa"/>
            <w:vAlign w:val="center"/>
          </w:tcPr>
          <w:p>
            <w:pPr>
              <w:pStyle w:val="8"/>
              <w:ind w:firstLine="0" w:firstLineChars="0"/>
            </w:pPr>
            <w:r>
              <w:rPr>
                <w:rFonts w:hint="eastAsia"/>
              </w:rPr>
              <w:t>主要污染防治措施</w:t>
            </w:r>
          </w:p>
        </w:tc>
        <w:tc>
          <w:tcPr>
            <w:tcW w:w="1632" w:type="dxa"/>
            <w:vAlign w:val="center"/>
          </w:tcPr>
          <w:p>
            <w:pPr>
              <w:pStyle w:val="8"/>
              <w:ind w:firstLine="0" w:firstLineChars="0"/>
            </w:pPr>
            <w:r>
              <w:rPr>
                <w:rFonts w:hint="eastAsia"/>
              </w:rPr>
              <w:t>标准名称</w:t>
            </w:r>
          </w:p>
        </w:tc>
        <w:tc>
          <w:tcPr>
            <w:tcW w:w="1134" w:type="dxa"/>
            <w:vAlign w:val="center"/>
          </w:tcPr>
          <w:p>
            <w:pPr>
              <w:pStyle w:val="8"/>
              <w:ind w:firstLine="0" w:firstLineChars="0"/>
            </w:pPr>
            <w:r>
              <w:rPr>
                <w:rFonts w:hint="eastAsia"/>
              </w:rPr>
              <w:t>浓度限值</w:t>
            </w:r>
            <w:r>
              <w:t>(mg/m</w:t>
            </w:r>
            <w:r>
              <w:rPr>
                <w:vertAlign w:val="superscript"/>
              </w:rPr>
              <w:t>3</w:t>
            </w:r>
            <w:r>
              <w:t>)</w:t>
            </w:r>
          </w:p>
        </w:tc>
        <w:tc>
          <w:tcPr>
            <w:tcW w:w="992" w:type="dxa"/>
            <w:vAlign w:val="center"/>
          </w:tcPr>
          <w:p>
            <w:pPr>
              <w:pStyle w:val="8"/>
              <w:ind w:firstLine="0" w:firstLineChars="0"/>
            </w:pPr>
            <w:r>
              <w:rPr>
                <w:rFonts w:hint="eastAsia"/>
              </w:rPr>
              <w:t>年排放量</w:t>
            </w:r>
            <w:r>
              <w:t>(</w:t>
            </w:r>
            <w:r>
              <w:rPr>
                <w:rFonts w:hint="eastAsia"/>
              </w:rPr>
              <w:t>t/a</w:t>
            </w: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426" w:type="dxa"/>
            <w:vMerge w:val="restart"/>
            <w:vAlign w:val="center"/>
          </w:tcPr>
          <w:p>
            <w:pPr>
              <w:pStyle w:val="8"/>
              <w:ind w:firstLine="0" w:firstLineChars="0"/>
            </w:pPr>
            <w:r>
              <w:rPr>
                <w:rFonts w:hint="eastAsia"/>
              </w:rPr>
              <w:t>1</w:t>
            </w:r>
          </w:p>
        </w:tc>
        <w:tc>
          <w:tcPr>
            <w:tcW w:w="851" w:type="dxa"/>
            <w:vMerge w:val="restart"/>
            <w:vAlign w:val="center"/>
          </w:tcPr>
          <w:p>
            <w:pPr>
              <w:pStyle w:val="8"/>
              <w:ind w:firstLine="0" w:firstLineChars="0"/>
            </w:pPr>
            <w:r>
              <w:rPr>
                <w:rFonts w:hint="eastAsia"/>
              </w:rPr>
              <w:t>无组织</w:t>
            </w:r>
          </w:p>
        </w:tc>
        <w:tc>
          <w:tcPr>
            <w:tcW w:w="959" w:type="dxa"/>
            <w:vMerge w:val="restart"/>
            <w:vAlign w:val="center"/>
          </w:tcPr>
          <w:p>
            <w:pPr>
              <w:pStyle w:val="8"/>
              <w:ind w:firstLine="0" w:firstLineChars="0"/>
            </w:pPr>
            <w:r>
              <w:rPr>
                <w:rFonts w:hint="eastAsia"/>
              </w:rPr>
              <w:t>养殖区面源</w:t>
            </w:r>
          </w:p>
        </w:tc>
        <w:tc>
          <w:tcPr>
            <w:tcW w:w="851" w:type="dxa"/>
            <w:vAlign w:val="center"/>
          </w:tcPr>
          <w:p>
            <w:pPr>
              <w:pStyle w:val="8"/>
              <w:ind w:firstLine="0" w:firstLineChars="0"/>
            </w:pPr>
            <w:r>
              <w:rPr>
                <w:rFonts w:hint="eastAsia"/>
              </w:rPr>
              <w:t>NH</w:t>
            </w:r>
            <w:r>
              <w:rPr>
                <w:rFonts w:hint="eastAsia"/>
                <w:vertAlign w:val="subscript"/>
              </w:rPr>
              <w:t>3</w:t>
            </w:r>
          </w:p>
        </w:tc>
        <w:tc>
          <w:tcPr>
            <w:tcW w:w="2181" w:type="dxa"/>
            <w:vMerge w:val="restart"/>
            <w:vAlign w:val="center"/>
          </w:tcPr>
          <w:p>
            <w:pPr>
              <w:pStyle w:val="8"/>
              <w:ind w:firstLine="0" w:firstLineChars="0"/>
            </w:pPr>
            <w:r>
              <w:rPr>
                <w:rFonts w:hint="eastAsia"/>
              </w:rPr>
              <w:t>猪舍内消毒除臭剂除臭，猪舍外设水帘除臭</w:t>
            </w:r>
            <w:r>
              <w:t>网</w:t>
            </w:r>
          </w:p>
        </w:tc>
        <w:tc>
          <w:tcPr>
            <w:tcW w:w="1632" w:type="dxa"/>
            <w:vMerge w:val="restart"/>
            <w:vAlign w:val="center"/>
          </w:tcPr>
          <w:p>
            <w:pPr>
              <w:pStyle w:val="8"/>
              <w:ind w:firstLine="0" w:firstLineChars="0"/>
            </w:pPr>
            <w:r>
              <w:t>《恶臭污染物排放标准》（GB14554-93）</w:t>
            </w:r>
          </w:p>
        </w:tc>
        <w:tc>
          <w:tcPr>
            <w:tcW w:w="1134" w:type="dxa"/>
            <w:vAlign w:val="center"/>
          </w:tcPr>
          <w:p>
            <w:pPr>
              <w:pStyle w:val="8"/>
              <w:ind w:firstLine="0" w:firstLineChars="0"/>
            </w:pPr>
            <w:r>
              <w:rPr>
                <w:rFonts w:hint="eastAsia"/>
              </w:rPr>
              <w:t>1.5</w:t>
            </w:r>
          </w:p>
        </w:tc>
        <w:tc>
          <w:tcPr>
            <w:tcW w:w="992" w:type="dxa"/>
            <w:vAlign w:val="center"/>
          </w:tcPr>
          <w:p>
            <w:pPr>
              <w:pStyle w:val="8"/>
              <w:ind w:firstLine="0" w:firstLineChars="0"/>
              <w:rPr>
                <w:highlight w:val="yellow"/>
              </w:rPr>
            </w:pPr>
            <w:r>
              <w:rPr>
                <w:rFonts w:hint="eastAsia"/>
              </w:rPr>
              <w:t>0.2905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26" w:type="dxa"/>
            <w:vMerge w:val="continue"/>
            <w:vAlign w:val="center"/>
          </w:tcPr>
          <w:p>
            <w:pPr>
              <w:pStyle w:val="8"/>
              <w:ind w:firstLine="0" w:firstLineChars="0"/>
            </w:pPr>
          </w:p>
        </w:tc>
        <w:tc>
          <w:tcPr>
            <w:tcW w:w="851" w:type="dxa"/>
            <w:vMerge w:val="continue"/>
            <w:vAlign w:val="center"/>
          </w:tcPr>
          <w:p>
            <w:pPr>
              <w:pStyle w:val="8"/>
              <w:ind w:firstLine="0" w:firstLineChars="0"/>
            </w:pPr>
          </w:p>
        </w:tc>
        <w:tc>
          <w:tcPr>
            <w:tcW w:w="959" w:type="dxa"/>
            <w:vMerge w:val="continue"/>
            <w:vAlign w:val="center"/>
          </w:tcPr>
          <w:p>
            <w:pPr>
              <w:pStyle w:val="8"/>
              <w:ind w:firstLine="0" w:firstLineChars="0"/>
            </w:pPr>
          </w:p>
        </w:tc>
        <w:tc>
          <w:tcPr>
            <w:tcW w:w="851" w:type="dxa"/>
            <w:vAlign w:val="center"/>
          </w:tcPr>
          <w:p>
            <w:pPr>
              <w:pStyle w:val="8"/>
              <w:ind w:firstLine="0" w:firstLineChars="0"/>
            </w:pPr>
            <w:r>
              <w:rPr>
                <w:rFonts w:hint="eastAsia"/>
              </w:rPr>
              <w:t>H</w:t>
            </w:r>
            <w:r>
              <w:rPr>
                <w:rFonts w:hint="eastAsia"/>
                <w:vertAlign w:val="subscript"/>
              </w:rPr>
              <w:t>2</w:t>
            </w:r>
            <w:r>
              <w:rPr>
                <w:rFonts w:hint="eastAsia"/>
              </w:rPr>
              <w:t>S</w:t>
            </w:r>
          </w:p>
        </w:tc>
        <w:tc>
          <w:tcPr>
            <w:tcW w:w="2181" w:type="dxa"/>
            <w:vMerge w:val="continue"/>
            <w:vAlign w:val="center"/>
          </w:tcPr>
          <w:p>
            <w:pPr>
              <w:pStyle w:val="8"/>
              <w:ind w:firstLine="0" w:firstLineChars="0"/>
            </w:pPr>
          </w:p>
        </w:tc>
        <w:tc>
          <w:tcPr>
            <w:tcW w:w="1632" w:type="dxa"/>
            <w:vMerge w:val="continue"/>
            <w:vAlign w:val="center"/>
          </w:tcPr>
          <w:p>
            <w:pPr>
              <w:pStyle w:val="8"/>
              <w:ind w:firstLine="0" w:firstLineChars="0"/>
            </w:pPr>
          </w:p>
        </w:tc>
        <w:tc>
          <w:tcPr>
            <w:tcW w:w="1134" w:type="dxa"/>
            <w:vAlign w:val="center"/>
          </w:tcPr>
          <w:p>
            <w:pPr>
              <w:pStyle w:val="8"/>
              <w:ind w:firstLine="0" w:firstLineChars="0"/>
            </w:pPr>
            <w:r>
              <w:rPr>
                <w:rFonts w:hint="eastAsia"/>
              </w:rPr>
              <w:t>0.06</w:t>
            </w:r>
          </w:p>
        </w:tc>
        <w:tc>
          <w:tcPr>
            <w:tcW w:w="992" w:type="dxa"/>
            <w:vAlign w:val="center"/>
          </w:tcPr>
          <w:p>
            <w:pPr>
              <w:pStyle w:val="8"/>
              <w:ind w:firstLine="0" w:firstLineChars="0"/>
              <w:rPr>
                <w:highlight w:val="yellow"/>
              </w:rPr>
            </w:pPr>
            <w:r>
              <w:rPr>
                <w:rFonts w:hint="eastAsia"/>
              </w:rPr>
              <w:t>0.0236</w:t>
            </w:r>
          </w:p>
        </w:tc>
      </w:tr>
      <w:bookmarkEnd w:id="406"/>
    </w:tbl>
    <w:p>
      <w:pPr>
        <w:ind w:firstLine="480"/>
      </w:pPr>
      <w:r>
        <w:rPr>
          <w:rFonts w:hint="eastAsia"/>
        </w:rPr>
        <w:t>（3）大气环境防护距离设定</w:t>
      </w:r>
    </w:p>
    <w:p>
      <w:pPr>
        <w:ind w:firstLine="480"/>
      </w:pPr>
      <w:r>
        <w:rPr>
          <w:rFonts w:hint="eastAsia"/>
        </w:rPr>
        <w:t>按照《环境影响评价技术导则大气环境》（</w:t>
      </w:r>
      <w:r>
        <w:t>HJ2.2-2008</w:t>
      </w:r>
      <w:r>
        <w:rPr>
          <w:rFonts w:hint="eastAsia"/>
        </w:rPr>
        <w:t>）推荐模式中的大气环境防护距离模式计算无组织排放源的大气环境防护距离。计算出的距离是以污染源中心点为起点的控制距离，并结合场区平面布置图，确定控制距离范围，超出场界外的控制范围，即为项目大气环境防护区域。本项目为二级评价，厂界外无超标点，因此无需大气防护距离。</w:t>
      </w:r>
    </w:p>
    <w:p>
      <w:pPr>
        <w:ind w:firstLine="480"/>
      </w:pPr>
      <w:r>
        <w:rPr>
          <w:rFonts w:hint="eastAsia"/>
        </w:rPr>
        <w:t>（4）卫生防护距离</w:t>
      </w:r>
    </w:p>
    <w:p>
      <w:pPr>
        <w:ind w:firstLine="480"/>
      </w:pPr>
      <w:r>
        <w:t>本评价采用《环境影响评价技术导则-大气环境》(HJ2.2-2008)中推荐模式中的卫生防护距离模式计算NH</w:t>
      </w:r>
      <w:r>
        <w:rPr>
          <w:vertAlign w:val="subscript"/>
        </w:rPr>
        <w:t>3</w:t>
      </w:r>
      <w:r>
        <w:t>、H</w:t>
      </w:r>
      <w:r>
        <w:rPr>
          <w:vertAlign w:val="subscript"/>
        </w:rPr>
        <w:t>2</w:t>
      </w:r>
      <w:r>
        <w:t>S的卫生防护距离。计算结果见下图。各计算参数及计算结果见</w:t>
      </w:r>
      <w:r>
        <w:rPr>
          <w:rFonts w:hint="eastAsia"/>
        </w:rPr>
        <w:t>图4.2-1</w:t>
      </w:r>
      <w:r>
        <w:t>。</w:t>
      </w:r>
    </w:p>
    <w:p>
      <w:pPr>
        <w:widowControl/>
        <w:ind w:firstLine="0" w:firstLineChars="0"/>
        <w:jc w:val="left"/>
      </w:pPr>
      <w:r>
        <w:drawing>
          <wp:inline distT="0" distB="0" distL="0" distR="0">
            <wp:extent cx="5238750" cy="3564255"/>
            <wp:effectExtent l="0" t="0" r="0" b="0"/>
            <wp:docPr id="354" name="图片 354" descr="C:\Users\86153\Desktop\360截图1814122459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C:\Users\86153\Desktop\360截图1814122459519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38750" cy="3564551"/>
                    </a:xfrm>
                    <a:prstGeom prst="rect">
                      <a:avLst/>
                    </a:prstGeom>
                    <a:noFill/>
                    <a:ln>
                      <a:noFill/>
                    </a:ln>
                  </pic:spPr>
                </pic:pic>
              </a:graphicData>
            </a:graphic>
          </wp:inline>
        </w:drawing>
      </w:r>
    </w:p>
    <w:p>
      <w:pPr>
        <w:pStyle w:val="11"/>
      </w:pPr>
      <w:r>
        <w:rPr>
          <w:rFonts w:hint="eastAsia"/>
        </w:rPr>
        <w:t>图4.2-1  无组织面源卫生防护距离计算结果</w:t>
      </w:r>
    </w:p>
    <w:p>
      <w:pPr>
        <w:ind w:firstLine="480"/>
      </w:pPr>
      <w:r>
        <w:rPr>
          <w:rFonts w:hint="eastAsia"/>
        </w:rPr>
        <w:t>根据级差的规定：“卫生防护距离在</w:t>
      </w:r>
      <w:r>
        <w:t xml:space="preserve">100m </w:t>
      </w:r>
      <w:r>
        <w:rPr>
          <w:rFonts w:hint="eastAsia"/>
        </w:rPr>
        <w:t>以内时，级差为</w:t>
      </w:r>
      <w:r>
        <w:t>50m</w:t>
      </w:r>
      <w:r>
        <w:rPr>
          <w:rFonts w:hint="eastAsia"/>
        </w:rPr>
        <w:t>；超过</w:t>
      </w:r>
      <w:r>
        <w:t>100m</w:t>
      </w:r>
      <w:r>
        <w:rPr>
          <w:rFonts w:hint="eastAsia"/>
        </w:rPr>
        <w:t>，但小于</w:t>
      </w:r>
      <w:r>
        <w:t xml:space="preserve">1000m </w:t>
      </w:r>
      <w:r>
        <w:rPr>
          <w:rFonts w:hint="eastAsia"/>
        </w:rPr>
        <w:t>时，级差为</w:t>
      </w:r>
      <w:r>
        <w:t>100m</w:t>
      </w:r>
      <w:r>
        <w:rPr>
          <w:rFonts w:hint="eastAsia"/>
        </w:rPr>
        <w:t>；超过</w:t>
      </w:r>
      <w:r>
        <w:t xml:space="preserve">1000m </w:t>
      </w:r>
      <w:r>
        <w:rPr>
          <w:rFonts w:hint="eastAsia"/>
        </w:rPr>
        <w:t>以上时，级差为</w:t>
      </w:r>
      <w:r>
        <w:t>200m”</w:t>
      </w:r>
      <w:r>
        <w:rPr>
          <w:rFonts w:hint="eastAsia"/>
        </w:rPr>
        <w:t>、</w:t>
      </w:r>
      <w:r>
        <w:t>“</w:t>
      </w:r>
      <w:r>
        <w:rPr>
          <w:rFonts w:hint="eastAsia"/>
        </w:rPr>
        <w:t>当按两种或两种以上有害气体的卫生防护距离在同一级别时，该类工业企业的卫生防护距离提高一级”。因此，计算得出本项目的卫生防护距离均为</w:t>
      </w:r>
      <w:r>
        <w:t>100m</w:t>
      </w:r>
      <w:r>
        <w:rPr>
          <w:rFonts w:hint="eastAsia"/>
        </w:rPr>
        <w:t>。</w:t>
      </w:r>
    </w:p>
    <w:p>
      <w:pPr>
        <w:ind w:firstLine="480"/>
      </w:pPr>
      <w:r>
        <w:rPr>
          <w:rFonts w:hint="eastAsia"/>
        </w:rPr>
        <w:t>参考同类型项目，为有效避免本项目在运营过程中对周边环境敏感目标造成影响，本环评建议本项目养殖场最终设置2</w:t>
      </w:r>
      <w:r>
        <w:t>00m</w:t>
      </w:r>
      <w:r>
        <w:rPr>
          <w:rFonts w:hint="eastAsia"/>
        </w:rPr>
        <w:t>的卫生防护距离</w:t>
      </w:r>
      <w:r>
        <w:t xml:space="preserve"> (</w:t>
      </w:r>
      <w:r>
        <w:rPr>
          <w:rFonts w:hint="eastAsia"/>
        </w:rPr>
        <w:t>详见附图</w:t>
      </w:r>
      <w:r>
        <w:t>)</w:t>
      </w:r>
      <w:r>
        <w:rPr>
          <w:rFonts w:hint="eastAsia"/>
        </w:rPr>
        <w:t>。</w:t>
      </w:r>
    </w:p>
    <w:p>
      <w:pPr>
        <w:ind w:firstLine="480"/>
      </w:pPr>
      <w:r>
        <w:rPr>
          <w:rFonts w:hint="eastAsia"/>
        </w:rPr>
        <w:t>根据对现场的调查，本项目的防护距离范围内暂有居民居住（共9户），建设单位拟将全部居民房屋租赁作为项目的办公室及员工宿舍。今后，在大气环境防护区域范围内将禁止新建居民等环境敏感目标。</w:t>
      </w:r>
    </w:p>
    <w:bookmarkEnd w:id="188"/>
    <w:p>
      <w:pPr>
        <w:pStyle w:val="5"/>
        <w:spacing w:before="62" w:after="62"/>
      </w:pPr>
      <w:bookmarkStart w:id="407" w:name="_Toc468689202"/>
      <w:r>
        <w:rPr>
          <w:rFonts w:hint="eastAsia"/>
        </w:rPr>
        <w:t>4.2.4</w:t>
      </w:r>
      <w:r>
        <w:t>声环境影响</w:t>
      </w:r>
      <w:bookmarkEnd w:id="407"/>
      <w:r>
        <w:t>分析</w:t>
      </w:r>
    </w:p>
    <w:p>
      <w:pPr>
        <w:tabs>
          <w:tab w:val="left" w:pos="1021"/>
          <w:tab w:val="left" w:pos="1320"/>
        </w:tabs>
        <w:ind w:firstLine="480"/>
        <w:rPr>
          <w:kern w:val="0"/>
        </w:rPr>
      </w:pPr>
      <w:r>
        <w:rPr>
          <w:rFonts w:hint="eastAsia"/>
          <w:kern w:val="0"/>
        </w:rPr>
        <w:t>（1）预测模式</w:t>
      </w:r>
    </w:p>
    <w:p>
      <w:pPr>
        <w:tabs>
          <w:tab w:val="left" w:pos="1021"/>
          <w:tab w:val="left" w:pos="1320"/>
        </w:tabs>
        <w:ind w:firstLine="480"/>
        <w:rPr>
          <w:kern w:val="0"/>
          <w:highlight w:val="yellow"/>
        </w:rPr>
      </w:pPr>
      <w:r>
        <w:rPr>
          <w:kern w:val="0"/>
        </w:rPr>
        <w:t>根据《环境影响评价技术导则-声环境》（HJ2.4-2009）中的有关规定，本次评价根据声源的分布及噪声传播规律，根据工程噪声源的初步分析，拟建工程噪声源主要为室内噪声源，本评价将预测各声源对保护目标的影响，并对预测结果进行叠加，叠加时主要考虑噪声设备的噪声值</w:t>
      </w:r>
      <w:r>
        <w:rPr>
          <w:rFonts w:hint="eastAsia"/>
          <w:kern w:val="0"/>
        </w:rPr>
        <w:t>叠</w:t>
      </w:r>
      <w:r>
        <w:rPr>
          <w:kern w:val="0"/>
        </w:rPr>
        <w:t>加、距离衰减等因素。</w:t>
      </w:r>
    </w:p>
    <w:p>
      <w:pPr>
        <w:tabs>
          <w:tab w:val="left" w:pos="1021"/>
          <w:tab w:val="left" w:pos="1320"/>
        </w:tabs>
        <w:ind w:firstLine="480"/>
        <w:rPr>
          <w:kern w:val="0"/>
        </w:rPr>
      </w:pPr>
      <w:r>
        <w:rPr>
          <w:rFonts w:hint="eastAsia"/>
          <w:kern w:val="0"/>
        </w:rPr>
        <w:t>根据养殖场噪声分布特点宜</w:t>
      </w:r>
      <w:r>
        <w:rPr>
          <w:kern w:val="0"/>
        </w:rPr>
        <w:t>采用整体声源模型进行预测。其基本思路是：将各个车间看作一个声源，预先求得该整体声源的声功率级，然后计算该整体声源辐射的声能在向受声点传播过程中由各种因素引起的衰减，最后求得预测受声点的噪声级。</w:t>
      </w:r>
    </w:p>
    <w:p>
      <w:pPr>
        <w:tabs>
          <w:tab w:val="left" w:pos="1021"/>
          <w:tab w:val="left" w:pos="1320"/>
        </w:tabs>
        <w:ind w:firstLine="480"/>
        <w:rPr>
          <w:kern w:val="0"/>
        </w:rPr>
      </w:pPr>
      <w:r>
        <w:rPr>
          <w:kern w:val="0"/>
        </w:rPr>
        <w:t>受声点的预测声级按下式计算：Lp = Lw – ΣAi</w:t>
      </w:r>
    </w:p>
    <w:p>
      <w:pPr>
        <w:tabs>
          <w:tab w:val="left" w:pos="1021"/>
          <w:tab w:val="left" w:pos="1320"/>
        </w:tabs>
        <w:ind w:firstLine="480"/>
        <w:rPr>
          <w:kern w:val="0"/>
        </w:rPr>
      </w:pPr>
      <w:r>
        <w:rPr>
          <w:kern w:val="0"/>
        </w:rPr>
        <w:t>式中：Lp为受声点的预测声压级；</w:t>
      </w:r>
    </w:p>
    <w:p>
      <w:pPr>
        <w:tabs>
          <w:tab w:val="left" w:pos="1021"/>
          <w:tab w:val="left" w:pos="1320"/>
        </w:tabs>
        <w:ind w:firstLine="480"/>
        <w:rPr>
          <w:kern w:val="0"/>
        </w:rPr>
      </w:pPr>
      <w:r>
        <w:rPr>
          <w:kern w:val="0"/>
        </w:rPr>
        <w:t>Lw为整体声源的声功率级；ΣAi为声源传播途径上各种因素引起声能源的总衰减量；Ai为第i 种因素造成的衰减量。</w:t>
      </w:r>
    </w:p>
    <w:p>
      <w:pPr>
        <w:tabs>
          <w:tab w:val="left" w:pos="1021"/>
          <w:tab w:val="left" w:pos="1320"/>
        </w:tabs>
        <w:ind w:firstLine="480"/>
        <w:rPr>
          <w:kern w:val="0"/>
        </w:rPr>
      </w:pPr>
      <w:r>
        <w:rPr>
          <w:kern w:val="0"/>
        </w:rPr>
        <w:t>（1）体声源声功率级的计算公式</w:t>
      </w:r>
    </w:p>
    <w:p>
      <w:pPr>
        <w:tabs>
          <w:tab w:val="left" w:pos="1021"/>
          <w:tab w:val="left" w:pos="1320"/>
        </w:tabs>
        <w:ind w:firstLine="480"/>
        <w:rPr>
          <w:kern w:val="0"/>
        </w:rPr>
      </w:pPr>
      <w:r>
        <w:rPr>
          <w:kern w:val="0"/>
        </w:rPr>
        <w:t>Lw=Lpi+10lg（2S）</w:t>
      </w:r>
    </w:p>
    <w:p>
      <w:pPr>
        <w:tabs>
          <w:tab w:val="left" w:pos="1021"/>
          <w:tab w:val="left" w:pos="1320"/>
        </w:tabs>
        <w:ind w:firstLine="480"/>
        <w:rPr>
          <w:kern w:val="0"/>
        </w:rPr>
      </w:pPr>
      <w:r>
        <w:rPr>
          <w:kern w:val="0"/>
        </w:rPr>
        <w:t>式中：Lpi为整体声源周围测量线上的声级平均值，dB；</w:t>
      </w:r>
    </w:p>
    <w:p>
      <w:pPr>
        <w:tabs>
          <w:tab w:val="left" w:pos="1021"/>
          <w:tab w:val="left" w:pos="1320"/>
        </w:tabs>
        <w:ind w:firstLine="480"/>
        <w:rPr>
          <w:kern w:val="0"/>
        </w:rPr>
      </w:pPr>
      <w:r>
        <w:rPr>
          <w:kern w:val="0"/>
        </w:rPr>
        <w:t>（2）ΣAi的计算方法。</w:t>
      </w:r>
    </w:p>
    <w:p>
      <w:pPr>
        <w:tabs>
          <w:tab w:val="left" w:pos="1021"/>
          <w:tab w:val="left" w:pos="1320"/>
        </w:tabs>
        <w:ind w:firstLine="480"/>
        <w:rPr>
          <w:kern w:val="0"/>
        </w:rPr>
      </w:pPr>
      <w:r>
        <w:rPr>
          <w:kern w:val="0"/>
        </w:rPr>
        <w:t>A．距离衰减Ad</w:t>
      </w:r>
    </w:p>
    <w:p>
      <w:pPr>
        <w:tabs>
          <w:tab w:val="left" w:pos="1021"/>
          <w:tab w:val="left" w:pos="1320"/>
        </w:tabs>
        <w:ind w:firstLine="480"/>
        <w:rPr>
          <w:kern w:val="0"/>
        </w:rPr>
      </w:pPr>
      <w:r>
        <w:rPr>
          <w:kern w:val="0"/>
        </w:rPr>
        <w:t>Ad=10lg（2лr</w:t>
      </w:r>
      <w:r>
        <w:rPr>
          <w:kern w:val="0"/>
          <w:vertAlign w:val="superscript"/>
        </w:rPr>
        <w:t>2</w:t>
      </w:r>
      <w:r>
        <w:rPr>
          <w:kern w:val="0"/>
        </w:rPr>
        <w:t>），其中r为受声点到整体声源中心的距离。</w:t>
      </w:r>
    </w:p>
    <w:p>
      <w:pPr>
        <w:tabs>
          <w:tab w:val="left" w:pos="1021"/>
          <w:tab w:val="left" w:pos="1320"/>
        </w:tabs>
        <w:ind w:firstLine="480"/>
        <w:rPr>
          <w:kern w:val="0"/>
        </w:rPr>
      </w:pPr>
      <w:r>
        <w:rPr>
          <w:kern w:val="0"/>
        </w:rPr>
        <w:t>B．屏障衰减Ab</w:t>
      </w:r>
    </w:p>
    <w:p>
      <w:pPr>
        <w:tabs>
          <w:tab w:val="left" w:pos="1021"/>
          <w:tab w:val="left" w:pos="1320"/>
        </w:tabs>
        <w:ind w:firstLine="480"/>
        <w:rPr>
          <w:kern w:val="0"/>
        </w:rPr>
      </w:pPr>
      <w:r>
        <w:rPr>
          <w:kern w:val="0"/>
        </w:rPr>
        <w:t>车间墙体隔声取20dB，建筑物阻隔衰减隔声量按10dB计算。</w:t>
      </w:r>
    </w:p>
    <w:p>
      <w:pPr>
        <w:tabs>
          <w:tab w:val="left" w:pos="1021"/>
          <w:tab w:val="left" w:pos="1320"/>
        </w:tabs>
        <w:ind w:firstLine="480"/>
        <w:rPr>
          <w:kern w:val="0"/>
        </w:rPr>
      </w:pPr>
      <w:r>
        <w:rPr>
          <w:kern w:val="0"/>
        </w:rPr>
        <w:t>C．空气系数衰减Aa</w:t>
      </w:r>
    </w:p>
    <w:p>
      <w:pPr>
        <w:tabs>
          <w:tab w:val="left" w:pos="1021"/>
          <w:tab w:val="left" w:pos="1320"/>
        </w:tabs>
        <w:ind w:firstLine="480"/>
        <w:rPr>
          <w:kern w:val="0"/>
        </w:rPr>
      </w:pPr>
      <w:r>
        <w:rPr>
          <w:kern w:val="0"/>
        </w:rPr>
        <w:t>Aa=10lg（1+1.5×10-3r）</w:t>
      </w:r>
    </w:p>
    <w:p>
      <w:pPr>
        <w:tabs>
          <w:tab w:val="left" w:pos="1021"/>
          <w:tab w:val="left" w:pos="1320"/>
        </w:tabs>
        <w:ind w:firstLine="480"/>
        <w:rPr>
          <w:kern w:val="0"/>
        </w:rPr>
      </w:pPr>
      <w:r>
        <w:rPr>
          <w:kern w:val="0"/>
        </w:rPr>
        <w:t>总的衰减量: ΣAi=Ad+Ab+Aa</w:t>
      </w:r>
    </w:p>
    <w:p>
      <w:pPr>
        <w:ind w:firstLine="480"/>
      </w:pPr>
      <w:r>
        <w:rPr>
          <w:rFonts w:hint="eastAsia"/>
        </w:rPr>
        <w:t>（2）</w:t>
      </w:r>
      <w:r>
        <w:t>预测结果</w:t>
      </w:r>
    </w:p>
    <w:p>
      <w:pPr>
        <w:tabs>
          <w:tab w:val="left" w:pos="1021"/>
          <w:tab w:val="left" w:pos="1320"/>
        </w:tabs>
        <w:ind w:firstLine="480"/>
      </w:pPr>
      <w:r>
        <w:t>本项目整体噪声源强约</w:t>
      </w:r>
      <w:r>
        <w:rPr>
          <w:rFonts w:hint="eastAsia"/>
        </w:rPr>
        <w:t>60~65</w:t>
      </w:r>
      <w:r>
        <w:t>dB(A)左右，本评价取</w:t>
      </w:r>
      <w:r>
        <w:rPr>
          <w:rFonts w:hint="eastAsia"/>
        </w:rPr>
        <w:t>62</w:t>
      </w:r>
      <w:r>
        <w:t>dB(A)。本项目声源基本参数见表</w:t>
      </w:r>
      <w:r>
        <w:rPr>
          <w:rFonts w:hint="eastAsia"/>
        </w:rPr>
        <w:t>4.2</w:t>
      </w:r>
      <w:r>
        <w:t>-</w:t>
      </w:r>
      <w:r>
        <w:rPr>
          <w:rFonts w:hint="eastAsia"/>
        </w:rPr>
        <w:t>8</w:t>
      </w:r>
      <w:r>
        <w:t>。</w:t>
      </w:r>
    </w:p>
    <w:p>
      <w:pPr>
        <w:pStyle w:val="11"/>
      </w:pPr>
      <w:r>
        <w:t xml:space="preserve">表4.2- </w:t>
      </w:r>
      <w:r>
        <w:fldChar w:fldCharType="begin"/>
      </w:r>
      <w:r>
        <w:instrText xml:space="preserve"> SEQ 表4.2- \* ARABIC </w:instrText>
      </w:r>
      <w:r>
        <w:fldChar w:fldCharType="separate"/>
      </w:r>
      <w:r>
        <w:t>6</w:t>
      </w:r>
      <w:r>
        <w:fldChar w:fldCharType="end"/>
      </w:r>
      <w:r>
        <w:rPr>
          <w:rFonts w:hint="eastAsia"/>
        </w:rPr>
        <w:t xml:space="preserve">  </w:t>
      </w:r>
      <w:r>
        <w:t>声源基本参数</w:t>
      </w:r>
    </w:p>
    <w:tbl>
      <w:tblPr>
        <w:tblStyle w:val="21"/>
        <w:tblW w:w="84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
        <w:gridCol w:w="1067"/>
        <w:gridCol w:w="1080"/>
        <w:gridCol w:w="1523"/>
        <w:gridCol w:w="954"/>
        <w:gridCol w:w="1011"/>
        <w:gridCol w:w="944"/>
        <w:gridCol w:w="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 w:hRule="atLeast"/>
          <w:jc w:val="center"/>
        </w:trPr>
        <w:tc>
          <w:tcPr>
            <w:tcW w:w="946" w:type="dxa"/>
            <w:vAlign w:val="center"/>
          </w:tcPr>
          <w:p>
            <w:pPr>
              <w:pStyle w:val="8"/>
              <w:ind w:firstLine="0" w:firstLineChars="0"/>
            </w:pPr>
            <w:r>
              <w:t>噪声源</w:t>
            </w:r>
          </w:p>
        </w:tc>
        <w:tc>
          <w:tcPr>
            <w:tcW w:w="1067" w:type="dxa"/>
            <w:vAlign w:val="center"/>
          </w:tcPr>
          <w:p>
            <w:pPr>
              <w:pStyle w:val="8"/>
              <w:ind w:firstLine="0" w:firstLineChars="0"/>
            </w:pPr>
            <w:r>
              <w:t>平均噪声级(dB(A))</w:t>
            </w:r>
          </w:p>
        </w:tc>
        <w:tc>
          <w:tcPr>
            <w:tcW w:w="1080" w:type="dxa"/>
            <w:vAlign w:val="center"/>
          </w:tcPr>
          <w:p>
            <w:pPr>
              <w:pStyle w:val="8"/>
              <w:ind w:firstLine="0" w:firstLineChars="0"/>
            </w:pPr>
            <w:r>
              <w:t>有效面积(m</w:t>
            </w:r>
            <w:r>
              <w:rPr>
                <w:vertAlign w:val="superscript"/>
              </w:rPr>
              <w:t>2</w:t>
            </w:r>
            <w:r>
              <w:t>)</w:t>
            </w:r>
          </w:p>
        </w:tc>
        <w:tc>
          <w:tcPr>
            <w:tcW w:w="1523" w:type="dxa"/>
            <w:vAlign w:val="center"/>
          </w:tcPr>
          <w:p>
            <w:pPr>
              <w:pStyle w:val="8"/>
              <w:ind w:firstLine="0" w:firstLineChars="0"/>
            </w:pPr>
            <w:r>
              <w:t>与预测点距离（m）</w:t>
            </w:r>
          </w:p>
        </w:tc>
        <w:tc>
          <w:tcPr>
            <w:tcW w:w="954" w:type="dxa"/>
            <w:vAlign w:val="center"/>
          </w:tcPr>
          <w:p>
            <w:pPr>
              <w:pStyle w:val="8"/>
              <w:ind w:firstLine="0" w:firstLineChars="0"/>
            </w:pPr>
            <w:r>
              <w:t>东厂界</w:t>
            </w:r>
          </w:p>
        </w:tc>
        <w:tc>
          <w:tcPr>
            <w:tcW w:w="1011" w:type="dxa"/>
            <w:vAlign w:val="center"/>
          </w:tcPr>
          <w:p>
            <w:pPr>
              <w:pStyle w:val="8"/>
              <w:ind w:firstLine="0" w:firstLineChars="0"/>
            </w:pPr>
            <w:r>
              <w:t>南厂界</w:t>
            </w:r>
          </w:p>
        </w:tc>
        <w:tc>
          <w:tcPr>
            <w:tcW w:w="944" w:type="dxa"/>
            <w:vAlign w:val="center"/>
          </w:tcPr>
          <w:p>
            <w:pPr>
              <w:pStyle w:val="8"/>
              <w:ind w:firstLine="0" w:firstLineChars="0"/>
            </w:pPr>
            <w:r>
              <w:t>西厂界</w:t>
            </w:r>
          </w:p>
        </w:tc>
        <w:tc>
          <w:tcPr>
            <w:tcW w:w="885" w:type="dxa"/>
            <w:vAlign w:val="center"/>
          </w:tcPr>
          <w:p>
            <w:pPr>
              <w:pStyle w:val="8"/>
              <w:ind w:firstLine="0" w:firstLineChars="0"/>
            </w:pPr>
            <w: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946" w:type="dxa"/>
            <w:vAlign w:val="center"/>
          </w:tcPr>
          <w:p>
            <w:pPr>
              <w:pStyle w:val="8"/>
              <w:ind w:firstLine="0" w:firstLineChars="0"/>
            </w:pPr>
            <w:r>
              <w:rPr>
                <w:rFonts w:hint="eastAsia"/>
              </w:rPr>
              <w:t>养殖区</w:t>
            </w:r>
          </w:p>
        </w:tc>
        <w:tc>
          <w:tcPr>
            <w:tcW w:w="1067" w:type="dxa"/>
            <w:vAlign w:val="center"/>
          </w:tcPr>
          <w:p>
            <w:pPr>
              <w:pStyle w:val="8"/>
              <w:ind w:firstLine="0" w:firstLineChars="0"/>
            </w:pPr>
            <w:r>
              <w:rPr>
                <w:rFonts w:hint="eastAsia"/>
              </w:rPr>
              <w:t>62</w:t>
            </w:r>
          </w:p>
        </w:tc>
        <w:tc>
          <w:tcPr>
            <w:tcW w:w="1080" w:type="dxa"/>
            <w:vAlign w:val="center"/>
          </w:tcPr>
          <w:p>
            <w:pPr>
              <w:pStyle w:val="8"/>
              <w:ind w:firstLine="0" w:firstLineChars="0"/>
            </w:pPr>
            <w:r>
              <w:rPr>
                <w:rFonts w:hint="eastAsia"/>
              </w:rPr>
              <w:t>6354</w:t>
            </w:r>
          </w:p>
        </w:tc>
        <w:tc>
          <w:tcPr>
            <w:tcW w:w="1523" w:type="dxa"/>
            <w:vAlign w:val="center"/>
          </w:tcPr>
          <w:p>
            <w:pPr>
              <w:pStyle w:val="8"/>
              <w:ind w:firstLine="0" w:firstLineChars="0"/>
            </w:pPr>
            <w:r>
              <w:t>折算成点声源</w:t>
            </w:r>
          </w:p>
        </w:tc>
        <w:tc>
          <w:tcPr>
            <w:tcW w:w="954" w:type="dxa"/>
            <w:vAlign w:val="center"/>
          </w:tcPr>
          <w:p>
            <w:pPr>
              <w:pStyle w:val="8"/>
              <w:ind w:firstLine="0" w:firstLineChars="0"/>
            </w:pPr>
            <w:r>
              <w:rPr>
                <w:rFonts w:hint="eastAsia"/>
              </w:rPr>
              <w:t>20</w:t>
            </w:r>
          </w:p>
        </w:tc>
        <w:tc>
          <w:tcPr>
            <w:tcW w:w="1011" w:type="dxa"/>
            <w:vAlign w:val="center"/>
          </w:tcPr>
          <w:p>
            <w:pPr>
              <w:pStyle w:val="8"/>
              <w:ind w:firstLine="0" w:firstLineChars="0"/>
            </w:pPr>
            <w:r>
              <w:rPr>
                <w:rFonts w:hint="eastAsia"/>
              </w:rPr>
              <w:t>20</w:t>
            </w:r>
          </w:p>
        </w:tc>
        <w:tc>
          <w:tcPr>
            <w:tcW w:w="944" w:type="dxa"/>
            <w:vAlign w:val="center"/>
          </w:tcPr>
          <w:p>
            <w:pPr>
              <w:pStyle w:val="8"/>
              <w:ind w:firstLine="0" w:firstLineChars="0"/>
            </w:pPr>
            <w:r>
              <w:rPr>
                <w:rFonts w:hint="eastAsia"/>
              </w:rPr>
              <w:t>15</w:t>
            </w:r>
          </w:p>
        </w:tc>
        <w:tc>
          <w:tcPr>
            <w:tcW w:w="885" w:type="dxa"/>
            <w:vAlign w:val="center"/>
          </w:tcPr>
          <w:p>
            <w:pPr>
              <w:pStyle w:val="8"/>
              <w:ind w:firstLine="0" w:firstLineChars="0"/>
            </w:pPr>
            <w:r>
              <w:rPr>
                <w:rFonts w:hint="eastAsia"/>
              </w:rPr>
              <w:t>15</w:t>
            </w:r>
          </w:p>
        </w:tc>
      </w:tr>
    </w:tbl>
    <w:p>
      <w:pPr>
        <w:adjustRightInd w:val="0"/>
        <w:snapToGrid w:val="0"/>
        <w:spacing w:before="156" w:beforeLines="50"/>
        <w:ind w:firstLine="480"/>
      </w:pPr>
      <w:r>
        <w:t>整体声源的声功率级计算公式：</w:t>
      </w:r>
    </w:p>
    <w:p>
      <w:pPr>
        <w:adjustRightInd w:val="0"/>
        <w:snapToGrid w:val="0"/>
        <w:ind w:firstLine="480"/>
        <w:jc w:val="center"/>
      </w:pPr>
      <w:r>
        <w:t>Lw</w:t>
      </w:r>
      <w:r>
        <w:rPr>
          <w:vertAlign w:val="subscript"/>
        </w:rPr>
        <w:t>1</w:t>
      </w:r>
      <w:r>
        <w:t>=Lpi</w:t>
      </w:r>
      <w:r>
        <w:rPr>
          <w:vertAlign w:val="subscript"/>
        </w:rPr>
        <w:t>1</w:t>
      </w:r>
      <w:r>
        <w:t>+10lg（2S）</w:t>
      </w:r>
    </w:p>
    <w:p>
      <w:pPr>
        <w:adjustRightInd w:val="0"/>
        <w:snapToGrid w:val="0"/>
        <w:ind w:firstLine="480"/>
      </w:pPr>
      <w:r>
        <w:t>如：声功率级=</w:t>
      </w:r>
      <w:r>
        <w:rPr>
          <w:rFonts w:hint="eastAsia"/>
        </w:rPr>
        <w:t>62</w:t>
      </w:r>
      <w:r>
        <w:t>+10lg[2×</w:t>
      </w:r>
      <w:r>
        <w:rPr>
          <w:rFonts w:hint="eastAsia"/>
        </w:rPr>
        <w:t>8700</w:t>
      </w:r>
      <w:r>
        <w:t>]=</w:t>
      </w:r>
      <w:r>
        <w:rPr>
          <w:rFonts w:hint="eastAsia"/>
        </w:rPr>
        <w:t>62</w:t>
      </w:r>
      <w:r>
        <w:t>+</w:t>
      </w:r>
      <w:r>
        <w:rPr>
          <w:rFonts w:hint="eastAsia"/>
        </w:rPr>
        <w:t>43.3</w:t>
      </w:r>
      <w:r>
        <w:t>=</w:t>
      </w:r>
      <w:bookmarkStart w:id="408" w:name="_Hlk528175905"/>
      <w:r>
        <w:rPr>
          <w:rFonts w:hint="eastAsia"/>
        </w:rPr>
        <w:t>104.4</w:t>
      </w:r>
      <w:r>
        <w:t>dB</w:t>
      </w:r>
      <w:bookmarkEnd w:id="408"/>
      <w:r>
        <w:t>。</w:t>
      </w:r>
    </w:p>
    <w:p>
      <w:pPr>
        <w:adjustRightInd w:val="0"/>
        <w:snapToGrid w:val="0"/>
        <w:ind w:firstLine="480"/>
      </w:pPr>
      <w:r>
        <w:t>由此可计算出车间噪声对各个厂界的贡献值，具体见表</w:t>
      </w:r>
      <w:r>
        <w:rPr>
          <w:rFonts w:hint="eastAsia"/>
        </w:rPr>
        <w:t>4.2</w:t>
      </w:r>
      <w:r>
        <w:t>-</w:t>
      </w:r>
      <w:r>
        <w:rPr>
          <w:rFonts w:hint="eastAsia"/>
        </w:rPr>
        <w:t>9</w:t>
      </w:r>
      <w:r>
        <w:t>。</w:t>
      </w:r>
    </w:p>
    <w:p>
      <w:pPr>
        <w:pStyle w:val="11"/>
      </w:pPr>
      <w:r>
        <w:t xml:space="preserve">表4.2- </w:t>
      </w:r>
      <w:r>
        <w:fldChar w:fldCharType="begin"/>
      </w:r>
      <w:r>
        <w:instrText xml:space="preserve"> SEQ 表4.2- \* ARABIC </w:instrText>
      </w:r>
      <w:r>
        <w:fldChar w:fldCharType="separate"/>
      </w:r>
      <w:r>
        <w:t>7</w:t>
      </w:r>
      <w:r>
        <w:fldChar w:fldCharType="end"/>
      </w:r>
      <w:r>
        <w:rPr>
          <w:rFonts w:hint="eastAsia"/>
        </w:rPr>
        <w:t xml:space="preserve">   </w:t>
      </w:r>
      <w:r>
        <w:t>本工程厂界噪声预测结果</w:t>
      </w:r>
      <w:r>
        <w:rPr>
          <w:bCs/>
        </w:rPr>
        <w:t xml:space="preserve">   单位：</w:t>
      </w:r>
      <w:r>
        <w:t>dB（A）</w:t>
      </w:r>
    </w:p>
    <w:tbl>
      <w:tblPr>
        <w:tblStyle w:val="21"/>
        <w:tblW w:w="744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31"/>
        <w:gridCol w:w="1326"/>
        <w:gridCol w:w="945"/>
        <w:gridCol w:w="960"/>
        <w:gridCol w:w="1256"/>
        <w:gridCol w:w="13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631" w:type="dxa"/>
            <w:vMerge w:val="restart"/>
            <w:vAlign w:val="center"/>
          </w:tcPr>
          <w:p>
            <w:pPr>
              <w:pStyle w:val="8"/>
              <w:ind w:firstLine="0" w:firstLineChars="0"/>
            </w:pPr>
            <w:r>
              <w:t>点位名称</w:t>
            </w:r>
          </w:p>
        </w:tc>
        <w:tc>
          <w:tcPr>
            <w:tcW w:w="1326" w:type="dxa"/>
            <w:vMerge w:val="restart"/>
            <w:vAlign w:val="center"/>
          </w:tcPr>
          <w:p>
            <w:pPr>
              <w:pStyle w:val="8"/>
              <w:ind w:firstLine="0" w:firstLineChars="0"/>
            </w:pPr>
            <w:r>
              <w:t>贡献值</w:t>
            </w:r>
          </w:p>
        </w:tc>
        <w:tc>
          <w:tcPr>
            <w:tcW w:w="1905" w:type="dxa"/>
            <w:gridSpan w:val="2"/>
            <w:vAlign w:val="center"/>
          </w:tcPr>
          <w:p>
            <w:pPr>
              <w:pStyle w:val="8"/>
              <w:ind w:firstLine="0" w:firstLineChars="0"/>
            </w:pPr>
            <w:r>
              <w:t>标准值Leq[dB(A)]</w:t>
            </w:r>
          </w:p>
        </w:tc>
        <w:tc>
          <w:tcPr>
            <w:tcW w:w="2581" w:type="dxa"/>
            <w:gridSpan w:val="2"/>
            <w:vAlign w:val="center"/>
          </w:tcPr>
          <w:p>
            <w:pPr>
              <w:pStyle w:val="8"/>
              <w:ind w:firstLine="0" w:firstLineChars="0"/>
            </w:pPr>
            <w:r>
              <w:t>超标情况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1631" w:type="dxa"/>
            <w:vMerge w:val="continue"/>
            <w:vAlign w:val="center"/>
          </w:tcPr>
          <w:p>
            <w:pPr>
              <w:pStyle w:val="8"/>
              <w:ind w:firstLine="0" w:firstLineChars="0"/>
            </w:pPr>
          </w:p>
        </w:tc>
        <w:tc>
          <w:tcPr>
            <w:tcW w:w="1326" w:type="dxa"/>
            <w:vMerge w:val="continue"/>
            <w:vAlign w:val="center"/>
          </w:tcPr>
          <w:p>
            <w:pPr>
              <w:pStyle w:val="8"/>
              <w:ind w:firstLine="0" w:firstLineChars="0"/>
            </w:pPr>
          </w:p>
        </w:tc>
        <w:tc>
          <w:tcPr>
            <w:tcW w:w="945" w:type="dxa"/>
            <w:vAlign w:val="center"/>
          </w:tcPr>
          <w:p>
            <w:pPr>
              <w:pStyle w:val="8"/>
              <w:ind w:firstLine="0" w:firstLineChars="0"/>
            </w:pPr>
            <w:r>
              <w:t>昼间</w:t>
            </w:r>
          </w:p>
        </w:tc>
        <w:tc>
          <w:tcPr>
            <w:tcW w:w="960" w:type="dxa"/>
            <w:vAlign w:val="center"/>
          </w:tcPr>
          <w:p>
            <w:pPr>
              <w:pStyle w:val="8"/>
              <w:ind w:firstLine="0" w:firstLineChars="0"/>
            </w:pPr>
            <w:r>
              <w:t>夜间</w:t>
            </w:r>
          </w:p>
        </w:tc>
        <w:tc>
          <w:tcPr>
            <w:tcW w:w="1256" w:type="dxa"/>
            <w:vAlign w:val="center"/>
          </w:tcPr>
          <w:p>
            <w:pPr>
              <w:pStyle w:val="8"/>
              <w:ind w:firstLine="0" w:firstLineChars="0"/>
            </w:pPr>
            <w:r>
              <w:t>昼间</w:t>
            </w:r>
          </w:p>
        </w:tc>
        <w:tc>
          <w:tcPr>
            <w:tcW w:w="1325" w:type="dxa"/>
            <w:vAlign w:val="center"/>
          </w:tcPr>
          <w:p>
            <w:pPr>
              <w:pStyle w:val="8"/>
              <w:ind w:firstLine="0" w:firstLineChars="0"/>
            </w:pPr>
            <w: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631" w:type="dxa"/>
            <w:vAlign w:val="center"/>
          </w:tcPr>
          <w:p>
            <w:pPr>
              <w:pStyle w:val="8"/>
              <w:ind w:firstLine="0" w:firstLineChars="0"/>
            </w:pPr>
            <w:r>
              <w:t>东面厂界</w:t>
            </w:r>
          </w:p>
        </w:tc>
        <w:tc>
          <w:tcPr>
            <w:tcW w:w="1326" w:type="dxa"/>
            <w:vAlign w:val="center"/>
          </w:tcPr>
          <w:p>
            <w:pPr>
              <w:pStyle w:val="8"/>
              <w:ind w:firstLine="0" w:firstLineChars="0"/>
            </w:pPr>
            <w:r>
              <w:rPr>
                <w:rFonts w:hint="eastAsia"/>
              </w:rPr>
              <w:t>35.97</w:t>
            </w:r>
          </w:p>
        </w:tc>
        <w:tc>
          <w:tcPr>
            <w:tcW w:w="945" w:type="dxa"/>
            <w:vAlign w:val="center"/>
          </w:tcPr>
          <w:p>
            <w:pPr>
              <w:pStyle w:val="8"/>
              <w:ind w:firstLine="0" w:firstLineChars="0"/>
            </w:pPr>
            <w:r>
              <w:t>6</w:t>
            </w:r>
            <w:r>
              <w:rPr>
                <w:rFonts w:hint="eastAsia"/>
              </w:rPr>
              <w:t>0</w:t>
            </w:r>
          </w:p>
        </w:tc>
        <w:tc>
          <w:tcPr>
            <w:tcW w:w="960" w:type="dxa"/>
            <w:vAlign w:val="center"/>
          </w:tcPr>
          <w:p>
            <w:pPr>
              <w:pStyle w:val="8"/>
              <w:ind w:firstLine="0" w:firstLineChars="0"/>
            </w:pPr>
            <w:r>
              <w:t>5</w:t>
            </w:r>
            <w:r>
              <w:rPr>
                <w:rFonts w:hint="eastAsia"/>
              </w:rPr>
              <w:t>0</w:t>
            </w:r>
          </w:p>
        </w:tc>
        <w:tc>
          <w:tcPr>
            <w:tcW w:w="1256" w:type="dxa"/>
            <w:vAlign w:val="center"/>
          </w:tcPr>
          <w:p>
            <w:pPr>
              <w:pStyle w:val="8"/>
              <w:ind w:firstLine="0" w:firstLineChars="0"/>
            </w:pPr>
            <w:r>
              <w:t>未超标</w:t>
            </w:r>
          </w:p>
        </w:tc>
        <w:tc>
          <w:tcPr>
            <w:tcW w:w="1325" w:type="dxa"/>
            <w:vAlign w:val="center"/>
          </w:tcPr>
          <w:p>
            <w:pPr>
              <w:pStyle w:val="8"/>
              <w:ind w:firstLine="0" w:firstLineChars="0"/>
            </w:pPr>
            <w:r>
              <w:t>未超标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631" w:type="dxa"/>
            <w:vAlign w:val="center"/>
          </w:tcPr>
          <w:p>
            <w:pPr>
              <w:pStyle w:val="8"/>
              <w:ind w:firstLine="0" w:firstLineChars="0"/>
            </w:pPr>
            <w:r>
              <w:t>南面厂界</w:t>
            </w:r>
          </w:p>
        </w:tc>
        <w:tc>
          <w:tcPr>
            <w:tcW w:w="1326" w:type="dxa"/>
            <w:vAlign w:val="center"/>
          </w:tcPr>
          <w:p>
            <w:pPr>
              <w:pStyle w:val="8"/>
              <w:ind w:firstLine="0" w:firstLineChars="0"/>
              <w:rPr>
                <w:highlight w:val="yellow"/>
              </w:rPr>
            </w:pPr>
            <w:r>
              <w:rPr>
                <w:rFonts w:hint="eastAsia"/>
              </w:rPr>
              <w:t>35.97</w:t>
            </w:r>
          </w:p>
        </w:tc>
        <w:tc>
          <w:tcPr>
            <w:tcW w:w="945" w:type="dxa"/>
            <w:vAlign w:val="center"/>
          </w:tcPr>
          <w:p>
            <w:pPr>
              <w:pStyle w:val="8"/>
              <w:ind w:firstLine="0" w:firstLineChars="0"/>
            </w:pPr>
            <w:r>
              <w:t>6</w:t>
            </w:r>
            <w:r>
              <w:rPr>
                <w:rFonts w:hint="eastAsia"/>
              </w:rPr>
              <w:t>0</w:t>
            </w:r>
          </w:p>
        </w:tc>
        <w:tc>
          <w:tcPr>
            <w:tcW w:w="960" w:type="dxa"/>
            <w:vAlign w:val="center"/>
          </w:tcPr>
          <w:p>
            <w:pPr>
              <w:pStyle w:val="8"/>
              <w:ind w:firstLine="0" w:firstLineChars="0"/>
            </w:pPr>
            <w:r>
              <w:t>5</w:t>
            </w:r>
            <w:r>
              <w:rPr>
                <w:rFonts w:hint="eastAsia"/>
              </w:rPr>
              <w:t>0</w:t>
            </w:r>
          </w:p>
        </w:tc>
        <w:tc>
          <w:tcPr>
            <w:tcW w:w="1256" w:type="dxa"/>
            <w:vAlign w:val="center"/>
          </w:tcPr>
          <w:p>
            <w:pPr>
              <w:pStyle w:val="8"/>
              <w:ind w:firstLine="0" w:firstLineChars="0"/>
            </w:pPr>
            <w:r>
              <w:t>未超标</w:t>
            </w:r>
          </w:p>
        </w:tc>
        <w:tc>
          <w:tcPr>
            <w:tcW w:w="1325" w:type="dxa"/>
            <w:vAlign w:val="center"/>
          </w:tcPr>
          <w:p>
            <w:pPr>
              <w:pStyle w:val="8"/>
              <w:ind w:firstLine="0" w:firstLineChars="0"/>
            </w:pPr>
            <w:r>
              <w:t>未超标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631" w:type="dxa"/>
            <w:vAlign w:val="center"/>
          </w:tcPr>
          <w:p>
            <w:pPr>
              <w:pStyle w:val="8"/>
              <w:ind w:firstLine="0" w:firstLineChars="0"/>
            </w:pPr>
            <w:r>
              <w:t>西面厂界</w:t>
            </w:r>
          </w:p>
        </w:tc>
        <w:tc>
          <w:tcPr>
            <w:tcW w:w="1326" w:type="dxa"/>
            <w:vAlign w:val="center"/>
          </w:tcPr>
          <w:p>
            <w:pPr>
              <w:pStyle w:val="8"/>
              <w:ind w:firstLine="0" w:firstLineChars="0"/>
              <w:rPr>
                <w:highlight w:val="yellow"/>
              </w:rPr>
            </w:pPr>
            <w:r>
              <w:rPr>
                <w:rFonts w:hint="eastAsia"/>
              </w:rPr>
              <w:t>38.48</w:t>
            </w:r>
          </w:p>
        </w:tc>
        <w:tc>
          <w:tcPr>
            <w:tcW w:w="945" w:type="dxa"/>
            <w:vAlign w:val="center"/>
          </w:tcPr>
          <w:p>
            <w:pPr>
              <w:pStyle w:val="8"/>
              <w:ind w:firstLine="0" w:firstLineChars="0"/>
            </w:pPr>
            <w:r>
              <w:t>6</w:t>
            </w:r>
            <w:r>
              <w:rPr>
                <w:rFonts w:hint="eastAsia"/>
              </w:rPr>
              <w:t>0</w:t>
            </w:r>
          </w:p>
        </w:tc>
        <w:tc>
          <w:tcPr>
            <w:tcW w:w="960" w:type="dxa"/>
            <w:vAlign w:val="center"/>
          </w:tcPr>
          <w:p>
            <w:pPr>
              <w:pStyle w:val="8"/>
              <w:ind w:firstLine="0" w:firstLineChars="0"/>
            </w:pPr>
            <w:r>
              <w:t>5</w:t>
            </w:r>
            <w:r>
              <w:rPr>
                <w:rFonts w:hint="eastAsia"/>
              </w:rPr>
              <w:t>0</w:t>
            </w:r>
          </w:p>
        </w:tc>
        <w:tc>
          <w:tcPr>
            <w:tcW w:w="1256" w:type="dxa"/>
            <w:vAlign w:val="center"/>
          </w:tcPr>
          <w:p>
            <w:pPr>
              <w:pStyle w:val="8"/>
              <w:ind w:firstLine="0" w:firstLineChars="0"/>
            </w:pPr>
            <w:r>
              <w:t>未超标</w:t>
            </w:r>
          </w:p>
        </w:tc>
        <w:tc>
          <w:tcPr>
            <w:tcW w:w="1325" w:type="dxa"/>
            <w:vAlign w:val="center"/>
          </w:tcPr>
          <w:p>
            <w:pPr>
              <w:pStyle w:val="8"/>
              <w:ind w:firstLine="0" w:firstLineChars="0"/>
            </w:pPr>
            <w:r>
              <w:t>未超标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631" w:type="dxa"/>
            <w:vAlign w:val="center"/>
          </w:tcPr>
          <w:p>
            <w:pPr>
              <w:pStyle w:val="8"/>
              <w:ind w:firstLine="0" w:firstLineChars="0"/>
            </w:pPr>
            <w:r>
              <w:t>北面厂界</w:t>
            </w:r>
          </w:p>
        </w:tc>
        <w:tc>
          <w:tcPr>
            <w:tcW w:w="1326" w:type="dxa"/>
            <w:vAlign w:val="center"/>
          </w:tcPr>
          <w:p>
            <w:pPr>
              <w:pStyle w:val="8"/>
              <w:ind w:firstLine="0" w:firstLineChars="0"/>
              <w:rPr>
                <w:highlight w:val="yellow"/>
              </w:rPr>
            </w:pPr>
            <w:r>
              <w:rPr>
                <w:rFonts w:hint="eastAsia"/>
              </w:rPr>
              <w:t>38.48</w:t>
            </w:r>
          </w:p>
        </w:tc>
        <w:tc>
          <w:tcPr>
            <w:tcW w:w="945" w:type="dxa"/>
            <w:vAlign w:val="center"/>
          </w:tcPr>
          <w:p>
            <w:pPr>
              <w:pStyle w:val="8"/>
              <w:ind w:firstLine="0" w:firstLineChars="0"/>
            </w:pPr>
            <w:r>
              <w:t>6</w:t>
            </w:r>
            <w:r>
              <w:rPr>
                <w:rFonts w:hint="eastAsia"/>
              </w:rPr>
              <w:t>0</w:t>
            </w:r>
          </w:p>
        </w:tc>
        <w:tc>
          <w:tcPr>
            <w:tcW w:w="960" w:type="dxa"/>
            <w:vAlign w:val="center"/>
          </w:tcPr>
          <w:p>
            <w:pPr>
              <w:pStyle w:val="8"/>
              <w:ind w:firstLine="0" w:firstLineChars="0"/>
            </w:pPr>
            <w:r>
              <w:t>5</w:t>
            </w:r>
            <w:r>
              <w:rPr>
                <w:rFonts w:hint="eastAsia"/>
              </w:rPr>
              <w:t>0</w:t>
            </w:r>
          </w:p>
        </w:tc>
        <w:tc>
          <w:tcPr>
            <w:tcW w:w="1256" w:type="dxa"/>
            <w:vAlign w:val="center"/>
          </w:tcPr>
          <w:p>
            <w:pPr>
              <w:pStyle w:val="8"/>
              <w:ind w:firstLine="0" w:firstLineChars="0"/>
            </w:pPr>
            <w:r>
              <w:t>未超标</w:t>
            </w:r>
          </w:p>
        </w:tc>
        <w:tc>
          <w:tcPr>
            <w:tcW w:w="1325" w:type="dxa"/>
            <w:vAlign w:val="center"/>
          </w:tcPr>
          <w:p>
            <w:pPr>
              <w:pStyle w:val="8"/>
              <w:ind w:firstLine="0" w:firstLineChars="0"/>
            </w:pPr>
            <w:r>
              <w:t>未超标</w:t>
            </w:r>
          </w:p>
        </w:tc>
      </w:tr>
    </w:tbl>
    <w:p>
      <w:pPr>
        <w:ind w:firstLine="480"/>
      </w:pPr>
      <w:r>
        <w:t>由上表可知，项目厂界噪声均能满足《工业企业厂界环境噪声排放标准》中2 类功能区限值要求，昼间≤60dB(A)、夜间≤50dB(A)。</w:t>
      </w:r>
    </w:p>
    <w:p>
      <w:pPr>
        <w:ind w:firstLine="480"/>
      </w:pPr>
      <w:r>
        <w:rPr>
          <w:rFonts w:hint="eastAsia"/>
        </w:rPr>
        <w:t>项目工程养殖区周边200</w:t>
      </w:r>
      <w:r>
        <w:t>m</w:t>
      </w:r>
      <w:r>
        <w:rPr>
          <w:rFonts w:hint="eastAsia"/>
        </w:rPr>
        <w:t>范围内没有居民，养殖区噪声对周边声环境影响较小。</w:t>
      </w:r>
    </w:p>
    <w:p>
      <w:pPr>
        <w:pStyle w:val="5"/>
        <w:spacing w:before="62" w:after="62"/>
      </w:pPr>
      <w:bookmarkStart w:id="409" w:name="_Toc468689207"/>
      <w:r>
        <w:rPr>
          <w:rFonts w:hint="eastAsia"/>
        </w:rPr>
        <w:t>4.2.5固体废物环境影响分析</w:t>
      </w:r>
      <w:bookmarkEnd w:id="409"/>
    </w:p>
    <w:p>
      <w:pPr>
        <w:ind w:firstLine="480"/>
      </w:pPr>
      <w:r>
        <w:rPr>
          <w:rFonts w:hint="eastAsia"/>
        </w:rPr>
        <w:t>（1）更换垫料（有机肥料）</w:t>
      </w:r>
    </w:p>
    <w:p>
      <w:pPr>
        <w:ind w:firstLine="480"/>
      </w:pPr>
      <w:r>
        <w:rPr>
          <w:rFonts w:hint="eastAsia"/>
        </w:rPr>
        <w:t>本项目产生的固体废弃物主要为废弃发酵床垫料、病死猪尸体以及员工产生的生活垃圾。此外，猪只检疫、生病等使用医疗设备会产生少量的医疗废物。这些固体废物如果不进行妥善处理或处置就会对周围环境造成污染和传播疾病。</w:t>
      </w:r>
    </w:p>
    <w:p>
      <w:pPr>
        <w:ind w:firstLine="480"/>
      </w:pPr>
      <w:r>
        <w:rPr>
          <w:rFonts w:hint="eastAsia"/>
        </w:rPr>
        <w:t>本项目养殖产生的猪粪与猪尿等一并进入发酵床垫料中，进行生物发酵处理，发酵床垫料3年更换一次，产生废弃发酵床垫料，废弃垫料经过长时间的生物发酵，无害化程度高，富含各种营养物质，是优质有机肥料，全部用于外售农机合作社，进行综合利用。对环境影响较小。</w:t>
      </w:r>
    </w:p>
    <w:p>
      <w:pPr>
        <w:ind w:firstLine="480"/>
        <w:rPr>
          <w:highlight w:val="yellow"/>
        </w:rPr>
      </w:pPr>
      <w:r>
        <w:rPr>
          <w:rFonts w:hint="eastAsia"/>
        </w:rPr>
        <w:t>（2）病死猪尸体</w:t>
      </w:r>
    </w:p>
    <w:p>
      <w:pPr>
        <w:ind w:firstLine="480"/>
      </w:pPr>
      <w:r>
        <w:rPr>
          <w:rFonts w:hint="eastAsia"/>
        </w:rPr>
        <w:t>本项目的病死猪尸体通过建设冷冻库进行暂时储存，冷冻库库内温度为低温冷冻温度</w:t>
      </w:r>
      <w:r>
        <w:t>-18℃</w:t>
      </w:r>
      <w:r>
        <w:rPr>
          <w:rFonts w:hint="eastAsia"/>
        </w:rPr>
        <w:t>，采用冷冻或冷藏方式进行暂存，防止无害化处理前病死及病害动物和相关动物产品腐败。本项目拟建设的冷冻库容积为3m×10m×2.5m</w:t>
      </w:r>
      <w:r>
        <w:rPr>
          <w:highlight w:val="yellow"/>
        </w:rPr>
        <w:t xml:space="preserve"> </w:t>
      </w:r>
      <w:r>
        <w:t>=75m</w:t>
      </w:r>
      <w:r>
        <w:rPr>
          <w:vertAlign w:val="superscript"/>
        </w:rPr>
        <w:t>3</w:t>
      </w:r>
      <w:r>
        <w:t>，</w:t>
      </w:r>
      <w:r>
        <w:rPr>
          <w:rFonts w:hint="eastAsia"/>
        </w:rPr>
        <w:t>冷冻库能连续365天24小时运行，</w:t>
      </w:r>
      <w:r>
        <w:t>使用寿命不小15年，</w:t>
      </w:r>
      <w:r>
        <w:rPr>
          <w:rFonts w:hint="eastAsia"/>
        </w:rPr>
        <w:t>能满足本项目定时期内病死猪尸体和胎盘的安全暂存。此外，暂存场所应能防水、防渗、防鼠、防盗，易于清洗和消毒，并定期对暂存场所及周边环境进行清洗消毒。</w:t>
      </w:r>
      <w:r>
        <w:t>暂存场所应设置明显警示标识。原则上不收集不储存外场病死畜禽，防止交叉感染。</w:t>
      </w:r>
      <w:r>
        <w:rPr>
          <w:rFonts w:hint="eastAsia"/>
        </w:rPr>
        <w:t>目前澧县畜牧兽医水产局已在澧县梦溪镇建成了全县病死畜禽无害化处理收集中心。</w:t>
      </w:r>
      <w:r>
        <w:t>本项目暂存后的</w:t>
      </w:r>
      <w:r>
        <w:rPr>
          <w:rFonts w:hint="eastAsia"/>
        </w:rPr>
        <w:t>病死猪尸体定期运至澧县病死畜禽无害化处理收集中心。再由该中心运至常德市病死畜禽无害化处理中心进行最终处置。常德市病死畜禽无害化处理中心位于常德市桃源县漳江镇金凤村青云桥组，由常德市源成环保科技有限公司建设，项目采用高温干化化制工艺处理全市范围内的病死和病害动物及动物产品，日处理能力为</w:t>
      </w:r>
      <w:r>
        <w:t>20</w:t>
      </w:r>
      <w:r>
        <w:rPr>
          <w:rFonts w:hint="eastAsia"/>
        </w:rPr>
        <w:t>t，年处理能力为7000t，年产有机肥1400t。该项目于2018年6月开始建设，于2019年6月建成并投入运营。</w:t>
      </w:r>
    </w:p>
    <w:p>
      <w:pPr>
        <w:ind w:firstLine="480"/>
      </w:pPr>
      <w:r>
        <w:rPr>
          <w:rFonts w:hint="eastAsia"/>
        </w:rPr>
        <w:t>综上所述，本项目对病死猪尸体处理符合《病害动物和病害动物产品生物安全处理规程》（</w:t>
      </w:r>
      <w:r>
        <w:t>GB16548-2006</w:t>
      </w:r>
      <w:r>
        <w:rPr>
          <w:rFonts w:hint="eastAsia"/>
        </w:rPr>
        <w:t>）和《畜禽养殖业污染治理工程技术规范》（</w:t>
      </w:r>
      <w:r>
        <w:t>HJ497-2009</w:t>
      </w:r>
      <w:r>
        <w:rPr>
          <w:rFonts w:hint="eastAsia"/>
        </w:rPr>
        <w:t>）中对病死畜禽进行无害化处置的规定。满足《国务院办公厅关于建立病死畜禽无害化处理机制的意见》（国办发〔</w:t>
      </w:r>
      <w:r>
        <w:t>2014〕47号）、</w:t>
      </w:r>
      <w:r>
        <w:rPr>
          <w:rFonts w:hint="eastAsia"/>
        </w:rPr>
        <w:t>《湖南省人民政府办公厅关于建立病死畜禽无害化处理机制的实施意见》(湘政办发〔</w:t>
      </w:r>
      <w:r>
        <w:t>2015〕103号）</w:t>
      </w:r>
      <w:r>
        <w:rPr>
          <w:rFonts w:hint="eastAsia"/>
        </w:rPr>
        <w:t>等文件的要求。</w:t>
      </w:r>
    </w:p>
    <w:p>
      <w:pPr>
        <w:ind w:firstLine="480"/>
      </w:pPr>
      <w:r>
        <w:rPr>
          <w:rFonts w:hint="eastAsia"/>
        </w:rPr>
        <w:t>（3）生活垃圾</w:t>
      </w:r>
    </w:p>
    <w:p>
      <w:pPr>
        <w:ind w:firstLine="480"/>
      </w:pPr>
      <w:r>
        <w:rPr>
          <w:rFonts w:hint="eastAsia"/>
        </w:rPr>
        <w:t>生活垃圾收集后由当地环卫部门统一清运后定期送城镇垃圾填埋场卫生填埋。</w:t>
      </w:r>
    </w:p>
    <w:p>
      <w:pPr>
        <w:ind w:firstLine="480"/>
      </w:pPr>
      <w:r>
        <w:rPr>
          <w:rFonts w:hint="eastAsia"/>
        </w:rPr>
        <w:t>（4）医疗废物</w:t>
      </w:r>
    </w:p>
    <w:p>
      <w:pPr>
        <w:ind w:firstLine="480"/>
      </w:pPr>
      <w:r>
        <w:rPr>
          <w:rFonts w:hint="eastAsia"/>
        </w:rPr>
        <w:t>医疗固废临时存放在隔离间专用存储容器中，定期交由有资质的单位处置。</w:t>
      </w:r>
    </w:p>
    <w:p>
      <w:pPr>
        <w:ind w:firstLine="480"/>
      </w:pPr>
      <w:r>
        <w:rPr>
          <w:rFonts w:hint="eastAsia"/>
        </w:rPr>
        <w:t>本项目固体废物处理处置遵循了环境健康风险预防、安全无害以及固体废物</w:t>
      </w:r>
      <w:r>
        <w:t>“</w:t>
      </w:r>
      <w:r>
        <w:rPr>
          <w:rFonts w:hint="eastAsia"/>
        </w:rPr>
        <w:t>减量化、资源化及无害化</w:t>
      </w:r>
      <w:r>
        <w:t>”</w:t>
      </w:r>
      <w:r>
        <w:rPr>
          <w:rFonts w:hint="eastAsia"/>
        </w:rPr>
        <w:t>的原则，将固体废物全部综合利用或安全处置，减少了对周边环境的污染危害，还可以使企业增收节支，实现经济与环境的双赢。本项目固体废物在采取上述措施进行处置后对环境影响不大。</w:t>
      </w:r>
    </w:p>
    <w:p>
      <w:pPr>
        <w:pStyle w:val="5"/>
        <w:spacing w:before="62" w:after="62"/>
      </w:pPr>
      <w:bookmarkStart w:id="410" w:name="_Toc468689212"/>
      <w:bookmarkStart w:id="411" w:name="_Toc468689208"/>
      <w:r>
        <w:rPr>
          <w:rFonts w:hint="eastAsia"/>
        </w:rPr>
        <w:t>4.2.6</w:t>
      </w:r>
      <w:r>
        <w:t>生态环境影响分析</w:t>
      </w:r>
      <w:bookmarkEnd w:id="410"/>
    </w:p>
    <w:p>
      <w:pPr>
        <w:ind w:firstLine="480"/>
      </w:pPr>
      <w:r>
        <w:t>（1）生态系统组成</w:t>
      </w:r>
      <w:r>
        <w:rPr>
          <w:rFonts w:hint="eastAsia"/>
        </w:rPr>
        <w:t>与功能</w:t>
      </w:r>
      <w:r>
        <w:t>变化</w:t>
      </w:r>
    </w:p>
    <w:p>
      <w:pPr>
        <w:ind w:firstLine="480"/>
      </w:pPr>
      <w:r>
        <w:t>本项目土地建设前用地性质为林地、</w:t>
      </w:r>
      <w:r>
        <w:rPr>
          <w:rFonts w:hint="eastAsia"/>
        </w:rPr>
        <w:t>旱地</w:t>
      </w:r>
      <w:r>
        <w:t>，不属于保护林类，生态系统的现状植被以乔木、灌木、杂草为主。</w:t>
      </w:r>
    </w:p>
    <w:p>
      <w:pPr>
        <w:ind w:firstLine="480"/>
      </w:pPr>
      <w:r>
        <w:t>本项目建设后，</w:t>
      </w:r>
      <w:r>
        <w:rPr>
          <w:rFonts w:hint="eastAsia"/>
        </w:rPr>
        <w:t>养殖基地</w:t>
      </w:r>
      <w:r>
        <w:t>内的原有山林</w:t>
      </w:r>
      <w:r>
        <w:rPr>
          <w:rFonts w:hint="eastAsia"/>
        </w:rPr>
        <w:t>、旱地</w:t>
      </w:r>
      <w:r>
        <w:t>全数消失，全部转变为</w:t>
      </w:r>
      <w:r>
        <w:rPr>
          <w:rFonts w:hint="eastAsia"/>
        </w:rPr>
        <w:t>农用设施用地</w:t>
      </w:r>
      <w:r>
        <w:t>，</w:t>
      </w:r>
      <w:r>
        <w:rPr>
          <w:rFonts w:hint="eastAsia"/>
        </w:rPr>
        <w:t>改变了原有土地利用性质。本项目占地较小，加强对厂区绿化后</w:t>
      </w:r>
      <w:r>
        <w:t>对周边地区整个生态系统的结构影响很小。</w:t>
      </w:r>
    </w:p>
    <w:p>
      <w:pPr>
        <w:ind w:firstLine="480"/>
      </w:pPr>
      <w:r>
        <w:t>本项目</w:t>
      </w:r>
      <w:r>
        <w:rPr>
          <w:rFonts w:hint="eastAsia"/>
        </w:rPr>
        <w:t>建设</w:t>
      </w:r>
      <w:r>
        <w:t>前所在地块为植物生态系统，属自然生态系统，生态系统的物流、能量流处在较低的水平，整个生态系统排放到外环境的污染物较少。目前的植物生态系统有大面积的各类灌木，植物的蒸腾量较大，具有较强的水、热气候调节功能，为当地提供了良好的绿色生态环境。本项目建设后</w:t>
      </w:r>
      <w:r>
        <w:rPr>
          <w:rFonts w:hint="eastAsia"/>
        </w:rPr>
        <w:t>，养殖基地</w:t>
      </w:r>
      <w:r>
        <w:t>地块转变为</w:t>
      </w:r>
      <w:r>
        <w:rPr>
          <w:rFonts w:hint="eastAsia"/>
        </w:rPr>
        <w:t>建设</w:t>
      </w:r>
      <w:r>
        <w:t>用地后，地表将大部分变为人工建筑地面，其主要功能是为生产服务</w:t>
      </w:r>
      <w:r>
        <w:rPr>
          <w:rFonts w:hint="eastAsia"/>
        </w:rPr>
        <w:t>，</w:t>
      </w:r>
      <w:r>
        <w:t>对局部水、热气候调节功能的减弱影响</w:t>
      </w:r>
      <w:r>
        <w:rPr>
          <w:rFonts w:hint="eastAsia"/>
        </w:rPr>
        <w:t>，但</w:t>
      </w:r>
      <w:r>
        <w:t>可由</w:t>
      </w:r>
      <w:r>
        <w:rPr>
          <w:rFonts w:hint="eastAsia"/>
        </w:rPr>
        <w:t>周边的种植基地以及</w:t>
      </w:r>
      <w:r>
        <w:t>附近广阔的山体植被调节功能弥补。</w:t>
      </w:r>
      <w:r>
        <w:rPr>
          <w:rFonts w:hint="eastAsia"/>
        </w:rPr>
        <w:t>本项目的建设不会影响整个生态系统的功能。</w:t>
      </w:r>
    </w:p>
    <w:p>
      <w:pPr>
        <w:ind w:firstLine="480"/>
      </w:pPr>
      <w:r>
        <w:t>（</w:t>
      </w:r>
      <w:r>
        <w:rPr>
          <w:rFonts w:hint="eastAsia"/>
        </w:rPr>
        <w:t>2</w:t>
      </w:r>
      <w:r>
        <w:t>）动植物生态环境影响评价</w:t>
      </w:r>
    </w:p>
    <w:p>
      <w:pPr>
        <w:ind w:firstLine="480"/>
      </w:pPr>
      <w:r>
        <w:t>本项目实施后</w:t>
      </w:r>
      <w:r>
        <w:rPr>
          <w:rFonts w:hint="eastAsia"/>
        </w:rPr>
        <w:t>，基本保持了当地生物多样性</w:t>
      </w:r>
      <w:r>
        <w:t>，</w:t>
      </w:r>
      <w:r>
        <w:rPr>
          <w:rFonts w:hint="eastAsia"/>
        </w:rPr>
        <w:t>也</w:t>
      </w:r>
      <w:r>
        <w:t>保持该地区的覆绿面积。本项目实施后对当地植物生态环境</w:t>
      </w:r>
      <w:r>
        <w:rPr>
          <w:rFonts w:hint="eastAsia"/>
        </w:rPr>
        <w:t>不会有明显影响</w:t>
      </w:r>
      <w:r>
        <w:t>。本项目所在地原为</w:t>
      </w:r>
      <w:r>
        <w:rPr>
          <w:rFonts w:hint="eastAsia"/>
        </w:rPr>
        <w:t>林地</w:t>
      </w:r>
      <w:r>
        <w:t>，野生动物较少，本项目建设对当地动物数量影响较小。但</w:t>
      </w:r>
      <w:r>
        <w:rPr>
          <w:rFonts w:hint="eastAsia"/>
        </w:rPr>
        <w:t>牲</w:t>
      </w:r>
      <w:r>
        <w:t>猪发生病疫，如果处理不当，对当地野生和家养动物感染，造成野生和家养动物死亡。本项目建成后，采取了较好的牲猪病疫防疫措施，只要加强管理和遵照执行，牲猪发生病疫对当地野生和家养动物影响较小。</w:t>
      </w:r>
    </w:p>
    <w:p>
      <w:pPr>
        <w:ind w:firstLine="480"/>
      </w:pPr>
      <w:r>
        <w:rPr>
          <w:rFonts w:hint="eastAsia"/>
        </w:rPr>
        <w:t>（3）农业生态环境的影响分析</w:t>
      </w:r>
    </w:p>
    <w:p>
      <w:pPr>
        <w:ind w:firstLine="480"/>
      </w:pPr>
      <w:r>
        <w:rPr>
          <w:rFonts w:hint="eastAsia"/>
        </w:rPr>
        <w:t>项目通过对区域生猪养殖实施集约化管理，并对生猪养殖产生的粪污进行减量化、无害化、资源化综合利用，对改善项目区域农业生态环境将产生积极作用。</w:t>
      </w:r>
    </w:p>
    <w:bookmarkEnd w:id="411"/>
    <w:p>
      <w:pPr>
        <w:pStyle w:val="5"/>
        <w:spacing w:before="62" w:after="62"/>
      </w:pPr>
      <w:r>
        <w:rPr>
          <w:rFonts w:hint="eastAsia"/>
        </w:rPr>
        <w:t>4.2.7土壤</w:t>
      </w:r>
      <w:r>
        <w:t>环境影响分析</w:t>
      </w:r>
    </w:p>
    <w:p>
      <w:pPr>
        <w:ind w:firstLine="480"/>
      </w:pPr>
      <w:r>
        <w:rPr>
          <w:rFonts w:hint="eastAsia"/>
        </w:rPr>
        <w:t>本项目土壤为三级评价，采用定性描述法进行评价。</w:t>
      </w:r>
    </w:p>
    <w:p>
      <w:pPr>
        <w:ind w:firstLine="480"/>
      </w:pPr>
      <w:r>
        <w:rPr>
          <w:rFonts w:hint="eastAsia"/>
        </w:rPr>
        <w:t xml:space="preserve">土壤污染与大气、水体污染有所不同，它是以食物链方式通过粮食、蔬菜、水果、茶叶及草食性动物（如家禽家畜）乃至肉食性动物等后进入人体而影响人群健康，是一个逐步累积的过程，具有隐蔽性和潜伏性。土壤一旦遭受污染后，不但很难得到清除，而且随着有毒有害污染物的逐年进入而不断在土体中蓄集，有些污染物甚至在土体中可能转化为毒性更大的化合物。 </w:t>
      </w:r>
    </w:p>
    <w:p>
      <w:pPr>
        <w:ind w:firstLine="480"/>
      </w:pPr>
      <w:r>
        <w:rPr>
          <w:rFonts w:hint="eastAsia"/>
        </w:rPr>
        <w:t>土壤污染主要来自废水、废气、固体废物污染，重在预防，污染后的修复成分十分高昂。本项目产生的污水和粪污渗滤液含有高浓度的有机物及病原微生物，寄生虫卵等，本项目危险废物暂存间、废水收集池以及污水管线若没有适当的防漏措施，其中的有害组分渗出后，很容易经过雨水淋溶、地表径流侵蚀而渗入土壤，杀死土壤中的微生物，破坏微生物与周围环境构成系统的平衡，导致草木不生，对于耕地则造成大面积的减产、影响食品安全，可能会污染周围的土壤，并经渗漏污染地下水。因此为有效防治土壤环境污染，本项目采取以下措施：</w:t>
      </w:r>
    </w:p>
    <w:p>
      <w:pPr>
        <w:ind w:firstLine="480"/>
      </w:pPr>
      <w:r>
        <w:rPr>
          <w:rFonts w:hint="eastAsia"/>
        </w:rPr>
        <w:t>①猪舍的地面、污水池、污水沟等均要求采取防渗措施，地面要求采用水泥地面，利于排水但不透水，便于清扫消毒；墙壁要求离地1.0~1.5m设水泥墙裙，水泥应优先选用硅酸盐水泥。</w:t>
      </w:r>
    </w:p>
    <w:p>
      <w:pPr>
        <w:ind w:firstLine="480"/>
      </w:pPr>
      <w:r>
        <w:rPr>
          <w:rFonts w:hint="eastAsia"/>
        </w:rPr>
        <w:t>猪舍地基至少高出地面10cm，地基结实，门前至少有5%的坡度，防雨淋，防渗漏，采用水泥地面，墙壁要求离地1.0~1.5m设水泥墙裙，水泥应优先选用硅酸盐水泥。</w:t>
      </w:r>
    </w:p>
    <w:p>
      <w:pPr>
        <w:ind w:firstLine="480"/>
      </w:pPr>
      <w:r>
        <w:rPr>
          <w:rFonts w:hint="eastAsia"/>
        </w:rPr>
        <w:t>②场区内污水收集管网及污水排水专管采取混凝土结构，</w:t>
      </w:r>
      <w:r>
        <w:t>专用排污管道采用混凝土暗管，接口必须密封紧密；</w:t>
      </w:r>
    </w:p>
    <w:p>
      <w:pPr>
        <w:ind w:firstLine="480"/>
      </w:pPr>
      <w:r>
        <w:rPr>
          <w:rFonts w:hint="eastAsia"/>
        </w:rPr>
        <w:t>③</w:t>
      </w:r>
      <w:r>
        <w:t>污水处理设施各构筑物必须根据《畜禽养殖业污染治理工程技术规范》要求采取防渗措施；</w:t>
      </w:r>
    </w:p>
    <w:p>
      <w:pPr>
        <w:ind w:firstLine="480"/>
      </w:pPr>
      <w:r>
        <w:rPr>
          <w:rFonts w:hint="eastAsia"/>
        </w:rPr>
        <w:t>④发酵车间</w:t>
      </w:r>
      <w:r>
        <w:t>根据《畜禽养殖业污染治理工程技术规范》要求采取防渗措施；</w:t>
      </w:r>
    </w:p>
    <w:p>
      <w:pPr>
        <w:ind w:firstLine="480"/>
      </w:pPr>
      <w:r>
        <w:rPr>
          <w:rFonts w:hint="eastAsia"/>
        </w:rPr>
        <w:t>⑤发酵车间根据《畜禽养殖业污染防治技术规范》HJ/T81-2001做好防渗处理；</w:t>
      </w:r>
    </w:p>
    <w:p>
      <w:pPr>
        <w:ind w:firstLine="480"/>
      </w:pPr>
      <w:r>
        <w:rPr>
          <w:rFonts w:hint="eastAsia"/>
        </w:rPr>
        <w:t>⑥将本项目地下取水井作为地下水监测井，</w:t>
      </w:r>
      <w:r>
        <w:t>以便发现问题及时采取措施。</w:t>
      </w:r>
    </w:p>
    <w:p>
      <w:pPr>
        <w:ind w:firstLine="480"/>
      </w:pPr>
      <w:r>
        <w:rPr>
          <w:rFonts w:hint="eastAsia"/>
        </w:rPr>
        <w:t>本次</w:t>
      </w:r>
      <w:r>
        <w:t>评价认为，</w:t>
      </w:r>
      <w:r>
        <w:rPr>
          <w:rFonts w:hint="eastAsia"/>
        </w:rPr>
        <w:t>只要规范操作，加强管理，项目污水实现零排放，发生事故的概率极小，</w:t>
      </w:r>
      <w:r>
        <w:t>经采取以上防治措施后，不会对</w:t>
      </w:r>
      <w:r>
        <w:rPr>
          <w:rFonts w:hint="eastAsia"/>
        </w:rPr>
        <w:t>土壤</w:t>
      </w:r>
      <w:r>
        <w:t>造成污染影响</w:t>
      </w:r>
      <w:r>
        <w:rPr>
          <w:rFonts w:hint="eastAsia"/>
        </w:rPr>
        <w:t>，防治措施可行。</w:t>
      </w:r>
    </w:p>
    <w:p>
      <w:pPr>
        <w:pStyle w:val="4"/>
        <w:spacing w:before="62" w:after="62"/>
      </w:pPr>
      <w:bookmarkStart w:id="412" w:name="_Toc19645"/>
      <w:r>
        <w:rPr>
          <w:rFonts w:hint="eastAsia"/>
        </w:rPr>
        <w:t>4.3环境风险评价</w:t>
      </w:r>
      <w:bookmarkEnd w:id="412"/>
    </w:p>
    <w:p>
      <w:pPr>
        <w:pStyle w:val="5"/>
        <w:spacing w:before="62" w:after="62"/>
      </w:pPr>
      <w:r>
        <w:rPr>
          <w:rFonts w:hint="eastAsia"/>
        </w:rPr>
        <w:t>4.3.1环境风险评价目的</w:t>
      </w:r>
    </w:p>
    <w:p>
      <w:pPr>
        <w:ind w:firstLine="480"/>
      </w:pPr>
      <w:r>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防范、应急与减缓措施，以使建设项目事故率、损失和环境影响达到可接受水平。</w:t>
      </w:r>
    </w:p>
    <w:p>
      <w:pPr>
        <w:pStyle w:val="5"/>
        <w:spacing w:before="62" w:after="62"/>
      </w:pPr>
      <w:r>
        <w:rPr>
          <w:rFonts w:hint="eastAsia"/>
        </w:rPr>
        <w:t>4.3.2环境风险评价的范围</w:t>
      </w:r>
    </w:p>
    <w:p>
      <w:pPr>
        <w:ind w:firstLine="480"/>
      </w:pPr>
      <w:r>
        <w:t>根据《建设项目环境风险评价技术导则》中所规定的物质风险识别范围，本评价从本工程所涉及的主要原辅材料以及生产过程排放的“三废”污染物等进行分析排除，确定有可能产生环境风险的物质。</w:t>
      </w:r>
      <w:r>
        <w:rPr>
          <w:rFonts w:hint="eastAsia"/>
        </w:rPr>
        <w:t>根据本项目风险评价等级判定：</w:t>
      </w:r>
    </w:p>
    <w:p>
      <w:pPr>
        <w:pStyle w:val="11"/>
      </w:pPr>
      <w:r>
        <w:t xml:space="preserve">表4.3- </w:t>
      </w:r>
      <w:r>
        <w:fldChar w:fldCharType="begin"/>
      </w:r>
      <w:r>
        <w:instrText xml:space="preserve"> SEQ 表4.3- \* ARABIC </w:instrText>
      </w:r>
      <w:r>
        <w:fldChar w:fldCharType="separate"/>
      </w:r>
      <w:r>
        <w:t>1</w:t>
      </w:r>
      <w:r>
        <w:fldChar w:fldCharType="end"/>
      </w:r>
      <w:r>
        <w:rPr>
          <w:rFonts w:hint="eastAsia"/>
        </w:rPr>
        <w:t xml:space="preserve">  </w:t>
      </w:r>
      <w:r>
        <w:t>风险评价等级判据表</w:t>
      </w:r>
    </w:p>
    <w:tbl>
      <w:tblPr>
        <w:tblStyle w:val="21"/>
        <w:tblW w:w="87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58"/>
        <w:gridCol w:w="1395"/>
        <w:gridCol w:w="1726"/>
        <w:gridCol w:w="1724"/>
        <w:gridCol w:w="175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2158" w:type="dxa"/>
            <w:vAlign w:val="center"/>
          </w:tcPr>
          <w:p>
            <w:pPr>
              <w:pStyle w:val="8"/>
              <w:ind w:firstLine="0" w:firstLineChars="0"/>
            </w:pPr>
            <w:r>
              <w:t>环境风险潜势</w:t>
            </w:r>
          </w:p>
        </w:tc>
        <w:tc>
          <w:tcPr>
            <w:tcW w:w="1395" w:type="dxa"/>
            <w:vAlign w:val="center"/>
          </w:tcPr>
          <w:p>
            <w:pPr>
              <w:pStyle w:val="8"/>
              <w:ind w:firstLine="0" w:firstLineChars="0"/>
            </w:pPr>
            <w:r>
              <w:t xml:space="preserve">Ⅳ、Ⅳ+ </w:t>
            </w:r>
          </w:p>
        </w:tc>
        <w:tc>
          <w:tcPr>
            <w:tcW w:w="1726" w:type="dxa"/>
            <w:vAlign w:val="center"/>
          </w:tcPr>
          <w:p>
            <w:pPr>
              <w:pStyle w:val="8"/>
              <w:ind w:firstLine="0" w:firstLineChars="0"/>
            </w:pPr>
            <w:r>
              <w:t>Ⅲ</w:t>
            </w:r>
          </w:p>
        </w:tc>
        <w:tc>
          <w:tcPr>
            <w:tcW w:w="1724" w:type="dxa"/>
            <w:vAlign w:val="center"/>
          </w:tcPr>
          <w:p>
            <w:pPr>
              <w:pStyle w:val="8"/>
              <w:ind w:firstLine="0" w:firstLineChars="0"/>
            </w:pPr>
            <w:r>
              <w:t>Ⅱ</w:t>
            </w:r>
          </w:p>
        </w:tc>
        <w:tc>
          <w:tcPr>
            <w:tcW w:w="1754" w:type="dxa"/>
            <w:vAlign w:val="center"/>
          </w:tcPr>
          <w:p>
            <w:pPr>
              <w:pStyle w:val="8"/>
              <w:ind w:firstLine="0" w:firstLineChars="0"/>
            </w:pPr>
            <w: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2158" w:type="dxa"/>
            <w:vAlign w:val="center"/>
          </w:tcPr>
          <w:p>
            <w:pPr>
              <w:pStyle w:val="8"/>
              <w:ind w:firstLine="0" w:firstLineChars="0"/>
            </w:pPr>
            <w:r>
              <w:t>评价工作等级</w:t>
            </w:r>
          </w:p>
        </w:tc>
        <w:tc>
          <w:tcPr>
            <w:tcW w:w="1395" w:type="dxa"/>
            <w:vAlign w:val="center"/>
          </w:tcPr>
          <w:p>
            <w:pPr>
              <w:pStyle w:val="8"/>
              <w:ind w:firstLine="0" w:firstLineChars="0"/>
            </w:pPr>
            <w:r>
              <w:t>一</w:t>
            </w:r>
          </w:p>
        </w:tc>
        <w:tc>
          <w:tcPr>
            <w:tcW w:w="1726" w:type="dxa"/>
            <w:vAlign w:val="center"/>
          </w:tcPr>
          <w:p>
            <w:pPr>
              <w:pStyle w:val="8"/>
              <w:ind w:firstLine="0" w:firstLineChars="0"/>
            </w:pPr>
            <w:r>
              <w:t>二</w:t>
            </w:r>
          </w:p>
        </w:tc>
        <w:tc>
          <w:tcPr>
            <w:tcW w:w="1724" w:type="dxa"/>
            <w:vAlign w:val="center"/>
          </w:tcPr>
          <w:p>
            <w:pPr>
              <w:pStyle w:val="8"/>
              <w:ind w:firstLine="0" w:firstLineChars="0"/>
            </w:pPr>
            <w:r>
              <w:t>三</w:t>
            </w:r>
          </w:p>
        </w:tc>
        <w:tc>
          <w:tcPr>
            <w:tcW w:w="1754" w:type="dxa"/>
            <w:vAlign w:val="center"/>
          </w:tcPr>
          <w:p>
            <w:pPr>
              <w:pStyle w:val="8"/>
              <w:ind w:firstLine="0" w:firstLineChars="0"/>
            </w:pPr>
            <w:r>
              <w:t>简单分析a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8757" w:type="dxa"/>
            <w:gridSpan w:val="5"/>
            <w:vAlign w:val="center"/>
          </w:tcPr>
          <w:p>
            <w:pPr>
              <w:pStyle w:val="8"/>
              <w:ind w:firstLine="0" w:firstLineChars="0"/>
            </w:pPr>
            <w:r>
              <w:t>a 是相对于详细评价工作内容而言，在描述危险物质、环境影响途径、环境危害后果、风险防范措施等方面给出定性的说明</w:t>
            </w:r>
          </w:p>
        </w:tc>
      </w:tr>
    </w:tbl>
    <w:p>
      <w:pPr>
        <w:ind w:firstLine="480"/>
      </w:pPr>
      <w:r>
        <w:t>本项目为生态养殖业，养殖过程使用的主要原辅料不涉及危险化学品等环境风险物质，本项目计算的Q&lt;1，</w:t>
      </w:r>
      <w:r>
        <w:rPr>
          <w:rFonts w:hint="eastAsia"/>
        </w:rPr>
        <w:t>环境风险潜势为I，故</w:t>
      </w:r>
      <w:r>
        <w:t>本项目只需要进行简单分析。</w:t>
      </w:r>
    </w:p>
    <w:p>
      <w:pPr>
        <w:ind w:firstLine="480"/>
      </w:pPr>
      <w:r>
        <w:t>本项目的风险物质主要为养殖产生的粪污，在机物含量较高。项目的事故风险类型确定为废水事故排放对地表水体污染，渗入地下可造成地下水水质污染</w:t>
      </w:r>
      <w:r>
        <w:rPr>
          <w:rFonts w:hint="eastAsia"/>
        </w:rPr>
        <w:t>。</w:t>
      </w:r>
    </w:p>
    <w:p>
      <w:pPr>
        <w:pStyle w:val="5"/>
        <w:spacing w:before="62" w:after="62"/>
      </w:pPr>
      <w:r>
        <w:rPr>
          <w:rFonts w:hint="eastAsia"/>
        </w:rPr>
        <w:t>4.3.3环境风险分析</w:t>
      </w:r>
    </w:p>
    <w:p>
      <w:pPr>
        <w:ind w:firstLine="480"/>
      </w:pPr>
      <w:bookmarkStart w:id="413" w:name="_Toc468689268"/>
      <w:r>
        <w:rPr>
          <w:rFonts w:hint="eastAsia"/>
        </w:rPr>
        <w:t>4.3.3.1环境卫生风险事故防范措施</w:t>
      </w:r>
      <w:bookmarkEnd w:id="413"/>
    </w:p>
    <w:p>
      <w:pPr>
        <w:ind w:firstLine="480"/>
      </w:pPr>
      <w:r>
        <w:t>（1）设计中考虑猪场布局合理，采取分离的布置方法，按猪的不同饲养阶段设置猪舍，并按一定规模进行分区饲养。非生产人员不得随意进入生产区。生产区封闭隔离，工程设计和工艺流程符合动物防疫要求；生产区周围应有防护设施，进入生产区必须消毒。</w:t>
      </w:r>
    </w:p>
    <w:p>
      <w:pPr>
        <w:ind w:firstLine="480"/>
      </w:pPr>
      <w:r>
        <w:t>（2）建立正常的卫生防疫制度，按计划对猪舍进行清扫、消毒按计划对猪群实施免疫程序，建立免疫档案。</w:t>
      </w:r>
    </w:p>
    <w:p>
      <w:pPr>
        <w:ind w:firstLine="480"/>
      </w:pPr>
      <w:r>
        <w:t>（3）健全检验、检疫制度，强化检验、检疫手段，场部配备兽医，加强对疾病的预防和医治。出售市场的产品不允许有病，病死猪必须焚烧处理，不得乱扔污染环境。</w:t>
      </w:r>
    </w:p>
    <w:p>
      <w:pPr>
        <w:ind w:firstLine="480"/>
      </w:pPr>
      <w:r>
        <w:t>（4）猪只饲养采用全进全出制度，为各阶段猪舍的清洗、消毒、阻断疫病传播创造条件，能有效控制和消灭场内已有病源。</w:t>
      </w:r>
    </w:p>
    <w:p>
      <w:pPr>
        <w:ind w:firstLine="480"/>
      </w:pPr>
      <w:r>
        <w:rPr>
          <w:rFonts w:hint="eastAsia"/>
        </w:rPr>
        <w:t>4.3.3.2污水事故排放影响分析</w:t>
      </w:r>
    </w:p>
    <w:p>
      <w:pPr>
        <w:ind w:firstLine="480"/>
      </w:pPr>
      <w:r>
        <w:rPr>
          <w:rFonts w:hint="eastAsia"/>
        </w:rPr>
        <w:t>本项目污水事故排放是指粪污水未经处理，直接排放的情况。废水直接外排会对地表水、地下水、土壤、大气环境等产生不利影响。</w:t>
      </w:r>
    </w:p>
    <w:p>
      <w:pPr>
        <w:ind w:firstLine="480"/>
      </w:pPr>
      <w:r>
        <w:rPr>
          <w:rFonts w:hint="eastAsia"/>
        </w:rPr>
        <w:t>（1）土壤</w:t>
      </w:r>
    </w:p>
    <w:p>
      <w:pPr>
        <w:ind w:firstLine="480"/>
      </w:pPr>
      <w:r>
        <w:rPr>
          <w:rFonts w:hint="eastAsia"/>
        </w:rPr>
        <w:t>废水中高浓度的有机物和氨氮会使土壤环境质量恶化。当粪污水直接外排量超过了土壤的自净能力，便会出现降解不完成和厌氧腐化，产生恶臭物质和亚硝酸盐等有害物质，引起土壤的组成和性状发生改变，破坏其原有的基本功能，作物徒长、倒伏、晚熟或不熟，造成减产，甚至毒害作物，大面积地腐坏。此外，土壤对病原微生物的自净能力下降，不仅增加了净化难度，而且容易造成生物污染和疫病传播。</w:t>
      </w:r>
    </w:p>
    <w:p>
      <w:pPr>
        <w:ind w:firstLine="480"/>
      </w:pPr>
      <w:r>
        <w:rPr>
          <w:rFonts w:hint="eastAsia"/>
        </w:rPr>
        <w:t>（2）大气</w:t>
      </w:r>
    </w:p>
    <w:p>
      <w:pPr>
        <w:ind w:firstLine="480"/>
      </w:pPr>
      <w:r>
        <w:rPr>
          <w:rFonts w:hint="eastAsia"/>
        </w:rPr>
        <w:t>废水会散发出高浓度的恶臭气体，造成空气中含氧量下降，污浊度上升，轻则降低空气质量，产生异味妨碍人畜健康生长，重则引起呼吸系统疾病，造成人畜死亡。未经任何处理的猪场废水含有大量的微生物，在风的作用下，极易扩散在空气中，可能引起口蹄疫和大肠埃希菌、炭疽、布氏杆菌、真菌孢子等引起的疫病传播，危害人畜健康。</w:t>
      </w:r>
    </w:p>
    <w:p>
      <w:pPr>
        <w:ind w:firstLine="480"/>
      </w:pPr>
      <w:r>
        <w:rPr>
          <w:rFonts w:hint="eastAsia"/>
        </w:rPr>
        <w:t>（3）地表水</w:t>
      </w:r>
    </w:p>
    <w:p>
      <w:pPr>
        <w:ind w:firstLine="480"/>
      </w:pPr>
      <w:r>
        <w:rPr>
          <w:rFonts w:hint="eastAsia"/>
        </w:rPr>
        <w:t>猪场高浓度污水进入自然水体后，使水中有机物、固体悬浮物和微生物等含量增高，改变水体的物理、化学和生物组成群落，使水质变差。粪污中含有大量的病原微生物将通过水体或水生动植物进行扩散传播，危害人畜健康。此外，粪污中大量的有机物生物降解和水生生物的大量繁殖，消耗水体中的溶解氧，使水体变黑发臭，最终造成水生生物大量死亡，产生水体富营养化，失去水体原有功能，项目周边水体及下游汇入河流道水河COD、氨氮将出现严重超标现象。</w:t>
      </w:r>
    </w:p>
    <w:p>
      <w:pPr>
        <w:ind w:firstLine="480"/>
      </w:pPr>
      <w:r>
        <w:rPr>
          <w:rFonts w:hint="eastAsia"/>
        </w:rPr>
        <w:t>（4）地下水</w:t>
      </w:r>
    </w:p>
    <w:p>
      <w:pPr>
        <w:ind w:firstLine="480"/>
      </w:pPr>
      <w:r>
        <w:rPr>
          <w:rFonts w:hint="eastAsia"/>
        </w:rPr>
        <w:t>猪场高浓度污水直接排入土壤，废水中的氮、磷以及其他有毒有害成分渗入地下污染地下水，导致地下水水质下降，严重时，造成地下水发黑发臭，推动功能，一旦造成地下水污染，极难治理恢复，从面造成持久性污染。</w:t>
      </w:r>
    </w:p>
    <w:p>
      <w:pPr>
        <w:pStyle w:val="5"/>
        <w:spacing w:before="62" w:after="62"/>
      </w:pPr>
      <w:r>
        <w:rPr>
          <w:rFonts w:hint="eastAsia"/>
        </w:rPr>
        <w:t>4.3.4</w:t>
      </w:r>
      <w:r>
        <w:t>环境风险措施</w:t>
      </w:r>
    </w:p>
    <w:p>
      <w:pPr>
        <w:ind w:firstLine="480"/>
      </w:pPr>
      <w:r>
        <w:rPr>
          <w:rFonts w:hint="eastAsia"/>
        </w:rPr>
        <w:t>本</w:t>
      </w:r>
      <w:r>
        <w:t>评价建议采取以下措施来避免此类现象的发生：</w:t>
      </w:r>
    </w:p>
    <w:p>
      <w:pPr>
        <w:ind w:firstLine="480" w:firstLineChars="0"/>
      </w:pPr>
      <w:r>
        <w:rPr>
          <w:rFonts w:hint="eastAsia"/>
        </w:rPr>
        <w:t>①猪舍</w:t>
      </w:r>
      <w:r>
        <w:t>按照《畜禽养殖业污染防治技术规范》（HJ/T81-2001）的规定要求搞好防渗措施，采用水泥地面，防止渗滤液泄漏污染地下水；</w:t>
      </w:r>
    </w:p>
    <w:p>
      <w:pPr>
        <w:ind w:firstLine="480"/>
      </w:pPr>
      <w:r>
        <w:rPr>
          <w:rFonts w:hint="eastAsia"/>
        </w:rPr>
        <w:t>②</w:t>
      </w:r>
      <w:r>
        <w:t>养殖场的排水系统应实行雨水和污水收集输送系统分离，避免雨水进入</w:t>
      </w:r>
      <w:r>
        <w:rPr>
          <w:rFonts w:hint="eastAsia"/>
        </w:rPr>
        <w:t>废水发酵设施中</w:t>
      </w:r>
      <w:r>
        <w:t>；</w:t>
      </w:r>
    </w:p>
    <w:p>
      <w:pPr>
        <w:ind w:firstLine="480"/>
      </w:pPr>
      <w:r>
        <w:rPr>
          <w:rFonts w:hint="eastAsia"/>
        </w:rPr>
        <w:t>③猪舍、发酵床等构筑物</w:t>
      </w:r>
      <w:r>
        <w:t>周围设置截水沟，防止雨水进入造成溢流污染地下水；</w:t>
      </w:r>
    </w:p>
    <w:p>
      <w:pPr>
        <w:ind w:firstLine="480"/>
      </w:pPr>
      <w:r>
        <w:rPr>
          <w:rFonts w:hint="eastAsia"/>
        </w:rPr>
        <w:t>④</w:t>
      </w:r>
      <w:r>
        <w:t>废水收集、贮存设施和管道应做好防渗防漏措施，并经常检查。</w:t>
      </w:r>
    </w:p>
    <w:p>
      <w:pPr>
        <w:ind w:firstLine="480"/>
      </w:pPr>
      <w:r>
        <w:rPr>
          <w:rFonts w:hint="eastAsia"/>
        </w:rPr>
        <w:t>⑤加强事故监控。企业内部</w:t>
      </w:r>
      <w:r>
        <w:t>人员应定期巡检，对于管道、污水处理装备要定期进行维护。及时发现各种可能引起养殖废水事故排放的异常情形，并在相关人员的配合下消除事故隐患。</w:t>
      </w:r>
    </w:p>
    <w:p>
      <w:pPr>
        <w:ind w:firstLine="480"/>
      </w:pPr>
      <w:r>
        <w:rPr>
          <w:rFonts w:hint="eastAsia"/>
        </w:rPr>
        <w:t>⑥制定企业环境风险事故应急预案，备好应急物资，加强人员应急培训。</w:t>
      </w:r>
    </w:p>
    <w:p>
      <w:pPr>
        <w:pStyle w:val="5"/>
        <w:spacing w:before="62" w:after="62"/>
      </w:pPr>
      <w:bookmarkStart w:id="414" w:name="_Toc363150037"/>
      <w:bookmarkStart w:id="415" w:name="_Toc476323455"/>
      <w:r>
        <w:rPr>
          <w:rFonts w:hint="eastAsia"/>
        </w:rPr>
        <w:t>4.3.5</w:t>
      </w:r>
      <w:r>
        <w:t>风险评价结论</w:t>
      </w:r>
      <w:bookmarkEnd w:id="414"/>
      <w:bookmarkEnd w:id="415"/>
    </w:p>
    <w:p>
      <w:pPr>
        <w:ind w:firstLine="480"/>
      </w:pPr>
      <w:r>
        <w:t>综合分析，该项目风险评价结论如下：</w:t>
      </w:r>
    </w:p>
    <w:p>
      <w:pPr>
        <w:ind w:firstLine="480"/>
        <w:sectPr>
          <w:pgSz w:w="11850" w:h="16783"/>
          <w:pgMar w:top="1440" w:right="1800" w:bottom="1440" w:left="1800" w:header="851" w:footer="1134" w:gutter="0"/>
          <w:cols w:space="720" w:num="1"/>
          <w:docGrid w:type="lines" w:linePitch="312" w:charSpace="0"/>
        </w:sectPr>
      </w:pPr>
      <w:r>
        <w:t>评价认为，该项目废水事故性排放的可能性不大。企业采取相应的废水风险防范措施以及加强管理后，该风险是可</w:t>
      </w:r>
      <w:r>
        <w:rPr>
          <w:rFonts w:hint="eastAsia"/>
        </w:rPr>
        <w:t>防控</w:t>
      </w:r>
      <w:r>
        <w:t>的。</w:t>
      </w:r>
    </w:p>
    <w:p>
      <w:pPr>
        <w:pStyle w:val="2"/>
      </w:pPr>
      <w:bookmarkStart w:id="416" w:name="_Toc468689227"/>
      <w:bookmarkStart w:id="417" w:name="_Toc289344583"/>
      <w:bookmarkStart w:id="418" w:name="_Toc26606"/>
      <w:r>
        <w:t>第五章</w:t>
      </w:r>
      <w:r>
        <w:rPr>
          <w:rFonts w:hint="eastAsia"/>
        </w:rPr>
        <w:t xml:space="preserve">  </w:t>
      </w:r>
      <w:r>
        <w:t>环境保护措施</w:t>
      </w:r>
      <w:bookmarkEnd w:id="416"/>
      <w:bookmarkEnd w:id="417"/>
      <w:r>
        <w:t>及经济技术论证</w:t>
      </w:r>
      <w:bookmarkEnd w:id="418"/>
    </w:p>
    <w:p>
      <w:pPr>
        <w:pStyle w:val="4"/>
        <w:spacing w:before="62" w:after="62"/>
      </w:pPr>
      <w:bookmarkStart w:id="419" w:name="_Toc22576"/>
      <w:bookmarkStart w:id="420" w:name="_Toc468689236"/>
      <w:bookmarkStart w:id="421" w:name="_Toc289344585"/>
      <w:r>
        <w:rPr>
          <w:rFonts w:hint="eastAsia"/>
        </w:rPr>
        <w:t>5.1</w:t>
      </w:r>
      <w:r>
        <w:t>施工期污染防治措施及可行性论证</w:t>
      </w:r>
      <w:bookmarkEnd w:id="419"/>
    </w:p>
    <w:p>
      <w:pPr>
        <w:ind w:firstLine="480"/>
      </w:pPr>
      <w:r>
        <w:rPr>
          <w:rFonts w:hint="eastAsia"/>
        </w:rPr>
        <w:t>建设方应在施工合同中明确施工方的有关环境保护条款的内容，明确双方的义务和职责，加强施工队伍的环保意识，做好施工规划，明确施工范围和安排。</w:t>
      </w:r>
      <w:r>
        <w:t>施工单位应根据《建设工程施工现场管理规定》规定设置施工标志牌、现场平面布置图和安全生产、消防保卫、环境保护、文明施工制度板</w:t>
      </w:r>
      <w:r>
        <w:rPr>
          <w:rFonts w:hint="eastAsia"/>
        </w:rPr>
        <w:t>，</w:t>
      </w:r>
      <w:r>
        <w:t>并根据气象、季节合理安排施工时间，风力大于4级时，停止有扬尘产生的各种施工。</w:t>
      </w:r>
      <w:r>
        <w:rPr>
          <w:rFonts w:hint="eastAsia"/>
        </w:rPr>
        <w:t>施工期建设方应设专人对施工期的环境影响进行管理和监督，并和交通部门及有关部门一起做好交通和有关的管理，及时处理有关问题。</w:t>
      </w:r>
    </w:p>
    <w:p>
      <w:pPr>
        <w:pStyle w:val="5"/>
        <w:spacing w:before="62" w:after="62"/>
      </w:pPr>
      <w:r>
        <w:rPr>
          <w:rFonts w:hint="eastAsia"/>
        </w:rPr>
        <w:t>5.1.1</w:t>
      </w:r>
      <w:r>
        <w:t>施工期大气污染防治措施</w:t>
      </w:r>
    </w:p>
    <w:p>
      <w:pPr>
        <w:ind w:firstLine="480"/>
      </w:pPr>
      <w:r>
        <w:rPr>
          <w:lang w:val="zh-CN"/>
        </w:rPr>
        <w:t>为使拟建项目在施工期扬尘对周围环境空气的影响减少到尽可能小的限度，严格落实</w:t>
      </w:r>
      <w:r>
        <w:t>《常德市建筑施工扬尘防治管理规定》（常建通〔2017〕50号）</w:t>
      </w:r>
      <w:r>
        <w:rPr>
          <w:lang w:val="zh-CN"/>
        </w:rPr>
        <w:t>相关规定，建议采取以下防护措施：</w:t>
      </w:r>
    </w:p>
    <w:p>
      <w:pPr>
        <w:ind w:firstLine="480"/>
      </w:pPr>
      <w:r>
        <w:rPr>
          <w:rFonts w:hint="eastAsia"/>
          <w:lang w:val="zh-CN"/>
        </w:rPr>
        <w:t>（</w:t>
      </w:r>
      <w:r>
        <w:rPr>
          <w:lang w:val="zh-CN"/>
        </w:rPr>
        <w:t>1</w:t>
      </w:r>
      <w:r>
        <w:rPr>
          <w:rFonts w:hint="eastAsia"/>
          <w:lang w:val="zh-CN"/>
        </w:rPr>
        <w:t>）</w:t>
      </w:r>
      <w:r>
        <w:rPr>
          <w:lang w:val="zh-CN"/>
        </w:rPr>
        <w:t>对施工作业面、临时土堆、施工道路勤洒水，使其保持一定的湿度，减小起尘量。根据一般情况下的洒水实验效果，每天洒水4-5次，可有效地控制施工扬尘，可使扬尘减少70%左右，可将TSP的污染距离缩小到20-50m范围内，可见洒水后扬尘对环境的影响很小。</w:t>
      </w:r>
    </w:p>
    <w:p>
      <w:pPr>
        <w:ind w:firstLine="480"/>
      </w:pPr>
      <w:r>
        <w:rPr>
          <w:rFonts w:hint="eastAsia"/>
          <w:lang w:val="zh-CN"/>
        </w:rPr>
        <w:t>（</w:t>
      </w:r>
      <w:r>
        <w:rPr>
          <w:lang w:val="zh-CN"/>
        </w:rPr>
        <w:t>2</w:t>
      </w:r>
      <w:r>
        <w:rPr>
          <w:rFonts w:hint="eastAsia"/>
          <w:lang w:val="zh-CN"/>
        </w:rPr>
        <w:t>）</w:t>
      </w:r>
      <w:r>
        <w:rPr>
          <w:lang w:val="zh-CN"/>
        </w:rPr>
        <w:t>对细砂、水泥、临时土堆等易扬尘材料堆场加盖帆布之类围布进行遮蔽，防止扬尘的扩散；对施工场地内的建筑垃圾以及弃土应及时处理、清运、以减少占地，防止扬尘污染，改善施工场地的环境。土石方及地下工程施工过程中，未开挖部分应当用防尘网覆盖；做到随挖随外运，减少开挖过程中土方裸露时间；施工现场土方开挖后应尽快回填，回填后的地面和不能及时回填的裸露场地，应采取混凝土硬化或防尘网覆盖的防尘措施。</w:t>
      </w:r>
    </w:p>
    <w:p>
      <w:pPr>
        <w:ind w:firstLine="480"/>
      </w:pPr>
      <w:r>
        <w:rPr>
          <w:rFonts w:hint="eastAsia"/>
          <w:lang w:val="zh-CN"/>
        </w:rPr>
        <w:t>（</w:t>
      </w:r>
      <w:r>
        <w:rPr>
          <w:lang w:val="zh-CN"/>
        </w:rPr>
        <w:t>3</w:t>
      </w:r>
      <w:r>
        <w:rPr>
          <w:rFonts w:hint="eastAsia"/>
          <w:lang w:val="zh-CN"/>
        </w:rPr>
        <w:t>）</w:t>
      </w:r>
      <w:r>
        <w:rPr>
          <w:lang w:val="zh-CN"/>
        </w:rPr>
        <w:t>砌筑、抹灰时的落地灰应及时清扫，不得在未实施洒水等抑尘措施情况下进行直接清扫。</w:t>
      </w:r>
    </w:p>
    <w:p>
      <w:pPr>
        <w:ind w:firstLine="480"/>
      </w:pPr>
      <w:r>
        <w:rPr>
          <w:rFonts w:hint="eastAsia"/>
          <w:lang w:val="zh-CN"/>
        </w:rPr>
        <w:t>（</w:t>
      </w:r>
      <w:r>
        <w:rPr>
          <w:lang w:val="zh-CN"/>
        </w:rPr>
        <w:t>4</w:t>
      </w:r>
      <w:r>
        <w:rPr>
          <w:rFonts w:hint="eastAsia"/>
          <w:lang w:val="zh-CN"/>
        </w:rPr>
        <w:t>）</w:t>
      </w:r>
      <w:r>
        <w:rPr>
          <w:lang w:val="zh-CN"/>
        </w:rPr>
        <w:t>施工现场严禁大量堆码砂石、水泥、石灰等散体材料，必须使用预拌混凝土和预拌砂浆，严禁现场批量搅拌。对于少量的搅拌、粉碎、筛分、切割等作业活动，应在封闭条件下进行，并采取降尘防尘措施。零星水泥、石灰、砂石、粉煤灰、聚苯颗粒、陶粒、白灰、腻子粉、石膏粉等易产生扬尘的物料应当分类密闭存放，不能密闭的应当在其周围砌筑高度不小于0.5米的围挡，物料上方采取有效覆盖措施防止扬尘，并悬挂标识牌。</w:t>
      </w:r>
    </w:p>
    <w:p>
      <w:pPr>
        <w:ind w:firstLine="480"/>
      </w:pPr>
      <w:r>
        <w:rPr>
          <w:rFonts w:hint="eastAsia"/>
          <w:lang w:val="zh-CN"/>
        </w:rPr>
        <w:t>（</w:t>
      </w:r>
      <w:r>
        <w:rPr>
          <w:lang w:val="zh-CN"/>
        </w:rPr>
        <w:t>5</w:t>
      </w:r>
      <w:r>
        <w:rPr>
          <w:rFonts w:hint="eastAsia"/>
          <w:lang w:val="zh-CN"/>
        </w:rPr>
        <w:t>）</w:t>
      </w:r>
      <w:r>
        <w:rPr>
          <w:lang w:val="zh-CN"/>
        </w:rPr>
        <w:t>施工场地周围修建围墙围护，施工现场围墙范围内所有闲置场地应进行硬化或绿化，闲置场地裸露地面的裸露时间不得超过7天。闲置时间在2个月以内的可采用满铺防尘网覆盖，闲置时间在2个月及以上的必须硬化或绿化。减少施工场地扬尘散发距离。</w:t>
      </w:r>
    </w:p>
    <w:p>
      <w:pPr>
        <w:ind w:firstLine="480"/>
      </w:pPr>
      <w:r>
        <w:rPr>
          <w:rFonts w:hint="eastAsia"/>
          <w:lang w:val="zh-CN"/>
        </w:rPr>
        <w:t>（</w:t>
      </w:r>
      <w:r>
        <w:rPr>
          <w:lang w:val="zh-CN"/>
        </w:rPr>
        <w:t>6</w:t>
      </w:r>
      <w:r>
        <w:rPr>
          <w:rFonts w:hint="eastAsia"/>
          <w:lang w:val="zh-CN"/>
        </w:rPr>
        <w:t>）</w:t>
      </w:r>
      <w:r>
        <w:rPr>
          <w:lang w:val="zh-CN"/>
        </w:rPr>
        <w:t>施工现场的围挡上方必须沿围挡加装喷雾系统，每隔2米设置1个高压雾化喷头，施工区域要能形成大量水雾，吸附工地上扬起的粉尘颗粒物；施工期间除雨天外每小时开动喷雾系统不少于30分钟，时间间隔为10分钟。</w:t>
      </w:r>
    </w:p>
    <w:p>
      <w:pPr>
        <w:ind w:firstLine="480"/>
      </w:pPr>
      <w:r>
        <w:rPr>
          <w:rFonts w:hint="eastAsia"/>
          <w:lang w:val="zh-CN"/>
        </w:rPr>
        <w:t>（</w:t>
      </w:r>
      <w:r>
        <w:rPr>
          <w:lang w:val="zh-CN"/>
        </w:rPr>
        <w:t>7</w:t>
      </w:r>
      <w:r>
        <w:rPr>
          <w:rFonts w:hint="eastAsia"/>
          <w:lang w:val="zh-CN"/>
        </w:rPr>
        <w:t>）</w:t>
      </w:r>
      <w:r>
        <w:rPr>
          <w:lang w:val="zh-CN"/>
        </w:rPr>
        <w:t>施工现场所有车辆出口应按规定设置专用</w:t>
      </w:r>
      <w:r>
        <w:t>输车辆轮胎清洗设</w:t>
      </w:r>
      <w:r>
        <w:rPr>
          <w:lang w:val="zh-CN"/>
        </w:rPr>
        <w:t>施，包括冲洗平台、自动洗车机、过水槽、冲洗软管、冲洗枪、排水沟、</w:t>
      </w:r>
      <w:r>
        <w:t>泥浆沉淀设施、</w:t>
      </w:r>
      <w:r>
        <w:rPr>
          <w:lang w:val="zh-CN"/>
        </w:rPr>
        <w:t>循环用水装置等，必须收集洗车过程中产生的废水和泥浆，确保车辆不带泥上路、净车出场。</w:t>
      </w:r>
    </w:p>
    <w:p>
      <w:pPr>
        <w:ind w:firstLine="480"/>
      </w:pPr>
      <w:r>
        <w:rPr>
          <w:rFonts w:hint="eastAsia"/>
        </w:rPr>
        <w:t>（</w:t>
      </w:r>
      <w:r>
        <w:t>8</w:t>
      </w:r>
      <w:r>
        <w:rPr>
          <w:rFonts w:hint="eastAsia"/>
          <w:lang w:val="zh-CN"/>
        </w:rPr>
        <w:t>）</w:t>
      </w:r>
      <w:r>
        <w:rPr>
          <w:lang w:val="zh-CN"/>
        </w:rPr>
        <w:t>施工材料运输车辆运输水泥、砂石、</w:t>
      </w:r>
      <w:r>
        <w:t>垃圾和工程渣土</w:t>
      </w:r>
      <w:r>
        <w:rPr>
          <w:lang w:val="zh-CN"/>
        </w:rPr>
        <w:t>等</w:t>
      </w:r>
      <w:r>
        <w:t>建筑散体物料</w:t>
      </w:r>
      <w:r>
        <w:rPr>
          <w:lang w:val="zh-CN"/>
        </w:rPr>
        <w:t>，不宜装载过满，</w:t>
      </w:r>
      <w:r>
        <w:t>装载的垃圾渣土高度不得超过车辆槽帮上沿，</w:t>
      </w:r>
      <w:r>
        <w:rPr>
          <w:lang w:val="zh-CN"/>
        </w:rPr>
        <w:t>同时要采取相应的遮盖、封闭措施，避免土石方和水泥等洒落形成粉尘，对不慎洒落的沙土和建筑材料，应及时清理。</w:t>
      </w:r>
      <w:r>
        <w:t>零星建筑废土逐步推行袋装转运。</w:t>
      </w:r>
    </w:p>
    <w:p>
      <w:pPr>
        <w:ind w:firstLine="480"/>
      </w:pPr>
      <w:r>
        <w:rPr>
          <w:rFonts w:hint="eastAsia"/>
          <w:lang w:val="zh-CN"/>
        </w:rPr>
        <w:t>（</w:t>
      </w:r>
      <w:r>
        <w:rPr>
          <w:lang w:val="zh-CN"/>
        </w:rPr>
        <w:t>9</w:t>
      </w:r>
      <w:r>
        <w:rPr>
          <w:rFonts w:hint="eastAsia"/>
          <w:lang w:val="zh-CN"/>
        </w:rPr>
        <w:t>）</w:t>
      </w:r>
      <w:r>
        <w:t>主要交通道路经常洒水抑尘，减少运输过程中扬尘的产生。</w:t>
      </w:r>
    </w:p>
    <w:p>
      <w:pPr>
        <w:ind w:firstLine="480"/>
      </w:pPr>
      <w:r>
        <w:rPr>
          <w:rFonts w:hint="eastAsia"/>
        </w:rPr>
        <w:t>（</w:t>
      </w:r>
      <w:r>
        <w:t>10</w:t>
      </w:r>
      <w:r>
        <w:rPr>
          <w:rFonts w:hint="eastAsia"/>
        </w:rPr>
        <w:t>）</w:t>
      </w:r>
      <w:r>
        <w:t>建筑工地扫尾阶段，房内清扫出的垃圾必须装袋清运；外架拆除必须先用水喷洒后拆除，避免粉尘飞扬。</w:t>
      </w:r>
    </w:p>
    <w:p>
      <w:pPr>
        <w:ind w:firstLine="480"/>
      </w:pPr>
      <w:r>
        <w:t>综上所述，只要加强管理、切实落实好上述相应措施，施工场地扬尘对周围大气环境的影响将会大大降低，同时其对环境的影响也将随施工的结束而消失。</w:t>
      </w:r>
    </w:p>
    <w:p>
      <w:pPr>
        <w:ind w:firstLine="480"/>
      </w:pPr>
      <w:r>
        <w:t>此外，施工期的废气还有施工机械尾气，其为移动源分散排放，对周围环境空气影响较小。因此，本项目施工期的大气污染防治措施是可行的。</w:t>
      </w:r>
    </w:p>
    <w:p>
      <w:pPr>
        <w:pStyle w:val="5"/>
        <w:spacing w:before="62" w:after="62"/>
      </w:pPr>
      <w:bookmarkStart w:id="422" w:name="_Toc359485689"/>
      <w:r>
        <w:rPr>
          <w:rFonts w:hint="eastAsia"/>
        </w:rPr>
        <w:t>5.1.2</w:t>
      </w:r>
      <w:r>
        <w:t>施工期废水污染防治措施</w:t>
      </w:r>
      <w:bookmarkEnd w:id="422"/>
    </w:p>
    <w:p>
      <w:pPr>
        <w:ind w:firstLine="480"/>
      </w:pPr>
      <w:r>
        <w:t>通过对施工期排水的合理组织设计、文明施工、加强工地管理、并采取有效的处理措施，可降低施工期废水对环境的影响。主要措施有：</w:t>
      </w:r>
    </w:p>
    <w:p>
      <w:pPr>
        <w:ind w:firstLine="480"/>
      </w:pPr>
      <w:r>
        <w:t>（1）施工期间，施工单位应严格执行《建设工程施工场地文明施工及环境管理暂行规定》，施工产生的泥浆水不得随意排放，在施工场地四周设置临时排水沟、临时沉沙池，将施工泥浆水和地表径流收集，并采用混凝沉淀法进行处理，上清液回用于场地洒水抑尘，沉渣委托其他单位定期清运填埋。</w:t>
      </w:r>
    </w:p>
    <w:p>
      <w:pPr>
        <w:ind w:firstLine="480"/>
      </w:pPr>
      <w:bookmarkStart w:id="423" w:name="_Toc359485690"/>
      <w:r>
        <w:t>（2）使用性能良好的汽车和施工机械，及时保养和维修，防止漏油；加强工地化学品管理，不得随便丢弃涂料等化学品容器，避免含油污水和化学品流入地表水体造成污染。施工机械、运输车辆的清洗废水应集中采取设置隔油沉淀池处理，将设备、车辆洗涤水简单处理后循环使用，禁止此类废水直接外排，经处理后全部回用于洒水抑尘和清洗。</w:t>
      </w:r>
    </w:p>
    <w:p>
      <w:pPr>
        <w:ind w:firstLine="480"/>
      </w:pPr>
      <w:r>
        <w:t>（3）施工形成的疏松土层要及时压实，视工程进展情况用木桩、沙包和塑料膜等对松土进行覆盖和压实，减少地表水的携沙量和污染物含量。</w:t>
      </w:r>
    </w:p>
    <w:p>
      <w:pPr>
        <w:ind w:firstLine="480"/>
      </w:pPr>
      <w:r>
        <w:t>（4）</w:t>
      </w:r>
      <w:r>
        <w:rPr>
          <w:rFonts w:hint="eastAsia"/>
        </w:rPr>
        <w:t>建设临时厕所、化粪池等临时生活设施对生活污水进行收集处理，生活污水经处理后可回用于场地洒水或附近林地灌溉。</w:t>
      </w:r>
    </w:p>
    <w:p>
      <w:pPr>
        <w:ind w:firstLine="480"/>
      </w:pPr>
      <w:r>
        <w:t>（5）在施工场地建设临时蓄水池，将开挖基础产生的地下排水收集储存，并回用于施工场地洒水抑尘。</w:t>
      </w:r>
    </w:p>
    <w:p>
      <w:pPr>
        <w:ind w:firstLine="480"/>
      </w:pPr>
      <w:r>
        <w:t>（6）在施工场地设置循环水池，将设备冷却水降温后循环使用，以节约用水。</w:t>
      </w:r>
    </w:p>
    <w:p>
      <w:pPr>
        <w:ind w:firstLine="480"/>
      </w:pPr>
      <w:r>
        <w:t>（7）车辆、设备冲洗水循环使用。</w:t>
      </w:r>
    </w:p>
    <w:p>
      <w:pPr>
        <w:ind w:firstLine="480"/>
      </w:pPr>
      <w:r>
        <w:t>（8）建设导流沟。施工单位应严格执行建设工程施工场地文明施工及环境管理有关规定，在施工场地建设临时导流沟，将暴雨径流引至雨水管网排放，避免雨水横流现象。对施工污水的排放进行组织设计，严禁乱排、乱流污染施工场。</w:t>
      </w:r>
    </w:p>
    <w:p>
      <w:pPr>
        <w:ind w:firstLine="480"/>
      </w:pPr>
      <w:r>
        <w:t>（9）工程结束后，拆除临时设施，及时绿化植草。</w:t>
      </w:r>
    </w:p>
    <w:p>
      <w:pPr>
        <w:ind w:firstLine="480"/>
      </w:pPr>
      <w:r>
        <w:rPr>
          <w:rFonts w:hint="eastAsia"/>
        </w:rPr>
        <w:t>采取上述措施，经济合理，技术可行，处理效果明显，有效减少了施工期废水对水环境的影响，</w:t>
      </w:r>
      <w:r>
        <w:t>因此，项目施工期的水污染防治措施是可行的。</w:t>
      </w:r>
    </w:p>
    <w:p>
      <w:pPr>
        <w:pStyle w:val="5"/>
        <w:spacing w:before="62" w:after="62"/>
      </w:pPr>
      <w:r>
        <w:rPr>
          <w:rFonts w:hint="eastAsia"/>
        </w:rPr>
        <w:t>5.1.3噪声污染防治措施</w:t>
      </w:r>
    </w:p>
    <w:p>
      <w:pPr>
        <w:ind w:firstLine="480"/>
      </w:pPr>
      <w:r>
        <w:t>施工噪声的影响集中于施工时期、施工场界附近地域。因此，施工过程中必须严格遵守《建筑施工场界环境噪声排放标准》（GB12523－2011）标准的要求，严守操作规程，为减少噪声对</w:t>
      </w:r>
      <w:r>
        <w:rPr>
          <w:rFonts w:hint="eastAsia"/>
        </w:rPr>
        <w:t>周边</w:t>
      </w:r>
      <w:r>
        <w:t>声环境的影响，建议采取以下措施：</w:t>
      </w:r>
    </w:p>
    <w:p>
      <w:pPr>
        <w:ind w:firstLine="480"/>
      </w:pPr>
      <w:r>
        <w:t>（1）从声源上控制：</w:t>
      </w:r>
      <w:r>
        <w:rPr>
          <w:rFonts w:hint="eastAsia"/>
        </w:rPr>
        <w:t>合理选择施工机械，应选用低噪、高效的施工设备，施工过程中对施工设备进行维修保养，避免由于设备性能减退使噪声增大。</w:t>
      </w:r>
    </w:p>
    <w:p>
      <w:pPr>
        <w:ind w:firstLine="480"/>
      </w:pPr>
      <w:r>
        <w:t>（2）合理安排施工时间，避免在22：00-06：00之间进行高噪作业；因生产工艺上要求或者特殊需要必须连续作业的，必须有县级以上人民政府或者其有关主管部门的证明，必须公告附近居民。</w:t>
      </w:r>
    </w:p>
    <w:p>
      <w:pPr>
        <w:ind w:firstLine="480"/>
      </w:pPr>
      <w:r>
        <w:t>（3）物料运输应尽量安排在昼间进行，</w:t>
      </w:r>
      <w:r>
        <w:rPr>
          <w:rFonts w:hint="eastAsia"/>
        </w:rPr>
        <w:t>合理选择物料运输路线，物料运输过程中应尽量选择敏感目标相对较少的线路，从沿线敏感目标附近经过和出入现场时应低速行驶，禁鸣喇叭。</w:t>
      </w:r>
    </w:p>
    <w:p>
      <w:pPr>
        <w:ind w:firstLine="480"/>
      </w:pPr>
      <w:r>
        <w:t>（4）合理布置施工机械和施工强度，作好施工组织，并将高噪声设备安放在临时设备间内作业，以减缓噪声影响。</w:t>
      </w:r>
    </w:p>
    <w:p>
      <w:pPr>
        <w:ind w:firstLine="480"/>
      </w:pPr>
      <w:r>
        <w:t>（5）在不影响施工情况下将噪声设备尽量不集中安排，同时，对固定的机械设备尽量入棚操作；</w:t>
      </w:r>
    </w:p>
    <w:p>
      <w:pPr>
        <w:ind w:firstLine="480"/>
      </w:pPr>
      <w:r>
        <w:t>（</w:t>
      </w:r>
      <w:r>
        <w:rPr>
          <w:rFonts w:hint="eastAsia"/>
        </w:rPr>
        <w:t>6</w:t>
      </w:r>
      <w:r>
        <w:t>）施工现场不建混凝土搅拌站，所有混凝土均选用商品混凝土，避免混凝土搅拌机过程噪声对周围的影响；</w:t>
      </w:r>
    </w:p>
    <w:p>
      <w:pPr>
        <w:ind w:firstLine="480"/>
      </w:pPr>
      <w:r>
        <w:t>（</w:t>
      </w:r>
      <w:r>
        <w:rPr>
          <w:rFonts w:hint="eastAsia"/>
        </w:rPr>
        <w:t>7</w:t>
      </w:r>
      <w:r>
        <w:t>）施工时采用低振动的设备，对高振动设备采取减振措施，如在声源周围设置掩蔽物、加隔振垫等；</w:t>
      </w:r>
    </w:p>
    <w:p>
      <w:pPr>
        <w:ind w:firstLine="480"/>
      </w:pPr>
      <w:r>
        <w:t>（</w:t>
      </w:r>
      <w:r>
        <w:rPr>
          <w:rFonts w:hint="eastAsia"/>
        </w:rPr>
        <w:t>8</w:t>
      </w:r>
      <w:r>
        <w:t>）加强对施工场地的噪声管理，施工企业对施工噪声进行自律，文明施工，做到建筑材料的轻拿轻放，减少强烈碰撞产生的高噪声。</w:t>
      </w:r>
    </w:p>
    <w:p>
      <w:pPr>
        <w:ind w:firstLine="480"/>
      </w:pPr>
      <w:r>
        <w:rPr>
          <w:rFonts w:hint="eastAsia"/>
        </w:rPr>
        <w:t>采取上述措施之后，尽管施工噪声对环境产生一定的不利影响，但其影响具有阶段性、临时性和不固定性，一旦施工活动结束，施工噪声和振动也就随之结束，因而措施可行。</w:t>
      </w:r>
    </w:p>
    <w:p>
      <w:pPr>
        <w:pStyle w:val="5"/>
        <w:spacing w:before="62" w:after="62"/>
      </w:pPr>
      <w:r>
        <w:rPr>
          <w:rFonts w:hint="eastAsia"/>
        </w:rPr>
        <w:t>5.1.4</w:t>
      </w:r>
      <w:r>
        <w:t>固体废物防治措施</w:t>
      </w:r>
      <w:bookmarkEnd w:id="423"/>
    </w:p>
    <w:p>
      <w:pPr>
        <w:ind w:firstLine="480"/>
      </w:pPr>
      <w:r>
        <w:rPr>
          <w:rFonts w:hint="eastAsia"/>
        </w:rPr>
        <w:t>施工期间固体废物主要来自工程建设过程产生的施工建筑垃圾、施工人员的生活垃圾等。</w:t>
      </w:r>
      <w:r>
        <w:t>根据《城市建筑垃圾管理规定》（建设部令第139号）有关规定，建设单位和施工单位要重视和加强建筑垃圾的管理，采取积极措施防止其对环境的污染。环评建议采取如下措施：</w:t>
      </w:r>
    </w:p>
    <w:p>
      <w:pPr>
        <w:ind w:firstLine="480"/>
      </w:pPr>
      <w:r>
        <w:rPr>
          <w:rFonts w:hint="eastAsia"/>
        </w:rPr>
        <w:t>（1）工程建设过程中产生的</w:t>
      </w:r>
      <w:r>
        <w:t>建筑垃圾进行分类收集、分类暂存，能够回收利用的尽量回收综合利用，以节约宝贵的资源。</w:t>
      </w:r>
      <w:r>
        <w:rPr>
          <w:rFonts w:hint="eastAsia"/>
        </w:rPr>
        <w:t>如多余土方通过平整场地利用和填筑道路等措施，进行土石方平衡，避免固废进入环境，从根本上减少固体废物的处理量和固废运输对环境的影响。</w:t>
      </w:r>
    </w:p>
    <w:p>
      <w:pPr>
        <w:ind w:firstLine="480"/>
      </w:pPr>
      <w:r>
        <w:t>（</w:t>
      </w:r>
      <w:r>
        <w:rPr>
          <w:rFonts w:hint="eastAsia"/>
        </w:rPr>
        <w:t>2</w:t>
      </w:r>
      <w:r>
        <w:t>）要做好建筑垃圾暂存点的防护工作，避免风吹、雨淋散失或流失。</w:t>
      </w:r>
    </w:p>
    <w:p>
      <w:pPr>
        <w:ind w:firstLine="480"/>
      </w:pPr>
      <w:r>
        <w:rPr>
          <w:rFonts w:hint="eastAsia"/>
        </w:rPr>
        <w:t>（3）施工人员的生活垃圾及时收集到指定的垃圾箱（桶）内，由当地环卫部门统一及时清运处理。</w:t>
      </w:r>
    </w:p>
    <w:p>
      <w:pPr>
        <w:ind w:firstLine="480"/>
      </w:pPr>
      <w:r>
        <w:rPr>
          <w:rFonts w:hint="eastAsia"/>
        </w:rPr>
        <w:t>（4）车辆运输散体物和废弃物时，必须密封、覆盖，不得沿途撒漏；运载土方和建筑垃圾的车辆必须在规定的时间内，按指定路段行驶，禁止在处置场地以外倾倒工程渣土和垃圾，禁止在处置场地将工程渣土与其他城市生活垃圾混合倾倒。</w:t>
      </w:r>
    </w:p>
    <w:p>
      <w:pPr>
        <w:ind w:firstLine="480"/>
      </w:pPr>
      <w:r>
        <w:rPr>
          <w:rFonts w:hint="eastAsia"/>
        </w:rPr>
        <w:t>（5）施工结束后，及时清理施工现场，废弃的建筑材料送到指定地点处置。</w:t>
      </w:r>
    </w:p>
    <w:p>
      <w:pPr>
        <w:ind w:firstLine="480"/>
      </w:pPr>
      <w:r>
        <w:rPr>
          <w:rFonts w:hint="eastAsia"/>
        </w:rPr>
        <w:t>采取上述措施后，施工固体废物均可得到有效处理处置，措施可行。</w:t>
      </w:r>
      <w:bookmarkStart w:id="424" w:name="_Toc359485691"/>
    </w:p>
    <w:bookmarkEnd w:id="424"/>
    <w:p>
      <w:pPr>
        <w:pStyle w:val="5"/>
        <w:spacing w:before="62" w:after="62"/>
      </w:pPr>
      <w:r>
        <w:rPr>
          <w:rFonts w:hint="eastAsia"/>
        </w:rPr>
        <w:t>5.1.5</w:t>
      </w:r>
      <w:r>
        <w:t>施工生态影响缓解措施</w:t>
      </w:r>
    </w:p>
    <w:p>
      <w:pPr>
        <w:ind w:firstLine="480"/>
      </w:pPr>
      <w:r>
        <w:rPr>
          <w:rFonts w:hint="eastAsia"/>
        </w:rPr>
        <w:t>为防止水土流失和恢复绿化，施工中应进一步采取如下措施：</w:t>
      </w:r>
    </w:p>
    <w:p>
      <w:pPr>
        <w:ind w:firstLine="480"/>
      </w:pPr>
      <w:r>
        <w:rPr>
          <w:rFonts w:hint="eastAsia"/>
        </w:rPr>
        <w:t>（</w:t>
      </w:r>
      <w:r>
        <w:t>1</w:t>
      </w:r>
      <w:r>
        <w:rPr>
          <w:rFonts w:hint="eastAsia"/>
        </w:rPr>
        <w:t>）项目应在场地周围设置截水沟、场地内设置排水沟等排水设施，场地内的雨水可确保顺利外排，废水处理达标后能及时外排。</w:t>
      </w:r>
    </w:p>
    <w:p>
      <w:pPr>
        <w:ind w:firstLine="480"/>
      </w:pPr>
      <w:r>
        <w:rPr>
          <w:rFonts w:hint="eastAsia"/>
        </w:rPr>
        <w:t>（</w:t>
      </w:r>
      <w:r>
        <w:t>2</w:t>
      </w:r>
      <w:r>
        <w:rPr>
          <w:rFonts w:hint="eastAsia"/>
        </w:rPr>
        <w:t>）开挖面等裸露地应尽快恢复土层和植被。在选择开采面时不要靠近路边，减少水土流失，并选择在较隐蔽的地方，有利于保持景观。</w:t>
      </w:r>
    </w:p>
    <w:p>
      <w:pPr>
        <w:ind w:firstLine="480"/>
      </w:pPr>
      <w:r>
        <w:rPr>
          <w:rFonts w:hint="eastAsia"/>
        </w:rPr>
        <w:t>雨季施工期易造成水土流失，要注意施工场地建筑材料堆放及施工过程弃土的雨水冲刷问题。建筑材料不能露天堆放在路边，弃土合理利用，及时回填于低洼地带。</w:t>
      </w:r>
    </w:p>
    <w:p>
      <w:pPr>
        <w:ind w:firstLine="480"/>
      </w:pPr>
      <w:r>
        <w:rPr>
          <w:rFonts w:hint="eastAsia"/>
        </w:rPr>
        <w:t>避开暴雨期施工。</w:t>
      </w:r>
    </w:p>
    <w:p>
      <w:pPr>
        <w:ind w:firstLine="480"/>
      </w:pPr>
      <w:r>
        <w:rPr>
          <w:rFonts w:hint="eastAsia"/>
        </w:rPr>
        <w:t>在项目建设的同时应及时搞好场址内的植树、绿化及地面硬化，工程建成后，场地内应无裸露地面，使区域水土保持功能得到加强。</w:t>
      </w:r>
    </w:p>
    <w:p>
      <w:pPr>
        <w:ind w:firstLine="480"/>
      </w:pPr>
      <w:r>
        <w:rPr>
          <w:rFonts w:hint="eastAsia"/>
        </w:rPr>
        <w:t>采取上述措施后，可减轻本项目施工过程中对植被的破坏，最大程度降低水土流失，措施合理。</w:t>
      </w:r>
    </w:p>
    <w:p>
      <w:pPr>
        <w:pStyle w:val="4"/>
        <w:spacing w:before="62" w:after="62"/>
      </w:pPr>
      <w:bookmarkStart w:id="425" w:name="_Toc16020"/>
      <w:r>
        <w:rPr>
          <w:rFonts w:hint="eastAsia"/>
        </w:rPr>
        <w:t>5.2</w:t>
      </w:r>
      <w:r>
        <w:t>营运期污染防治措施</w:t>
      </w:r>
      <w:bookmarkEnd w:id="420"/>
      <w:bookmarkEnd w:id="421"/>
      <w:r>
        <w:rPr>
          <w:rFonts w:hint="eastAsia"/>
        </w:rPr>
        <w:t>及可行性论证</w:t>
      </w:r>
      <w:bookmarkEnd w:id="425"/>
    </w:p>
    <w:p>
      <w:pPr>
        <w:pStyle w:val="5"/>
        <w:spacing w:before="62" w:after="62"/>
      </w:pPr>
      <w:bookmarkStart w:id="426" w:name="_Toc468689239"/>
      <w:r>
        <w:rPr>
          <w:rFonts w:hint="eastAsia"/>
        </w:rPr>
        <w:t>5.2.1营运期废水污染防治措施</w:t>
      </w:r>
    </w:p>
    <w:p>
      <w:pPr>
        <w:ind w:firstLine="480"/>
      </w:pPr>
      <w:r>
        <w:rPr>
          <w:rFonts w:hint="eastAsia"/>
        </w:rPr>
        <w:t>根据《畜禽养殖业污染治理工程技术规范》（</w:t>
      </w:r>
      <w:r>
        <w:t>HJ497-2009</w:t>
      </w:r>
      <w:r>
        <w:rPr>
          <w:rFonts w:hint="eastAsia"/>
        </w:rPr>
        <w:t>），在选用粪污水处理工艺时，应根据养殖场的养殖种类、养殖规模、粪污收集方式、当地的自然地理环境条件及排水去向等因素确定工艺路线及处理目标，并应充分考虑畜禽养殖废水的特殊性，在实现综合利用或达标排放的情况下，优先选择低运行成本的处理工艺。</w:t>
      </w:r>
    </w:p>
    <w:p>
      <w:pPr>
        <w:ind w:firstLine="480"/>
      </w:pPr>
      <w:r>
        <w:rPr>
          <w:rFonts w:hint="eastAsia"/>
        </w:rPr>
        <w:t>本项目采用异位发酵床废水处理工艺。</w:t>
      </w:r>
    </w:p>
    <w:p>
      <w:pPr>
        <w:ind w:firstLine="480"/>
      </w:pPr>
      <w:r>
        <w:rPr>
          <w:rFonts w:hint="eastAsia"/>
        </w:rPr>
        <w:t>异位发酵床是利用全新的理念，结合现代微生物发酵处理技术提出的一种环保、安全、有效的生态养猪法，能实现养猪无排放、无污染、低臭气，彻底解决规模养猪场的环境污染问题。发酵床养殖技术是综合利用微生物学、生态学、发酵工程学原理，以活性功能强大的微生物菌作为物质能量“转换中枢”的一种生态养殖模式。该技术的核心在于利用活性强大的有益功能微生物复合菌群长期和持续稳定地将动物粪尿废弃物转化为有用物质与能量，同时实现将猪等动物的粪尿完全降解的无污染、零排放的目的，是当今国际上一种最新的环保型养殖模式。发酵床养殖技术起源于国外，从1992年开始，各国专家教授开始对发酵床养猪进行系统研究与实践，逐渐形成了较为完善的技术规范，我国在近几年开始将该项技术应用于养殖业，并取得了显著的成果。</w:t>
      </w:r>
    </w:p>
    <w:p>
      <w:pPr>
        <w:ind w:firstLine="480"/>
      </w:pPr>
      <w:r>
        <w:rPr>
          <w:rFonts w:hint="eastAsia"/>
        </w:rPr>
        <w:t xml:space="preserve"> ①养殖废水处理工艺流程</w:t>
      </w:r>
    </w:p>
    <w:p>
      <w:pPr>
        <w:ind w:firstLine="480"/>
      </w:pPr>
      <w:r>
        <w:rPr>
          <w:rFonts w:hint="eastAsia"/>
        </w:rPr>
        <w:t>本项目粪尿采用异位发酵床进行生物发酵处理，处理工艺流程见下图：</w:t>
      </w:r>
    </w:p>
    <w:p>
      <w:pPr>
        <w:pStyle w:val="31"/>
        <w:rPr>
          <w:rFonts w:hint="default"/>
        </w:rPr>
      </w:pPr>
      <w:r>
        <mc:AlternateContent>
          <mc:Choice Requires="wpg">
            <w:drawing>
              <wp:anchor distT="0" distB="0" distL="114300" distR="114300" simplePos="0" relativeHeight="251717632" behindDoc="0" locked="0" layoutInCell="1" allowOverlap="1">
                <wp:simplePos x="0" y="0"/>
                <wp:positionH relativeFrom="column">
                  <wp:posOffset>267335</wp:posOffset>
                </wp:positionH>
                <wp:positionV relativeFrom="paragraph">
                  <wp:posOffset>154305</wp:posOffset>
                </wp:positionV>
                <wp:extent cx="5142230" cy="1246505"/>
                <wp:effectExtent l="0" t="0" r="1270" b="0"/>
                <wp:wrapNone/>
                <wp:docPr id="51" name="组合 51"/>
                <wp:cNvGraphicFramePr/>
                <a:graphic xmlns:a="http://schemas.openxmlformats.org/drawingml/2006/main">
                  <a:graphicData uri="http://schemas.microsoft.com/office/word/2010/wordprocessingGroup">
                    <wpg:wgp>
                      <wpg:cNvGrpSpPr/>
                      <wpg:grpSpPr>
                        <a:xfrm>
                          <a:off x="0" y="0"/>
                          <a:ext cx="5142230" cy="1246505"/>
                          <a:chOff x="9231" y="1665825"/>
                          <a:chExt cx="8098" cy="1963"/>
                        </a:xfrm>
                      </wpg:grpSpPr>
                      <wps:wsp>
                        <wps:cNvPr id="39" name="文本框 39"/>
                        <wps:cNvSpPr txBox="1">
                          <a:spLocks noChangeArrowheads="1"/>
                        </wps:cNvSpPr>
                        <wps:spPr bwMode="auto">
                          <a:xfrm>
                            <a:off x="9906" y="1665825"/>
                            <a:ext cx="737" cy="496"/>
                          </a:xfrm>
                          <a:prstGeom prst="rect">
                            <a:avLst/>
                          </a:prstGeom>
                          <a:solidFill>
                            <a:srgbClr val="FFFFFF"/>
                          </a:solidFill>
                          <a:ln w="6350">
                            <a:noFill/>
                            <a:round/>
                          </a:ln>
                        </wps:spPr>
                        <wps:txbx>
                          <w:txbxContent>
                            <w:p>
                              <w:pPr>
                                <w:spacing w:line="360" w:lineRule="exact"/>
                                <w:ind w:firstLine="0" w:firstLineChars="0"/>
                                <w:rPr>
                                  <w:sz w:val="21"/>
                                  <w:szCs w:val="21"/>
                                </w:rPr>
                              </w:pPr>
                              <w:r>
                                <w:rPr>
                                  <w:rFonts w:hint="eastAsia"/>
                                  <w:sz w:val="21"/>
                                  <w:szCs w:val="21"/>
                                </w:rPr>
                                <w:t>猪舍</w:t>
                              </w:r>
                            </w:p>
                          </w:txbxContent>
                        </wps:txbx>
                        <wps:bodyPr rot="0" vert="horz" wrap="square" lIns="91440" tIns="45720" rIns="91440" bIns="45720" anchor="t" anchorCtr="0" upright="1">
                          <a:noAutofit/>
                        </wps:bodyPr>
                      </wps:wsp>
                      <wps:wsp>
                        <wps:cNvPr id="40" name="文本框 39"/>
                        <wps:cNvSpPr txBox="1">
                          <a:spLocks noChangeArrowheads="1"/>
                        </wps:cNvSpPr>
                        <wps:spPr bwMode="auto">
                          <a:xfrm>
                            <a:off x="12096" y="1666005"/>
                            <a:ext cx="1050"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潜污泵</w:t>
                              </w:r>
                            </w:p>
                          </w:txbxContent>
                        </wps:txbx>
                        <wps:bodyPr rot="0" vert="horz" wrap="square" lIns="91440" tIns="45720" rIns="91440" bIns="45720" anchor="t" anchorCtr="0" upright="1">
                          <a:noAutofit/>
                        </wps:bodyPr>
                      </wps:wsp>
                      <wps:wsp>
                        <wps:cNvPr id="37" name="文本框 39"/>
                        <wps:cNvSpPr txBox="1">
                          <a:spLocks noChangeArrowheads="1"/>
                        </wps:cNvSpPr>
                        <wps:spPr bwMode="auto">
                          <a:xfrm>
                            <a:off x="10626" y="1665990"/>
                            <a:ext cx="1050"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集污池</w:t>
                              </w:r>
                            </w:p>
                          </w:txbxContent>
                        </wps:txbx>
                        <wps:bodyPr rot="0" vert="horz" wrap="square" lIns="91440" tIns="45720" rIns="91440" bIns="45720" anchor="t" anchorCtr="0" upright="1">
                          <a:noAutofit/>
                        </wps:bodyPr>
                      </wps:wsp>
                      <wps:wsp>
                        <wps:cNvPr id="54" name="文本框 39"/>
                        <wps:cNvSpPr txBox="1">
                          <a:spLocks noChangeArrowheads="1"/>
                        </wps:cNvSpPr>
                        <wps:spPr bwMode="auto">
                          <a:xfrm>
                            <a:off x="13596" y="1665990"/>
                            <a:ext cx="1395"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猪粪、猪尿</w:t>
                              </w:r>
                            </w:p>
                          </w:txbxContent>
                        </wps:txbx>
                        <wps:bodyPr rot="0" vert="horz" wrap="square" lIns="91440" tIns="45720" rIns="91440" bIns="45720" anchor="t" anchorCtr="0" upright="1">
                          <a:noAutofit/>
                        </wps:bodyPr>
                      </wps:wsp>
                      <wps:wsp>
                        <wps:cNvPr id="118" name="文本框 39"/>
                        <wps:cNvSpPr txBox="1">
                          <a:spLocks noChangeArrowheads="1"/>
                        </wps:cNvSpPr>
                        <wps:spPr bwMode="auto">
                          <a:xfrm>
                            <a:off x="15411" y="1665990"/>
                            <a:ext cx="1395"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异位发酵床</w:t>
                              </w:r>
                            </w:p>
                          </w:txbxContent>
                        </wps:txbx>
                        <wps:bodyPr rot="0" vert="horz" wrap="square" lIns="91440" tIns="45720" rIns="91440" bIns="45720" anchor="t" anchorCtr="0" upright="1">
                          <a:noAutofit/>
                        </wps:bodyPr>
                      </wps:wsp>
                      <wps:wsp>
                        <wps:cNvPr id="41" name="AutoShape 644"/>
                        <wps:cNvCnPr>
                          <a:cxnSpLocks noChangeShapeType="1"/>
                        </wps:cNvCnPr>
                        <wps:spPr bwMode="auto">
                          <a:xfrm>
                            <a:off x="13162" y="1666224"/>
                            <a:ext cx="426" cy="6"/>
                          </a:xfrm>
                          <a:prstGeom prst="straightConnector1">
                            <a:avLst/>
                          </a:prstGeom>
                          <a:noFill/>
                          <a:ln w="9525">
                            <a:solidFill>
                              <a:srgbClr val="000000"/>
                            </a:solidFill>
                            <a:round/>
                            <a:tailEnd type="triangle" w="med" len="med"/>
                          </a:ln>
                        </wps:spPr>
                        <wps:bodyPr/>
                      </wps:wsp>
                      <wps:wsp>
                        <wps:cNvPr id="38" name="AutoShape 644"/>
                        <wps:cNvCnPr>
                          <a:cxnSpLocks noChangeShapeType="1"/>
                        </wps:cNvCnPr>
                        <wps:spPr bwMode="auto">
                          <a:xfrm>
                            <a:off x="11677" y="1666239"/>
                            <a:ext cx="426" cy="6"/>
                          </a:xfrm>
                          <a:prstGeom prst="straightConnector1">
                            <a:avLst/>
                          </a:prstGeom>
                          <a:noFill/>
                          <a:ln w="9525">
                            <a:solidFill>
                              <a:srgbClr val="000000"/>
                            </a:solidFill>
                            <a:round/>
                            <a:tailEnd type="triangle" w="med" len="med"/>
                          </a:ln>
                        </wps:spPr>
                        <wps:bodyPr/>
                      </wps:wsp>
                      <wps:wsp>
                        <wps:cNvPr id="122" name="文本框 122"/>
                        <wps:cNvSpPr txBox="1">
                          <a:spLocks noChangeArrowheads="1"/>
                        </wps:cNvSpPr>
                        <wps:spPr bwMode="auto">
                          <a:xfrm>
                            <a:off x="16071" y="1666635"/>
                            <a:ext cx="1246" cy="706"/>
                          </a:xfrm>
                          <a:prstGeom prst="rect">
                            <a:avLst/>
                          </a:prstGeom>
                          <a:solidFill>
                            <a:srgbClr val="FFFFFF"/>
                          </a:solidFill>
                          <a:ln w="6350">
                            <a:noFill/>
                            <a:round/>
                          </a:ln>
                        </wps:spPr>
                        <wps:txbx>
                          <w:txbxContent>
                            <w:p>
                              <w:pPr>
                                <w:spacing w:line="280" w:lineRule="exact"/>
                                <w:ind w:firstLine="0" w:firstLineChars="0"/>
                                <w:jc w:val="center"/>
                                <w:rPr>
                                  <w:sz w:val="21"/>
                                  <w:szCs w:val="21"/>
                                </w:rPr>
                              </w:pPr>
                              <w:r>
                                <w:rPr>
                                  <w:rFonts w:hint="eastAsia"/>
                                  <w:sz w:val="21"/>
                                  <w:szCs w:val="21"/>
                                </w:rPr>
                                <w:t>污水蒸发粪便降解</w:t>
                              </w:r>
                            </w:p>
                          </w:txbxContent>
                        </wps:txbx>
                        <wps:bodyPr rot="0" vert="horz" wrap="square" lIns="91440" tIns="45720" rIns="91440" bIns="45720" anchor="t" anchorCtr="0" upright="1">
                          <a:noAutofit/>
                        </wps:bodyPr>
                      </wps:wsp>
                      <wps:wsp>
                        <wps:cNvPr id="53" name="AutoShape 644"/>
                        <wps:cNvCnPr>
                          <a:cxnSpLocks noChangeShapeType="1"/>
                        </wps:cNvCnPr>
                        <wps:spPr bwMode="auto">
                          <a:xfrm>
                            <a:off x="14992" y="1666239"/>
                            <a:ext cx="426" cy="6"/>
                          </a:xfrm>
                          <a:prstGeom prst="straightConnector1">
                            <a:avLst/>
                          </a:prstGeom>
                          <a:noFill/>
                          <a:ln w="9525">
                            <a:solidFill>
                              <a:srgbClr val="000000"/>
                            </a:solidFill>
                            <a:round/>
                            <a:tailEnd type="triangle" w="med" len="med"/>
                          </a:ln>
                        </wps:spPr>
                        <wps:bodyPr/>
                      </wps:wsp>
                      <wps:wsp>
                        <wps:cNvPr id="120" name="文本框 39"/>
                        <wps:cNvSpPr txBox="1">
                          <a:spLocks noChangeArrowheads="1"/>
                        </wps:cNvSpPr>
                        <wps:spPr bwMode="auto">
                          <a:xfrm>
                            <a:off x="15231" y="1667292"/>
                            <a:ext cx="2099" cy="496"/>
                          </a:xfrm>
                          <a:prstGeom prst="rect">
                            <a:avLst/>
                          </a:prstGeom>
                          <a:solidFill>
                            <a:srgbClr val="FFFFFF"/>
                          </a:solidFill>
                          <a:ln w="6350">
                            <a:noFill/>
                            <a:round/>
                          </a:ln>
                        </wps:spPr>
                        <wps:txbx>
                          <w:txbxContent>
                            <w:p>
                              <w:pPr>
                                <w:ind w:firstLine="0" w:firstLineChars="0"/>
                              </w:pPr>
                              <w:r>
                                <w:rPr>
                                  <w:rFonts w:hint="eastAsia"/>
                                  <w:sz w:val="21"/>
                                  <w:szCs w:val="21"/>
                                </w:rPr>
                                <w:t>有机肥综合利用</w:t>
                              </w:r>
                            </w:p>
                          </w:txbxContent>
                        </wps:txbx>
                        <wps:bodyPr rot="0" vert="horz" wrap="square" lIns="91440" tIns="45720" rIns="91440" bIns="45720" anchor="t" anchorCtr="0" upright="1">
                          <a:noAutofit/>
                        </wps:bodyPr>
                      </wps:wsp>
                      <wps:wsp>
                        <wps:cNvPr id="1" name="文本框 39"/>
                        <wps:cNvSpPr txBox="1">
                          <a:spLocks noChangeArrowheads="1"/>
                        </wps:cNvSpPr>
                        <wps:spPr bwMode="auto">
                          <a:xfrm>
                            <a:off x="9231" y="1665975"/>
                            <a:ext cx="737" cy="496"/>
                          </a:xfrm>
                          <a:prstGeom prst="rect">
                            <a:avLst/>
                          </a:prstGeom>
                          <a:solidFill>
                            <a:srgbClr val="FFFFFF"/>
                          </a:solidFill>
                          <a:ln w="6350">
                            <a:solidFill>
                              <a:srgbClr val="000000"/>
                            </a:solidFill>
                            <a:round/>
                          </a:ln>
                        </wps:spPr>
                        <wps:txbx>
                          <w:txbxContent>
                            <w:p>
                              <w:pPr>
                                <w:spacing w:line="360" w:lineRule="exact"/>
                                <w:ind w:firstLine="0" w:firstLineChars="0"/>
                                <w:rPr>
                                  <w:sz w:val="21"/>
                                  <w:szCs w:val="21"/>
                                </w:rPr>
                              </w:pPr>
                              <w:r>
                                <w:rPr>
                                  <w:rFonts w:hint="eastAsia"/>
                                  <w:sz w:val="21"/>
                                  <w:szCs w:val="21"/>
                                </w:rPr>
                                <w:t>猪舍</w:t>
                              </w:r>
                            </w:p>
                          </w:txbxContent>
                        </wps:txbx>
                        <wps:bodyPr rot="0" vert="horz" wrap="square" lIns="91440" tIns="45720" rIns="91440" bIns="45720" anchor="t" anchorCtr="0" upright="1">
                          <a:noAutofit/>
                        </wps:bodyPr>
                      </wps:wsp>
                      <wps:wsp>
                        <wps:cNvPr id="36" name="AutoShape 644"/>
                        <wps:cNvCnPr>
                          <a:cxnSpLocks noChangeShapeType="1"/>
                        </wps:cNvCnPr>
                        <wps:spPr bwMode="auto">
                          <a:xfrm flipV="1">
                            <a:off x="9997" y="1666257"/>
                            <a:ext cx="638" cy="12"/>
                          </a:xfrm>
                          <a:prstGeom prst="straightConnector1">
                            <a:avLst/>
                          </a:prstGeom>
                          <a:noFill/>
                          <a:ln w="9525">
                            <a:solidFill>
                              <a:srgbClr val="000000"/>
                            </a:solidFill>
                            <a:round/>
                            <a:tailEnd type="triangle" w="med" len="med"/>
                          </a:ln>
                        </wps:spPr>
                        <wps:bodyPr/>
                      </wps:wsp>
                      <wps:wsp>
                        <wps:cNvPr id="121" name="AutoShape 644"/>
                        <wps:cNvCnPr>
                          <a:cxnSpLocks noChangeShapeType="1"/>
                        </wps:cNvCnPr>
                        <wps:spPr bwMode="auto">
                          <a:xfrm flipH="1">
                            <a:off x="16170" y="1666509"/>
                            <a:ext cx="7" cy="962"/>
                          </a:xfrm>
                          <a:prstGeom prst="straightConnector1">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21.05pt;margin-top:12.15pt;height:98.15pt;width:404.9pt;z-index:251717632;mso-width-relative:page;mso-height-relative:page;" coordorigin="9231,1665825" coordsize="8098,1963" o:gfxdata="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">
                <o:lock v:ext="edit" aspectratio="f"/>
                <v:shape id="_x0000_s1026" o:spid="_x0000_s1026" o:spt="202" type="#_x0000_t202" style="position:absolute;left:9906;top:1665825;height:496;width:737;" fillcolor="#FFFFFF" filled="t" stroked="f" coordsize="21600,21600" o:gfxdata="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9fS7sAAADb&#10;AAAADwAAAAAAAAABACAAAAAiAAAAZHJzL2Rvd25yZXYueG1sUEsBAhQAFAAAAAgAh07iQDMvBZ47&#10;AAAAOQAAABAAAAAAAAAAAQAgAAAACgEAAGRycy9zaGFwZXhtbC54bWxQSwUGAAAAAAYABgBbAQAA&#10;tAMAAAAA&#10;">
                  <v:fill on="t" focussize="0,0"/>
                  <v:stroke on="f" weight="0.5pt" joinstyle="round"/>
                  <v:imagedata o:title=""/>
                  <o:lock v:ext="edit" aspectratio="f"/>
                  <v:textbox>
                    <w:txbxContent>
                      <w:p>
                        <w:pPr>
                          <w:spacing w:line="360" w:lineRule="exact"/>
                          <w:ind w:firstLine="0" w:firstLineChars="0"/>
                          <w:rPr>
                            <w:sz w:val="21"/>
                            <w:szCs w:val="21"/>
                          </w:rPr>
                        </w:pPr>
                        <w:r>
                          <w:rPr>
                            <w:rFonts w:hint="eastAsia"/>
                            <w:sz w:val="21"/>
                            <w:szCs w:val="21"/>
                          </w:rPr>
                          <w:t>猪舍</w:t>
                        </w:r>
                      </w:p>
                    </w:txbxContent>
                  </v:textbox>
                </v:shape>
                <v:shape id="文本框 39" o:spid="_x0000_s1026" o:spt="202" type="#_x0000_t202" style="position:absolute;left:12096;top:1666005;height:496;width:1050;"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潜污泵</w:t>
                        </w:r>
                      </w:p>
                    </w:txbxContent>
                  </v:textbox>
                </v:shape>
                <v:shape id="文本框 39" o:spid="_x0000_s1026" o:spt="202" type="#_x0000_t202" style="position:absolute;left:10626;top:1665990;height:496;width:1050;" fillcolor="#FFFFFF" filled="t" stroked="t" coordsize="21600,21600" o:gfxdata="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qEYy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集污池</w:t>
                        </w:r>
                      </w:p>
                    </w:txbxContent>
                  </v:textbox>
                </v:shape>
                <v:shape id="文本框 39" o:spid="_x0000_s1026" o:spt="202" type="#_x0000_t202" style="position:absolute;left:13596;top:1665990;height:496;width:1395;" fillcolor="#FFFFFF" filled="t" stroked="t" coordsize="21600,21600" o:gfxdata="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pT3l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猪粪、猪尿</w:t>
                        </w:r>
                      </w:p>
                    </w:txbxContent>
                  </v:textbox>
                </v:shape>
                <v:shape id="文本框 39" o:spid="_x0000_s1026" o:spt="202" type="#_x0000_t202" style="position:absolute;left:15411;top:1665990;height:496;width:1395;" fillcolor="#FFFFFF" filled="t" stroked="t" coordsize="21600,21600" o:gfxdata="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LjO2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异位发酵床</w:t>
                        </w:r>
                      </w:p>
                    </w:txbxContent>
                  </v:textbox>
                </v:shape>
                <v:shape id="AutoShape 644" o:spid="_x0000_s1026" o:spt="32" type="#_x0000_t32" style="position:absolute;left:13162;top:1666224;height:6;width:426;" filled="f" stroked="t" coordsize="21600,21600" o:gfxdata="UEsDBAoAAAAAAIdO4kAAAAAAAAAAAAAAAAAEAAAAZHJzL1BLAwQUAAAACACHTuJAY3NjfL4AAADb&#10;AAAADwAAAGRycy9kb3ducmV2LnhtbEWPT2sCMRTE7wW/Q3hCbzW7U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Njf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644" o:spid="_x0000_s1026" o:spt="32" type="#_x0000_t32" style="position:absolute;left:11677;top:1666239;height:6;width:426;" filled="f" stroked="t" coordsize="21600,21600" o:gfxdata="UEsDBAoAAAAAAIdO4kAAAAAAAAAAAAAAAAAEAAAAZHJzL1BLAwQUAAAACACHTuJAqk+5nLsAAADb&#10;AAAADwAAAGRycy9kb3ducmV2LnhtbEVPW2vCMBR+H+w/hDPY20zro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5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16071;top:1666635;height:706;width:1246;" fillcolor="#FFFFFF" filled="t" stroked="f" coordsize="21600,21600" o:gfxdata="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7E9ybgAAADcAAAA&#10;DwAAAAAAAAABACAAAAAiAAAAZHJzL2Rvd25yZXYueG1sUEsBAhQAFAAAAAgAh07iQDMvBZ47AAAA&#10;OQAAABAAAAAAAAAAAQAgAAAABwEAAGRycy9zaGFwZXhtbC54bWxQSwUGAAAAAAYABgBbAQAAsQMA&#10;AAAA&#10;">
                  <v:fill on="t" focussize="0,0"/>
                  <v:stroke on="f" weight="0.5pt" joinstyle="round"/>
                  <v:imagedata o:title=""/>
                  <o:lock v:ext="edit" aspectratio="f"/>
                  <v:textbox>
                    <w:txbxContent>
                      <w:p>
                        <w:pPr>
                          <w:spacing w:line="280" w:lineRule="exact"/>
                          <w:ind w:firstLine="0" w:firstLineChars="0"/>
                          <w:jc w:val="center"/>
                          <w:rPr>
                            <w:sz w:val="21"/>
                            <w:szCs w:val="21"/>
                          </w:rPr>
                        </w:pPr>
                        <w:r>
                          <w:rPr>
                            <w:rFonts w:hint="eastAsia"/>
                            <w:sz w:val="21"/>
                            <w:szCs w:val="21"/>
                          </w:rPr>
                          <w:t>污水蒸发粪便降解</w:t>
                        </w:r>
                      </w:p>
                    </w:txbxContent>
                  </v:textbox>
                </v:shape>
                <v:shape id="AutoShape 644" o:spid="_x0000_s1026" o:spt="32" type="#_x0000_t32" style="position:absolute;left:14992;top:1666239;height:6;width:426;"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39" o:spid="_x0000_s1026" o:spt="202" type="#_x0000_t202" style="position:absolute;left:15231;top:1667292;height:496;width:2099;" fillcolor="#FFFFFF" filled="t" stroked="f" coordsize="21600,21600" o:gfxdata="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LwYlugAAANwA&#10;AAAPAAAAAAAAAAEAIAAAACIAAABkcnMvZG93bnJldi54bWxQSwECFAAUAAAACACHTuJAMy8FnjsA&#10;AAA5AAAAEAAAAAAAAAABACAAAAAJAQAAZHJzL3NoYXBleG1sLnhtbFBLBQYAAAAABgAGAFsBAACz&#10;AwAAAAA=&#10;">
                  <v:fill on="t" focussize="0,0"/>
                  <v:stroke on="f" weight="0.5pt" joinstyle="round"/>
                  <v:imagedata o:title=""/>
                  <o:lock v:ext="edit" aspectratio="f"/>
                  <v:textbox>
                    <w:txbxContent>
                      <w:p>
                        <w:pPr>
                          <w:ind w:firstLine="0" w:firstLineChars="0"/>
                        </w:pPr>
                        <w:r>
                          <w:rPr>
                            <w:rFonts w:hint="eastAsia"/>
                            <w:sz w:val="21"/>
                            <w:szCs w:val="21"/>
                          </w:rPr>
                          <w:t>有机肥综合利用</w:t>
                        </w:r>
                      </w:p>
                    </w:txbxContent>
                  </v:textbox>
                </v:shape>
                <v:shape id="文本框 39" o:spid="_x0000_s1026" o:spt="202" type="#_x0000_t202" style="position:absolute;left:9231;top:1665975;height:496;width:737;"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spacing w:line="360" w:lineRule="exact"/>
                          <w:ind w:firstLine="0" w:firstLineChars="0"/>
                          <w:rPr>
                            <w:sz w:val="21"/>
                            <w:szCs w:val="21"/>
                          </w:rPr>
                        </w:pPr>
                        <w:r>
                          <w:rPr>
                            <w:rFonts w:hint="eastAsia"/>
                            <w:sz w:val="21"/>
                            <w:szCs w:val="21"/>
                          </w:rPr>
                          <w:t>猪舍</w:t>
                        </w:r>
                      </w:p>
                    </w:txbxContent>
                  </v:textbox>
                </v:shape>
                <v:shape id="AutoShape 644" o:spid="_x0000_s1026" o:spt="32" type="#_x0000_t32" style="position:absolute;left:9997;top:1666257;flip:y;height:12;width:638;" filled="f" stroked="t" coordsize="21600,21600" o:gfxdata="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t3d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44" o:spid="_x0000_s1026" o:spt="32" type="#_x0000_t32" style="position:absolute;left:16170;top:1666509;flip:x;height:962;width:7;" filled="f" stroked="t" coordsize="21600,21600" o:gfxdata="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h/w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pStyle w:val="31"/>
        <w:rPr>
          <w:rFonts w:hint="default"/>
        </w:rPr>
      </w:pPr>
    </w:p>
    <w:p>
      <w:pPr>
        <w:pStyle w:val="31"/>
        <w:rPr>
          <w:rFonts w:hint="default"/>
        </w:rPr>
      </w:pPr>
    </w:p>
    <w:p>
      <w:pPr>
        <w:pStyle w:val="31"/>
        <w:rPr>
          <w:rFonts w:hint="default"/>
        </w:rPr>
      </w:pPr>
    </w:p>
    <w:p>
      <w:pPr>
        <w:pStyle w:val="31"/>
        <w:rPr>
          <w:rFonts w:hint="default"/>
        </w:rPr>
      </w:pPr>
    </w:p>
    <w:p>
      <w:pPr>
        <w:pStyle w:val="31"/>
        <w:rPr>
          <w:rFonts w:hint="default"/>
        </w:rPr>
      </w:pPr>
    </w:p>
    <w:p>
      <w:pPr>
        <w:pStyle w:val="31"/>
        <w:rPr>
          <w:rFonts w:hint="default"/>
        </w:rPr>
      </w:pPr>
    </w:p>
    <w:p>
      <w:pPr>
        <w:pStyle w:val="11"/>
      </w:pPr>
      <w:r>
        <w:rPr>
          <w:rFonts w:hint="eastAsia"/>
        </w:rPr>
        <w:t>图5.2</w:t>
      </w:r>
      <w:r>
        <w:t>-</w:t>
      </w:r>
      <w:r>
        <w:rPr>
          <w:rFonts w:hint="eastAsia"/>
        </w:rPr>
        <w:t>1本项目粪尿治理工艺流程图</w:t>
      </w:r>
    </w:p>
    <w:p>
      <w:pPr>
        <w:ind w:firstLine="480"/>
      </w:pPr>
      <w:r>
        <w:rPr>
          <w:rFonts w:hint="eastAsia"/>
        </w:rPr>
        <w:t>②养殖废水处理工艺流程简介：</w:t>
      </w:r>
    </w:p>
    <w:p>
      <w:pPr>
        <w:ind w:firstLine="480"/>
      </w:pPr>
      <w:r>
        <w:rPr>
          <w:rFonts w:hint="eastAsia"/>
        </w:rPr>
        <w:t>每栋猪舍地下部分均建设刮粪池，猪舍地面为水泥漏缝地面，猪只产生的猪粪、猪尿通过漏缝直落入刮粪池中，少部分未落入的粪便采用人工干清的方式，不采用水冲粪方式。将集污池内的粪尿通过潜污泵用管道将粪污定期输送到异位发酵床车间，均匀喷洒在异位发酵床的垫料上，经过翻耙机进行翻耙，使垫料与粪污进行充分混合，功能菌群在垫料中生长繁殖，通过微生物的分解发酵，使粪污中的有机物得到充分的分解和转化，同时微生物分解发酵产生大量的热量，促使垫料中的水分挥发至空气中，从而实现废水的“零”排放。</w:t>
      </w:r>
    </w:p>
    <w:p>
      <w:pPr>
        <w:ind w:firstLine="480"/>
      </w:pPr>
      <w:r>
        <w:rPr>
          <w:rFonts w:hint="eastAsia"/>
        </w:rPr>
        <w:t>③粪污处理能力的可行性分析</w:t>
      </w:r>
    </w:p>
    <w:p>
      <w:pPr>
        <w:ind w:firstLine="480"/>
      </w:pPr>
      <w:r>
        <w:rPr>
          <w:rFonts w:hint="eastAsia"/>
        </w:rPr>
        <w:t>根据《畜禽规模养殖场粪污资源化利用设施建设规范（试行）》：液体或全量粪污采用异位发酵床工艺处理的，每头存栏生猪粪污暂存池容积不小于</w:t>
      </w:r>
      <w:r>
        <w:t>0.2 m</w:t>
      </w:r>
      <w:r>
        <w:rPr>
          <w:vertAlign w:val="superscript"/>
        </w:rPr>
        <w:t>3</w:t>
      </w:r>
      <w:r>
        <w:t>，</w:t>
      </w:r>
      <w:r>
        <w:rPr>
          <w:rFonts w:hint="eastAsia"/>
        </w:rPr>
        <w:t>发酵床建设面积不小于</w:t>
      </w:r>
      <w:r>
        <w:t>0.2 m</w:t>
      </w:r>
      <w:r>
        <w:rPr>
          <w:vertAlign w:val="superscript"/>
        </w:rPr>
        <w:t>2</w:t>
      </w:r>
      <w:r>
        <w:rPr>
          <w:rFonts w:hint="eastAsia"/>
        </w:rPr>
        <w:t>，</w:t>
      </w:r>
      <w:r>
        <w:t>并有防渗防雨功能，配套搅拌设施。</w:t>
      </w:r>
      <w:r>
        <w:rPr>
          <w:rFonts w:hint="eastAsia"/>
        </w:rPr>
        <w:t>本项目设1个集污池，面积为200m</w:t>
      </w:r>
      <w:r>
        <w:rPr>
          <w:rFonts w:hint="eastAsia"/>
          <w:vertAlign w:val="superscript"/>
        </w:rPr>
        <w:t>2</w:t>
      </w:r>
      <w:r>
        <w:rPr>
          <w:rFonts w:hint="eastAsia"/>
        </w:rPr>
        <w:t>（容积1000m</w:t>
      </w:r>
      <w:r>
        <w:rPr>
          <w:rFonts w:hint="eastAsia"/>
          <w:vertAlign w:val="superscript"/>
        </w:rPr>
        <w:t>3</w:t>
      </w:r>
      <w:r>
        <w:rPr>
          <w:rFonts w:hint="eastAsia"/>
        </w:rPr>
        <w:t>），；发酵床的面积为1000</w:t>
      </w:r>
      <w:r>
        <w:t>m</w:t>
      </w:r>
      <w:r>
        <w:rPr>
          <w:rFonts w:hint="eastAsia"/>
          <w:vertAlign w:val="superscript"/>
        </w:rPr>
        <w:t>2</w:t>
      </w:r>
      <w:r>
        <w:rPr>
          <w:rFonts w:hint="eastAsia"/>
        </w:rPr>
        <w:t>，污粪暂存池折算到每头猪为0.2</w:t>
      </w:r>
      <w:r>
        <w:t>m</w:t>
      </w:r>
      <w:r>
        <w:rPr>
          <w:vertAlign w:val="superscript"/>
        </w:rPr>
        <w:t>3</w:t>
      </w:r>
      <w:r>
        <w:rPr>
          <w:rFonts w:hint="eastAsia"/>
        </w:rPr>
        <w:t>/头，发酵床面积为0.20</w:t>
      </w:r>
      <w:r>
        <w:t>m</w:t>
      </w:r>
      <w:r>
        <w:rPr>
          <w:vertAlign w:val="superscript"/>
        </w:rPr>
        <w:t>2</w:t>
      </w:r>
      <w:r>
        <w:rPr>
          <w:rFonts w:hint="eastAsia"/>
        </w:rPr>
        <w:t>/头，因此，每头存栏生猪粪污暂存池容积和发酵床建设面积符合规定要求。本项目设计发酵床</w:t>
      </w:r>
      <w:r>
        <w:t>有防渗防雨功能，配套翻耙机等搅拌设施。</w:t>
      </w:r>
      <w:r>
        <w:rPr>
          <w:rFonts w:hint="eastAsia"/>
        </w:rPr>
        <w:t>因此，本项目发酵床设计符合《畜禽规模养殖场粪污资源化利用设施建设规范（试行）》要求。</w:t>
      </w:r>
    </w:p>
    <w:p>
      <w:pPr>
        <w:pStyle w:val="11"/>
      </w:pPr>
      <w:r>
        <w:t xml:space="preserve">表5.2- </w:t>
      </w:r>
      <w:r>
        <w:fldChar w:fldCharType="begin"/>
      </w:r>
      <w:r>
        <w:instrText xml:space="preserve"> SEQ 表5.2- \* ARABIC </w:instrText>
      </w:r>
      <w:r>
        <w:fldChar w:fldCharType="separate"/>
      </w:r>
      <w:r>
        <w:t>1</w:t>
      </w:r>
      <w:r>
        <w:fldChar w:fldCharType="end"/>
      </w:r>
      <w:r>
        <w:rPr>
          <w:rFonts w:hint="eastAsia"/>
        </w:rPr>
        <w:t xml:space="preserve">  </w:t>
      </w:r>
      <w:r>
        <w:t>粪便收集、贮存</w:t>
      </w:r>
      <w:r>
        <w:rPr>
          <w:rFonts w:hint="eastAsia"/>
        </w:rPr>
        <w:t>设施及土地利用设施</w:t>
      </w:r>
      <w:r>
        <w:t>表</w:t>
      </w:r>
    </w:p>
    <w:tbl>
      <w:tblPr>
        <w:tblStyle w:val="22"/>
        <w:tblW w:w="81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9"/>
        <w:gridCol w:w="1529"/>
        <w:gridCol w:w="1810"/>
        <w:gridCol w:w="1856"/>
        <w:gridCol w:w="14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29" w:type="dxa"/>
            <w:vAlign w:val="center"/>
          </w:tcPr>
          <w:p>
            <w:pPr>
              <w:pStyle w:val="8"/>
              <w:ind w:firstLine="0" w:firstLineChars="0"/>
              <w:outlineLvl w:val="5"/>
            </w:pPr>
            <w:r>
              <w:rPr>
                <w:rFonts w:hint="eastAsia"/>
              </w:rPr>
              <w:t>编号</w:t>
            </w:r>
          </w:p>
        </w:tc>
        <w:tc>
          <w:tcPr>
            <w:tcW w:w="1529" w:type="dxa"/>
            <w:vAlign w:val="center"/>
          </w:tcPr>
          <w:p>
            <w:pPr>
              <w:pStyle w:val="8"/>
              <w:ind w:firstLine="0" w:firstLineChars="0"/>
              <w:outlineLvl w:val="5"/>
            </w:pPr>
            <w:r>
              <w:t>粪便收集</w:t>
            </w:r>
          </w:p>
        </w:tc>
        <w:tc>
          <w:tcPr>
            <w:tcW w:w="1810" w:type="dxa"/>
            <w:vAlign w:val="center"/>
          </w:tcPr>
          <w:p>
            <w:pPr>
              <w:pStyle w:val="8"/>
              <w:ind w:firstLine="0" w:firstLineChars="0"/>
              <w:outlineLvl w:val="5"/>
            </w:pPr>
            <w:r>
              <w:t>贮存</w:t>
            </w:r>
            <w:r>
              <w:rPr>
                <w:rFonts w:hint="eastAsia"/>
              </w:rPr>
              <w:t>设施规模</w:t>
            </w:r>
          </w:p>
        </w:tc>
        <w:tc>
          <w:tcPr>
            <w:tcW w:w="1856" w:type="dxa"/>
            <w:vAlign w:val="center"/>
          </w:tcPr>
          <w:p>
            <w:pPr>
              <w:pStyle w:val="8"/>
              <w:ind w:firstLine="0" w:firstLineChars="0"/>
              <w:outlineLvl w:val="5"/>
            </w:pPr>
            <w:r>
              <w:rPr>
                <w:rFonts w:hint="eastAsia"/>
              </w:rPr>
              <w:t>位置</w:t>
            </w:r>
          </w:p>
        </w:tc>
        <w:tc>
          <w:tcPr>
            <w:tcW w:w="1474" w:type="dxa"/>
            <w:vAlign w:val="center"/>
          </w:tcPr>
          <w:p>
            <w:pPr>
              <w:pStyle w:val="8"/>
              <w:ind w:firstLine="0" w:firstLineChars="0"/>
              <w:outlineLvl w:val="5"/>
            </w:pPr>
            <w:r>
              <w:rPr>
                <w:rFonts w:hint="eastAsia"/>
              </w:rPr>
              <w:t>是否</w:t>
            </w:r>
          </w:p>
          <w:p>
            <w:pPr>
              <w:pStyle w:val="8"/>
              <w:ind w:firstLine="0" w:firstLineChars="0"/>
              <w:outlineLvl w:val="5"/>
            </w:pPr>
            <w:r>
              <w:rPr>
                <w:rFonts w:hint="eastAsia"/>
              </w:rPr>
              <w:t>符合要求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529" w:type="dxa"/>
            <w:vAlign w:val="center"/>
          </w:tcPr>
          <w:p>
            <w:pPr>
              <w:pStyle w:val="8"/>
              <w:ind w:firstLine="0" w:firstLineChars="0"/>
              <w:outlineLvl w:val="5"/>
            </w:pPr>
            <w:r>
              <w:rPr>
                <w:rFonts w:hint="eastAsia"/>
              </w:rPr>
              <w:t>1</w:t>
            </w:r>
          </w:p>
        </w:tc>
        <w:tc>
          <w:tcPr>
            <w:tcW w:w="1529" w:type="dxa"/>
            <w:vAlign w:val="center"/>
          </w:tcPr>
          <w:p>
            <w:pPr>
              <w:pStyle w:val="8"/>
              <w:ind w:firstLine="0" w:firstLineChars="0"/>
              <w:outlineLvl w:val="5"/>
            </w:pPr>
            <w:r>
              <w:rPr>
                <w:rFonts w:hint="eastAsia"/>
              </w:rPr>
              <w:t>集污池</w:t>
            </w:r>
          </w:p>
        </w:tc>
        <w:tc>
          <w:tcPr>
            <w:tcW w:w="1810" w:type="dxa"/>
            <w:vAlign w:val="center"/>
          </w:tcPr>
          <w:p>
            <w:pPr>
              <w:pStyle w:val="8"/>
              <w:ind w:firstLine="0" w:firstLineChars="0"/>
              <w:outlineLvl w:val="5"/>
            </w:pPr>
            <w:r>
              <w:rPr>
                <w:rFonts w:hint="eastAsia"/>
              </w:rPr>
              <w:t>1000</w:t>
            </w:r>
            <w:r>
              <w:t>m</w:t>
            </w:r>
            <w:r>
              <w:rPr>
                <w:vertAlign w:val="superscript"/>
              </w:rPr>
              <w:t>3</w:t>
            </w:r>
            <w:r>
              <w:rPr>
                <w:rFonts w:hint="eastAsia"/>
              </w:rPr>
              <w:t>/个，1个</w:t>
            </w:r>
          </w:p>
        </w:tc>
        <w:tc>
          <w:tcPr>
            <w:tcW w:w="1856" w:type="dxa"/>
            <w:vAlign w:val="center"/>
          </w:tcPr>
          <w:p>
            <w:pPr>
              <w:pStyle w:val="8"/>
              <w:ind w:firstLine="0" w:firstLineChars="0"/>
              <w:outlineLvl w:val="5"/>
            </w:pPr>
            <w:r>
              <w:rPr>
                <w:rFonts w:hint="eastAsia"/>
              </w:rPr>
              <w:t>育肥场东侧</w:t>
            </w:r>
          </w:p>
        </w:tc>
        <w:tc>
          <w:tcPr>
            <w:tcW w:w="1474" w:type="dxa"/>
            <w:vAlign w:val="center"/>
          </w:tcPr>
          <w:p>
            <w:pPr>
              <w:pStyle w:val="8"/>
              <w:ind w:firstLine="0" w:firstLineChars="0"/>
              <w:outlineLvl w:val="5"/>
            </w:pPr>
            <w:r>
              <w:rPr>
                <w:rFonts w:hint="eastAsia"/>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1529" w:type="dxa"/>
            <w:vAlign w:val="center"/>
          </w:tcPr>
          <w:p>
            <w:pPr>
              <w:pStyle w:val="8"/>
              <w:ind w:firstLine="0" w:firstLineChars="0"/>
              <w:outlineLvl w:val="5"/>
            </w:pPr>
            <w:r>
              <w:rPr>
                <w:rFonts w:hint="eastAsia"/>
              </w:rPr>
              <w:t>2</w:t>
            </w:r>
          </w:p>
        </w:tc>
        <w:tc>
          <w:tcPr>
            <w:tcW w:w="1529" w:type="dxa"/>
            <w:vAlign w:val="center"/>
          </w:tcPr>
          <w:p>
            <w:pPr>
              <w:pStyle w:val="8"/>
              <w:ind w:firstLine="0" w:firstLineChars="0"/>
              <w:outlineLvl w:val="5"/>
            </w:pPr>
            <w:r>
              <w:rPr>
                <w:rFonts w:hint="eastAsia"/>
              </w:rPr>
              <w:t>发酵床规模</w:t>
            </w:r>
          </w:p>
        </w:tc>
        <w:tc>
          <w:tcPr>
            <w:tcW w:w="1810" w:type="dxa"/>
            <w:vAlign w:val="center"/>
          </w:tcPr>
          <w:p>
            <w:pPr>
              <w:pStyle w:val="8"/>
              <w:ind w:firstLine="0" w:firstLineChars="0"/>
              <w:outlineLvl w:val="5"/>
            </w:pPr>
            <w:r>
              <w:rPr>
                <w:rFonts w:hint="eastAsia"/>
              </w:rPr>
              <w:t>1000m</w:t>
            </w:r>
            <w:r>
              <w:rPr>
                <w:rFonts w:hint="eastAsia"/>
                <w:vertAlign w:val="superscript"/>
              </w:rPr>
              <w:t>2</w:t>
            </w:r>
          </w:p>
        </w:tc>
        <w:tc>
          <w:tcPr>
            <w:tcW w:w="1856" w:type="dxa"/>
            <w:vAlign w:val="center"/>
          </w:tcPr>
          <w:p>
            <w:pPr>
              <w:pStyle w:val="8"/>
              <w:ind w:firstLine="0" w:firstLineChars="0"/>
              <w:outlineLvl w:val="5"/>
            </w:pPr>
            <w:r>
              <w:rPr>
                <w:rFonts w:hint="eastAsia"/>
              </w:rPr>
              <w:t>场区中间</w:t>
            </w:r>
          </w:p>
        </w:tc>
        <w:tc>
          <w:tcPr>
            <w:tcW w:w="1474" w:type="dxa"/>
            <w:vAlign w:val="center"/>
          </w:tcPr>
          <w:p>
            <w:pPr>
              <w:pStyle w:val="8"/>
              <w:ind w:firstLine="0" w:firstLineChars="0"/>
              <w:outlineLvl w:val="5"/>
            </w:pPr>
            <w:r>
              <w:rPr>
                <w:rFonts w:hint="eastAsia"/>
              </w:rPr>
              <w:t>是</w:t>
            </w:r>
          </w:p>
        </w:tc>
      </w:tr>
    </w:tbl>
    <w:p>
      <w:pPr>
        <w:ind w:firstLine="480"/>
      </w:pPr>
      <w:r>
        <w:rPr>
          <w:rFonts w:hint="eastAsia"/>
        </w:rPr>
        <w:t>因此，本项目粪污资源利用化处理设施设计及工艺可行。</w:t>
      </w:r>
    </w:p>
    <w:p>
      <w:pPr>
        <w:ind w:firstLine="480"/>
      </w:pPr>
      <w:r>
        <w:rPr>
          <w:rFonts w:hint="eastAsia"/>
        </w:rPr>
        <w:t>总体而言，本项目无废水外排，项目采取的污粪处理工艺切合当地实际情况，运行成本低，工艺技术成熟，在技术经济上是可行的。</w:t>
      </w:r>
    </w:p>
    <w:p>
      <w:pPr>
        <w:pStyle w:val="5"/>
        <w:spacing w:before="62" w:after="62"/>
      </w:pPr>
      <w:r>
        <w:rPr>
          <w:rFonts w:hint="eastAsia"/>
        </w:rPr>
        <w:t>5.2.2</w:t>
      </w:r>
      <w:r>
        <w:t>营运期废气污染防治措施</w:t>
      </w:r>
      <w:bookmarkEnd w:id="426"/>
    </w:p>
    <w:p>
      <w:pPr>
        <w:ind w:firstLine="480"/>
      </w:pPr>
      <w:r>
        <w:rPr>
          <w:rFonts w:hint="eastAsia"/>
        </w:rPr>
        <w:t>本项目废气主要是猪舍、微生物发酵床车间等无组织排放的恶臭气体（氨、硫化氢等），职工食堂营运后产生的油烟，备用柴油机产生的烟气等。</w:t>
      </w:r>
    </w:p>
    <w:p>
      <w:pPr>
        <w:ind w:firstLine="480"/>
      </w:pPr>
      <w:bookmarkStart w:id="427" w:name="_Toc468689240"/>
      <w:r>
        <w:rPr>
          <w:rFonts w:hint="eastAsia"/>
        </w:rPr>
        <w:t>（</w:t>
      </w:r>
      <w:r>
        <w:t>1</w:t>
      </w:r>
      <w:r>
        <w:rPr>
          <w:rFonts w:hint="eastAsia"/>
        </w:rPr>
        <w:t>）恶臭气体的污染防治措施</w:t>
      </w:r>
      <w:bookmarkEnd w:id="427"/>
    </w:p>
    <w:p>
      <w:pPr>
        <w:ind w:firstLine="480"/>
      </w:pPr>
      <w:r>
        <w:rPr>
          <w:rFonts w:hint="eastAsia"/>
        </w:rPr>
        <w:t>①猪舍设计与除臭</w:t>
      </w:r>
    </w:p>
    <w:p>
      <w:pPr>
        <w:ind w:firstLine="480"/>
      </w:pPr>
      <w:r>
        <w:fldChar w:fldCharType="begin"/>
      </w:r>
      <w:r>
        <w:instrText xml:space="preserve"> = 1 \* alphabetic </w:instrText>
      </w:r>
      <w:r>
        <w:fldChar w:fldCharType="separate"/>
      </w:r>
      <w:r>
        <w:t>a</w:t>
      </w:r>
      <w:r>
        <w:fldChar w:fldCharType="end"/>
      </w:r>
      <w:r>
        <w:rPr>
          <w:rFonts w:hint="eastAsia"/>
        </w:rPr>
        <w:t>、企业选择分区饲养，各猪舍加强通风，且在风机口安装降温除臭水帘。</w:t>
      </w:r>
    </w:p>
    <w:p>
      <w:pPr>
        <w:ind w:firstLine="480"/>
      </w:pPr>
      <w:r>
        <w:rPr>
          <w:rFonts w:hint="eastAsia"/>
        </w:rPr>
        <w:t>降温水帘除臭原理：</w:t>
      </w:r>
    </w:p>
    <w:p>
      <w:pPr>
        <w:ind w:firstLine="480"/>
      </w:pPr>
      <w:r>
        <w:rPr>
          <w:rFonts w:hint="eastAsia"/>
        </w:rPr>
        <w:t>安装方式：一般是在厂房的单侧窗台上安装所需的负压风机，然后在对侧的窗台上安装降温除臭水帘（水帘一般按照窗户的尺寸订做配备），然后在水帘一侧安装水帘所需的水循环系统，使水帘保持湿润。</w:t>
      </w:r>
    </w:p>
    <w:p>
      <w:pPr>
        <w:ind w:firstLine="480"/>
      </w:pPr>
      <w:r>
        <w:rPr>
          <w:rFonts w:hint="eastAsia"/>
        </w:rPr>
        <w:t>降温、除臭原理：当启动风机水帘系统时，负压风机将厂房内部所产生的热气、异味、废气抽到室外，此时厂房内形成负压，所以外界的空气会通过风机对侧的降温除臭水帘进入室内。降温除臭水帘蜂窝状的形状扩大了与空气接触的面积，当空气快速通过水帘时，水帘上的液态水会发生强烈的蒸发作用，带走了空气中的热量，从而使进来的空气都是凉风。同时在水帘循环用水中添加除臭剂，即可将猪舍中产生的恶臭进行吸附吸收，可有效减少猪场恶臭排放。</w:t>
      </w:r>
    </w:p>
    <w:p>
      <w:pPr>
        <w:ind w:firstLine="480"/>
      </w:pPr>
      <w:r>
        <w:fldChar w:fldCharType="begin"/>
      </w:r>
      <w:r>
        <w:instrText xml:space="preserve"> = 2 \* alphabetic </w:instrText>
      </w:r>
      <w:r>
        <w:fldChar w:fldCharType="separate"/>
      </w:r>
      <w:r>
        <w:t>b</w:t>
      </w:r>
      <w:r>
        <w:fldChar w:fldCharType="end"/>
      </w:r>
      <w:r>
        <w:rPr>
          <w:rFonts w:hint="eastAsia"/>
        </w:rPr>
        <w:t>、猪舍及养殖区定期喷洒除臭剂。</w:t>
      </w:r>
    </w:p>
    <w:p>
      <w:pPr>
        <w:ind w:firstLine="480"/>
      </w:pPr>
      <w:r>
        <w:fldChar w:fldCharType="begin"/>
      </w:r>
      <w:r>
        <w:instrText xml:space="preserve"> = 3 \* alphabetic </w:instrText>
      </w:r>
      <w:r>
        <w:fldChar w:fldCharType="separate"/>
      </w:r>
      <w:r>
        <w:t>c</w:t>
      </w:r>
      <w:r>
        <w:fldChar w:fldCharType="end"/>
      </w:r>
      <w:r>
        <w:rPr>
          <w:rFonts w:hint="eastAsia"/>
        </w:rPr>
        <w:t>、保持舍内干燥，减少舍内粉尘、微生物。</w:t>
      </w:r>
    </w:p>
    <w:p>
      <w:pPr>
        <w:ind w:firstLine="480"/>
      </w:pPr>
      <w:r>
        <w:fldChar w:fldCharType="begin"/>
      </w:r>
      <w:r>
        <w:instrText xml:space="preserve"> = 4 \* alphabetic </w:instrText>
      </w:r>
      <w:r>
        <w:fldChar w:fldCharType="separate"/>
      </w:r>
      <w:r>
        <w:t>d</w:t>
      </w:r>
      <w:r>
        <w:fldChar w:fldCharType="end"/>
      </w:r>
      <w:r>
        <w:rPr>
          <w:rFonts w:hint="eastAsia"/>
        </w:rPr>
        <w:t>、病死猪只要及时进行无害化处理。</w:t>
      </w:r>
    </w:p>
    <w:p>
      <w:pPr>
        <w:ind w:firstLine="480"/>
      </w:pPr>
      <w:r>
        <w:fldChar w:fldCharType="begin"/>
      </w:r>
      <w:r>
        <w:instrText xml:space="preserve"> = 5 \* alphabetic </w:instrText>
      </w:r>
      <w:r>
        <w:fldChar w:fldCharType="separate"/>
      </w:r>
      <w:r>
        <w:t>e</w:t>
      </w:r>
      <w:r>
        <w:fldChar w:fldCharType="end"/>
      </w:r>
      <w:r>
        <w:rPr>
          <w:rFonts w:hint="eastAsia"/>
        </w:rPr>
        <w:t>、强化猪舍消毒，如猪舍配备地面消毒设备车库，车棚内应设有车辆清洗消毒设施，病畜隔离间必须设车轮、鞋靴消毒池。</w:t>
      </w:r>
    </w:p>
    <w:p>
      <w:pPr>
        <w:ind w:firstLine="480"/>
      </w:pPr>
      <w:r>
        <w:rPr>
          <w:rFonts w:hint="eastAsia"/>
        </w:rPr>
        <w:t>②科学的设计日粮与饲料添加剂的选用</w:t>
      </w:r>
    </w:p>
    <w:p>
      <w:pPr>
        <w:ind w:firstLine="480"/>
      </w:pPr>
      <w:bookmarkStart w:id="428" w:name="_Hlk486194332"/>
      <w:r>
        <w:rPr>
          <w:rFonts w:hint="eastAsia"/>
        </w:rPr>
        <w:t>猪采饲料后，饲料在食道的消化过程中，因微生物腐败分解而产生臭气，同时，没有消化的部分在体外被微生物降解，因此，提高日粮的消化率，减少干物质（特别是蛋白质）排出量，既可减少肠道臭气的产生量，又可减少粪便排出后臭气的产生量，这是减少恶臭来源的有效措施之一。</w:t>
      </w:r>
    </w:p>
    <w:p>
      <w:pPr>
        <w:ind w:firstLine="480"/>
      </w:pPr>
      <w:r>
        <w:rPr>
          <w:rFonts w:hint="eastAsia"/>
        </w:rPr>
        <w:t>选用氨基酸平衡的低蛋白的饲料和合理使用饲料添加剂</w:t>
      </w:r>
      <w:bookmarkEnd w:id="428"/>
      <w:r>
        <w:rPr>
          <w:rFonts w:hint="eastAsia"/>
        </w:rPr>
        <w:t>，如添加赛迪草，使用</w:t>
      </w:r>
      <w:r>
        <w:t>EM</w:t>
      </w:r>
      <w:r>
        <w:rPr>
          <w:rFonts w:hint="eastAsia"/>
        </w:rPr>
        <w:t>菌液等以减少氮和磷的排放。</w:t>
      </w:r>
    </w:p>
    <w:p>
      <w:pPr>
        <w:ind w:firstLine="480"/>
      </w:pPr>
      <w:r>
        <w:rPr>
          <w:rFonts w:hint="eastAsia"/>
        </w:rPr>
        <w:t>合理选用饲料，利用生物方法，可将猪体内的</w:t>
      </w:r>
      <w:r>
        <w:t>NH</w:t>
      </w:r>
      <w:r>
        <w:rPr>
          <w:vertAlign w:val="subscript"/>
        </w:rPr>
        <w:t>3</w:t>
      </w:r>
      <w:r>
        <w:rPr>
          <w:rFonts w:hint="eastAsia"/>
        </w:rPr>
        <w:t>、硫化氢（</w:t>
      </w:r>
      <w:r>
        <w:t>H</w:t>
      </w:r>
      <w:r>
        <w:rPr>
          <w:vertAlign w:val="subscript"/>
        </w:rPr>
        <w:t>2</w:t>
      </w:r>
      <w:r>
        <w:t>S</w:t>
      </w:r>
      <w:r>
        <w:rPr>
          <w:rFonts w:hint="eastAsia"/>
        </w:rPr>
        <w:t>）、甲烷（</w:t>
      </w:r>
      <w:r>
        <w:t>CH</w:t>
      </w:r>
      <w:r>
        <w:rPr>
          <w:vertAlign w:val="subscript"/>
        </w:rPr>
        <w:t>4</w:t>
      </w:r>
      <w:r>
        <w:rPr>
          <w:rFonts w:hint="eastAsia"/>
        </w:rPr>
        <w:t>）等转化为可供畜体吸收的化合态氮和其他物质，可使排泄物中的营养成分和有害成分都明显降低，从而提高饲料消化利用率，并减少臭气的产生。但值得注意的是：使用添加剂时，应选择微生物、低聚糖等无公害饲料添加剂，以保证畜产品安全和无公害。另外，分阶段饲喂，即用不同养分组成的饲料来饲喂不同生长发育阶段的猪只，使饲料养分更接近猪只的生长需要，可避免养分的浪费和对环境的污染。</w:t>
      </w:r>
    </w:p>
    <w:p>
      <w:pPr>
        <w:ind w:firstLine="480"/>
      </w:pPr>
      <w:bookmarkStart w:id="429" w:name="_Toc468689241"/>
      <w:r>
        <w:rPr>
          <w:rFonts w:hint="eastAsia"/>
        </w:rPr>
        <w:t>③加强异位发酵间的操作管理</w:t>
      </w:r>
    </w:p>
    <w:bookmarkEnd w:id="429"/>
    <w:p>
      <w:pPr>
        <w:ind w:firstLine="480"/>
      </w:pPr>
      <w:r>
        <w:rPr>
          <w:rFonts w:hint="eastAsia"/>
        </w:rPr>
        <w:t>要做好猪场异位发酵床管理工作，定时检测生物发酵床的温度与湿度，维持生物发酵所需的温度与湿度条件，适时补充微生物菌种和发酵床垫料，保持微生物活性，严格控制粪污的喷洒量和喷洒频率，使养殖粪污的能充分地分解与转化，加强通风换气，可使用复合菌抑制臭气的产生。</w:t>
      </w:r>
    </w:p>
    <w:p>
      <w:pPr>
        <w:ind w:firstLine="480"/>
      </w:pPr>
      <w:r>
        <w:rPr>
          <w:rFonts w:hint="eastAsia"/>
        </w:rPr>
        <w:t>④</w:t>
      </w:r>
      <w:r>
        <w:t>控制猪舍的饲养密度</w:t>
      </w:r>
    </w:p>
    <w:p>
      <w:pPr>
        <w:ind w:firstLine="480"/>
      </w:pPr>
      <w:r>
        <w:t>按照猪舍设计面积控制</w:t>
      </w:r>
      <w:r>
        <w:rPr>
          <w:rFonts w:hint="eastAsia"/>
        </w:rPr>
        <w:t>饲养密度，减少过密养殖造成粪尿大量积累，引起恶臭气体深度增加。</w:t>
      </w:r>
    </w:p>
    <w:p>
      <w:pPr>
        <w:ind w:firstLine="480"/>
      </w:pPr>
      <w:r>
        <w:rPr>
          <w:rFonts w:hint="eastAsia"/>
        </w:rPr>
        <w:t>⑤加强绿化</w:t>
      </w:r>
    </w:p>
    <w:p>
      <w:pPr>
        <w:ind w:firstLine="480"/>
      </w:pPr>
      <w:r>
        <w:rPr>
          <w:rFonts w:hint="eastAsia"/>
        </w:rPr>
        <w:t>本项目育肥场均选址在山体中央，在其四周将种植高大的苗木楠树、苹果柚等果树，在场区道路两边种可形成多层防护林带，可以有效防止气味扩散、减少气味、灰尘和细菌含量。栽植合理的防护林可减少灰尘和污染物沉降</w:t>
      </w:r>
      <w:r>
        <w:t>27%</w:t>
      </w:r>
      <w:r>
        <w:rPr>
          <w:rFonts w:hint="eastAsia"/>
        </w:rPr>
        <w:t>～</w:t>
      </w:r>
      <w:r>
        <w:t>30%</w:t>
      </w:r>
      <w:r>
        <w:rPr>
          <w:rFonts w:hint="eastAsia"/>
        </w:rPr>
        <w:t>。可以降低风速，防止气味传播到更远的距离，减少臭气污染的范围；还可降低环境温度，减少气味的产生与挥发。树叶可直接吸收、过滤含有气味的气体和尘粒，从而减轻空气中的气味。树木通过光合作用吸收空气中的</w:t>
      </w:r>
      <w:r>
        <w:t>CO</w:t>
      </w:r>
      <w:r>
        <w:rPr>
          <w:vertAlign w:val="subscript"/>
        </w:rPr>
        <w:t>2</w:t>
      </w:r>
      <w:r>
        <w:rPr>
          <w:rFonts w:hint="eastAsia"/>
        </w:rPr>
        <w:t>，释放出</w:t>
      </w:r>
      <w:r>
        <w:t>O</w:t>
      </w:r>
      <w:r>
        <w:rPr>
          <w:vertAlign w:val="subscript"/>
        </w:rPr>
        <w:t>2</w:t>
      </w:r>
      <w:r>
        <w:rPr>
          <w:rFonts w:hint="eastAsia"/>
        </w:rPr>
        <w:t>，可明显降低空气中</w:t>
      </w:r>
      <w:r>
        <w:t>CO</w:t>
      </w:r>
      <w:r>
        <w:rPr>
          <w:vertAlign w:val="subscript"/>
        </w:rPr>
        <w:t>2</w:t>
      </w:r>
      <w:r>
        <w:rPr>
          <w:rFonts w:hint="eastAsia"/>
        </w:rPr>
        <w:t>浓度，改善空气质量。</w:t>
      </w:r>
    </w:p>
    <w:p>
      <w:pPr>
        <w:ind w:firstLine="480"/>
      </w:pPr>
      <w:r>
        <w:rPr>
          <w:rFonts w:hint="eastAsia"/>
        </w:rPr>
        <w:t>⑥设置卫生防护距离</w:t>
      </w:r>
    </w:p>
    <w:p>
      <w:pPr>
        <w:ind w:firstLine="480"/>
      </w:pPr>
      <w:r>
        <w:rPr>
          <w:rFonts w:hint="eastAsia"/>
        </w:rPr>
        <w:t>项目养殖区设置</w:t>
      </w:r>
      <w:r>
        <w:t>200m</w:t>
      </w:r>
      <w:r>
        <w:rPr>
          <w:rFonts w:hint="eastAsia"/>
        </w:rPr>
        <w:t>卫生防护距离，减少臭气对周围环境空气敏感目标的影响。</w:t>
      </w:r>
    </w:p>
    <w:p>
      <w:pPr>
        <w:ind w:firstLine="480"/>
      </w:pPr>
      <w:r>
        <w:rPr>
          <w:rFonts w:hint="eastAsia"/>
        </w:rPr>
        <w:t>综上，通过采取猪舍加强通风，控制饲养密度，选用氨基酸平衡的低蛋白的饲料和合理使用饲料添加剂，定期</w:t>
      </w:r>
      <w:bookmarkStart w:id="430" w:name="_Hlk486194480"/>
      <w:r>
        <w:rPr>
          <w:rFonts w:hint="eastAsia"/>
        </w:rPr>
        <w:t>喷洒除臭剂</w:t>
      </w:r>
      <w:bookmarkEnd w:id="430"/>
      <w:r>
        <w:rPr>
          <w:rFonts w:hint="eastAsia"/>
        </w:rPr>
        <w:t>，加强生物发酵床的操作管理等措施 ，可降低猪场这些有害气体挥发量。根据中国养猪行业网上</w:t>
      </w:r>
      <w:r>
        <w:t>2015</w:t>
      </w:r>
      <w:r>
        <w:rPr>
          <w:rFonts w:hint="eastAsia"/>
        </w:rPr>
        <w:t>年发布的《养猪场中恶臭控制及其处理技术》，</w:t>
      </w:r>
      <w:r>
        <w:t>EM</w:t>
      </w:r>
      <w:r>
        <w:rPr>
          <w:rFonts w:hint="eastAsia"/>
        </w:rPr>
        <w:t>制剂是一种新型的复合微生物制剂，其可增加猪消化道内有益微生物的数量，调节体内的微生物生态平衡､防治仔猪下痢，促进生长发育，提高猪的饲料转化率，减少肠道内氨､吲哚等恶臭物质的产生｡据北京市环境保护监测中心对</w:t>
      </w:r>
      <w:r>
        <w:t>EM</w:t>
      </w:r>
      <w:r>
        <w:rPr>
          <w:rFonts w:hint="eastAsia"/>
        </w:rPr>
        <w:t>除臭效果进行测试的结果表明使用</w:t>
      </w:r>
      <w:r>
        <w:t>EM</w:t>
      </w:r>
      <w:r>
        <w:rPr>
          <w:rFonts w:hint="eastAsia"/>
        </w:rPr>
        <w:t>一个月后，恶臭浓度下降了</w:t>
      </w:r>
      <w:r>
        <w:t>97.7%</w:t>
      </w:r>
      <w:r>
        <w:rPr>
          <w:rFonts w:hint="eastAsia"/>
        </w:rPr>
        <w:t>。</w:t>
      </w:r>
    </w:p>
    <w:p>
      <w:pPr>
        <w:ind w:firstLine="480"/>
      </w:pPr>
      <w:bookmarkStart w:id="431" w:name="_Toc468689243"/>
      <w:r>
        <w:t>（2）</w:t>
      </w:r>
      <w:r>
        <w:rPr>
          <w:rFonts w:hint="eastAsia"/>
        </w:rPr>
        <w:t>食堂油烟治理措施</w:t>
      </w:r>
      <w:bookmarkEnd w:id="431"/>
    </w:p>
    <w:p>
      <w:pPr>
        <w:ind w:firstLine="480"/>
      </w:pPr>
      <w:r>
        <w:rPr>
          <w:rFonts w:hint="eastAsia"/>
        </w:rPr>
        <w:t>本项目设员工食堂，食堂运营产生油烟废气，配备油烟净化器，设计除烟效率</w:t>
      </w:r>
      <w:r>
        <w:t>85%</w:t>
      </w:r>
      <w:r>
        <w:rPr>
          <w:rFonts w:hint="eastAsia"/>
        </w:rPr>
        <w:t>，经其处理后，项目油烟的排放浓度为</w:t>
      </w:r>
      <w:r>
        <w:t>0.27mg/m</w:t>
      </w:r>
      <w:r>
        <w:rPr>
          <w:vertAlign w:val="superscript"/>
        </w:rPr>
        <w:t>3</w:t>
      </w:r>
      <w:r>
        <w:rPr>
          <w:rFonts w:hint="eastAsia"/>
        </w:rPr>
        <w:t>，满足《饮食业油烟排放标准》（</w:t>
      </w:r>
      <w:r>
        <w:t>GB18438-2001</w:t>
      </w:r>
      <w:r>
        <w:rPr>
          <w:rFonts w:hint="eastAsia"/>
        </w:rPr>
        <w:t>）中的最高允许排放浓度</w:t>
      </w:r>
      <w:r>
        <w:t>2mg/m</w:t>
      </w:r>
      <w:r>
        <w:rPr>
          <w:vertAlign w:val="superscript"/>
        </w:rPr>
        <w:t>3</w:t>
      </w:r>
      <w:r>
        <w:rPr>
          <w:rFonts w:hint="eastAsia"/>
        </w:rPr>
        <w:t>限值和油烟净化率</w:t>
      </w:r>
      <w:r>
        <w:t>≥60%</w:t>
      </w:r>
      <w:r>
        <w:rPr>
          <w:rFonts w:hint="eastAsia"/>
        </w:rPr>
        <w:t>的要求，油烟废气经油烟净化器处理后引至屋顶高于主体建筑排气筒排放。</w:t>
      </w:r>
    </w:p>
    <w:p>
      <w:pPr>
        <w:ind w:firstLine="480"/>
      </w:pPr>
      <w:r>
        <w:t>（</w:t>
      </w:r>
      <w:r>
        <w:rPr>
          <w:rFonts w:hint="eastAsia"/>
        </w:rPr>
        <w:t>3</w:t>
      </w:r>
      <w:r>
        <w:t>）备用柴油发电机烟气</w:t>
      </w:r>
      <w:r>
        <w:rPr>
          <w:rFonts w:hint="eastAsia"/>
        </w:rPr>
        <w:t>防治措施</w:t>
      </w:r>
    </w:p>
    <w:p>
      <w:pPr>
        <w:ind w:firstLine="480"/>
      </w:pPr>
      <w:r>
        <w:rPr>
          <w:rFonts w:hint="eastAsia"/>
        </w:rPr>
        <w:t>项目设有一台备用柴油发电机，以备停电时供应生产用电。燃油发电机设置在柴油发电机房内。</w:t>
      </w:r>
      <w:r>
        <w:t>备用柴油发电机烟气中主要污染物为SO</w:t>
      </w:r>
      <w:r>
        <w:rPr>
          <w:vertAlign w:val="subscript"/>
        </w:rPr>
        <w:t>2</w:t>
      </w:r>
      <w:r>
        <w:t>、NO</w:t>
      </w:r>
      <w:r>
        <w:rPr>
          <w:vertAlign w:val="subscript"/>
        </w:rPr>
        <w:t>X</w:t>
      </w:r>
      <w:r>
        <w:t>、烟尘，</w:t>
      </w:r>
      <w:r>
        <w:rPr>
          <w:rFonts w:hint="eastAsia"/>
        </w:rPr>
        <w:t>项目发电机使用时间不定，无法进行定量计算。环评要求本项目使用</w:t>
      </w:r>
      <w:r>
        <w:t>0＃柴油，0＃柴</w:t>
      </w:r>
      <w:r>
        <w:rPr>
          <w:rFonts w:hint="eastAsia"/>
        </w:rPr>
        <w:t>油属清洁能源，其燃烧产生的废气污染物较少，</w:t>
      </w:r>
      <w:r>
        <w:t>且发电机作为备用电源，使用</w:t>
      </w:r>
      <w:r>
        <w:rPr>
          <w:rFonts w:hint="eastAsia"/>
        </w:rPr>
        <w:t>次</w:t>
      </w:r>
      <w:r>
        <w:t>数不多，建设单位将烟气引至发电机房楼顶排放不会对大气环境产生较大影响。</w:t>
      </w:r>
    </w:p>
    <w:p>
      <w:pPr>
        <w:pStyle w:val="5"/>
        <w:spacing w:before="62" w:after="62"/>
      </w:pPr>
      <w:bookmarkStart w:id="432" w:name="_Toc489916117"/>
      <w:bookmarkStart w:id="433" w:name="_Toc468689244"/>
      <w:r>
        <w:rPr>
          <w:rFonts w:hint="eastAsia"/>
        </w:rPr>
        <w:t>5.2.3</w:t>
      </w:r>
      <w:r>
        <w:t>营运期地下水污染防治措施</w:t>
      </w:r>
      <w:bookmarkEnd w:id="432"/>
      <w:bookmarkEnd w:id="433"/>
    </w:p>
    <w:p>
      <w:pPr>
        <w:ind w:firstLine="480"/>
      </w:pPr>
      <w:r>
        <w:rPr>
          <w:rFonts w:hint="eastAsia"/>
        </w:rPr>
        <w:t>（一）地下水的分区防治</w:t>
      </w:r>
    </w:p>
    <w:p>
      <w:pPr>
        <w:ind w:firstLine="480"/>
      </w:pPr>
      <w:r>
        <w:rPr>
          <w:rFonts w:hint="eastAsia"/>
        </w:rPr>
        <w:t>项目评价区域年大气降水和上游洈水是区域地下水的主要补给来源，地下水自西北向东南径流。</w:t>
      </w:r>
    </w:p>
    <w:p>
      <w:pPr>
        <w:ind w:firstLine="480"/>
      </w:pPr>
      <w:r>
        <w:rPr>
          <w:rFonts w:hint="eastAsia"/>
        </w:rPr>
        <w:t>按照《环境影响评价技术导则地下水环境》（</w:t>
      </w:r>
      <w:r>
        <w:t>HJ610-2016</w:t>
      </w:r>
      <w:r>
        <w:rPr>
          <w:rFonts w:hint="eastAsia"/>
        </w:rPr>
        <w:t>）的要求，根据天然包气带防污性能、污染控制难易程度，各类污染物类型等，将污染区进一步分为重点防渗区、一般防渗区、非污染区。</w:t>
      </w:r>
    </w:p>
    <w:p>
      <w:pPr>
        <w:ind w:firstLine="480"/>
      </w:pPr>
      <w:r>
        <w:rPr>
          <w:rFonts w:hint="eastAsia"/>
        </w:rPr>
        <w:t>拟建项目不含重金属和持久性有机物污染物，所在区域天然包气带防污性能为中等，污水处理设施、污水管道等这些区域比较隐蔽，污染物泄漏后，不容易被人发现，也不能及时得到处理，因此，将污染控制难度较大的化粪池、污水管道以及危险固废临时贮存区域划分为重点防渗区，猪场内的消毒水池及其他固体废物临时贮存区域划分为一般防渗区，猪场内的其他区域划分非污染区。</w:t>
      </w:r>
    </w:p>
    <w:p>
      <w:pPr>
        <w:ind w:firstLine="480"/>
      </w:pPr>
      <w:r>
        <w:rPr>
          <w:rFonts w:hint="eastAsia"/>
        </w:rPr>
        <w:t>①</w:t>
      </w:r>
      <w:r>
        <w:t>非污染区</w:t>
      </w:r>
    </w:p>
    <w:p>
      <w:pPr>
        <w:ind w:firstLine="480"/>
      </w:pPr>
      <w:r>
        <w:t>对于非污染区，地面进行水泥硬化可以满足该区域防渗的要求。</w:t>
      </w:r>
    </w:p>
    <w:p>
      <w:pPr>
        <w:ind w:firstLine="480"/>
      </w:pPr>
      <w:r>
        <w:rPr>
          <w:rFonts w:hint="eastAsia"/>
        </w:rPr>
        <w:t>②</w:t>
      </w:r>
      <w:r>
        <w:t>一般防护区</w:t>
      </w:r>
    </w:p>
    <w:p>
      <w:pPr>
        <w:ind w:firstLine="480"/>
      </w:pPr>
      <w:r>
        <w:t>一般防护区参照《生活垃圾填埋场污染控制标准》(GB16889-2008)有关要求进行设计，采取的防渗措施如下：地基处理时表层50cm以上的夯实粘性土层（要求压实后渗透系数为10</w:t>
      </w:r>
      <w:r>
        <w:rPr>
          <w:vertAlign w:val="superscript"/>
        </w:rPr>
        <w:t>-7</w:t>
      </w:r>
      <w:r>
        <w:t>cm/s至10</w:t>
      </w:r>
      <w:r>
        <w:rPr>
          <w:vertAlign w:val="superscript"/>
        </w:rPr>
        <w:t>-5</w:t>
      </w:r>
      <w:r>
        <w:t>cm/s），上部铺设15cm厚的防渗钢纤维混凝土现浇垫层（渗透系数不大于10</w:t>
      </w:r>
      <w:r>
        <w:rPr>
          <w:vertAlign w:val="superscript"/>
        </w:rPr>
        <w:t>-</w:t>
      </w:r>
      <w:r>
        <w:rPr>
          <w:rFonts w:hint="eastAsia"/>
          <w:vertAlign w:val="superscript"/>
        </w:rPr>
        <w:t>7</w:t>
      </w:r>
      <w:r>
        <w:t>cm/s）。</w:t>
      </w:r>
    </w:p>
    <w:p>
      <w:pPr>
        <w:ind w:firstLine="480"/>
      </w:pPr>
      <w:r>
        <w:rPr>
          <w:rFonts w:hint="eastAsia"/>
        </w:rPr>
        <w:t>③</w:t>
      </w:r>
      <w:r>
        <w:t>重点防护区</w:t>
      </w:r>
    </w:p>
    <w:p>
      <w:pPr>
        <w:ind w:firstLine="480"/>
      </w:pPr>
      <w:r>
        <w:t>可能造成地下水污染的构筑物，如猪舍</w:t>
      </w:r>
      <w:r>
        <w:rPr>
          <w:rFonts w:hint="eastAsia"/>
        </w:rPr>
        <w:t>集污池、发酵床车间</w:t>
      </w:r>
      <w:r>
        <w:t>等这些构筑物在基础建设时需要在底层</w:t>
      </w:r>
      <w:r>
        <w:rPr>
          <w:lang w:val="en-GB"/>
        </w:rPr>
        <w:t>填充粘土隔水层和防渗膜，采用混凝土结构，构筑物内部需要进行防渗和防腐处理，防渗措施应符合《给水排水工程构筑物结构设计规范（GB50069）》相关要求，防腐措施应符合《工业建筑防腐蚀设计规范（GB 50046）》相关要求。</w:t>
      </w:r>
    </w:p>
    <w:p>
      <w:pPr>
        <w:ind w:firstLine="480"/>
      </w:pPr>
      <w:r>
        <w:t>地基处理时达到50cm以上厚的夯实粘性土层（要求压实后渗透系数为10</w:t>
      </w:r>
      <w:r>
        <w:rPr>
          <w:vertAlign w:val="superscript"/>
        </w:rPr>
        <w:t>-7</w:t>
      </w:r>
      <w:r>
        <w:t>cm/s至10</w:t>
      </w:r>
      <w:r>
        <w:rPr>
          <w:vertAlign w:val="superscript"/>
        </w:rPr>
        <w:t>-5</w:t>
      </w:r>
      <w:r>
        <w:t>cm/s）、20-30cm厚的砂石垫层、15cm厚的防渗钢纤维混凝土现浇垫层、地表面可考虑涂刷水泥基结晶形防渗涂料（渗透系数不大于10</w:t>
      </w:r>
      <w:r>
        <w:rPr>
          <w:vertAlign w:val="superscript"/>
        </w:rPr>
        <w:t>-12</w:t>
      </w:r>
      <w:r>
        <w:t>cm/s）。</w:t>
      </w:r>
    </w:p>
    <w:p>
      <w:pPr>
        <w:pStyle w:val="11"/>
      </w:pPr>
      <w:r>
        <w:t xml:space="preserve">表5.2- </w:t>
      </w:r>
      <w:r>
        <w:fldChar w:fldCharType="begin"/>
      </w:r>
      <w:r>
        <w:instrText xml:space="preserve"> SEQ 表5.2- \* ARABIC </w:instrText>
      </w:r>
      <w:r>
        <w:fldChar w:fldCharType="separate"/>
      </w:r>
      <w:r>
        <w:t>2</w:t>
      </w:r>
      <w:r>
        <w:fldChar w:fldCharType="end"/>
      </w:r>
      <w:r>
        <w:rPr>
          <w:rFonts w:hint="eastAsia"/>
        </w:rPr>
        <w:t xml:space="preserve">  厂区防渗分区一览表</w:t>
      </w:r>
    </w:p>
    <w:tbl>
      <w:tblPr>
        <w:tblStyle w:val="22"/>
        <w:tblW w:w="8100" w:type="dxa"/>
        <w:tblInd w:w="60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54"/>
        <w:gridCol w:w="3059"/>
        <w:gridCol w:w="2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2454" w:type="dxa"/>
            <w:vAlign w:val="center"/>
          </w:tcPr>
          <w:p>
            <w:pPr>
              <w:pStyle w:val="8"/>
              <w:ind w:firstLine="0" w:firstLineChars="0"/>
              <w:outlineLvl w:val="5"/>
            </w:pPr>
            <w:r>
              <w:rPr>
                <w:rFonts w:hint="eastAsia"/>
              </w:rPr>
              <w:t>厂区装置</w:t>
            </w:r>
          </w:p>
        </w:tc>
        <w:tc>
          <w:tcPr>
            <w:tcW w:w="3059" w:type="dxa"/>
            <w:vAlign w:val="center"/>
          </w:tcPr>
          <w:p>
            <w:pPr>
              <w:pStyle w:val="8"/>
              <w:ind w:firstLine="0" w:firstLineChars="0"/>
              <w:outlineLvl w:val="5"/>
            </w:pPr>
            <w:r>
              <w:rPr>
                <w:rFonts w:hint="eastAsia"/>
              </w:rPr>
              <w:t>防渗分区</w:t>
            </w:r>
          </w:p>
        </w:tc>
        <w:tc>
          <w:tcPr>
            <w:tcW w:w="2587" w:type="dxa"/>
            <w:vAlign w:val="center"/>
          </w:tcPr>
          <w:p>
            <w:pPr>
              <w:pStyle w:val="8"/>
              <w:ind w:firstLine="0" w:firstLineChars="0"/>
              <w:outlineLvl w:val="5"/>
            </w:pPr>
            <w:r>
              <w:rPr>
                <w:rFonts w:hint="eastAsia"/>
              </w:rPr>
              <w:t>防渗性能技术要求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454" w:type="dxa"/>
            <w:vAlign w:val="center"/>
          </w:tcPr>
          <w:p>
            <w:pPr>
              <w:pStyle w:val="8"/>
              <w:ind w:firstLine="0" w:firstLineChars="0"/>
              <w:outlineLvl w:val="5"/>
            </w:pPr>
            <w:r>
              <w:rPr>
                <w:rFonts w:hint="eastAsia"/>
              </w:rPr>
              <w:t>固废库</w:t>
            </w:r>
          </w:p>
        </w:tc>
        <w:tc>
          <w:tcPr>
            <w:tcW w:w="3059" w:type="dxa"/>
            <w:vMerge w:val="restart"/>
            <w:vAlign w:val="center"/>
          </w:tcPr>
          <w:p>
            <w:pPr>
              <w:pStyle w:val="8"/>
              <w:ind w:firstLine="0" w:firstLineChars="0"/>
              <w:outlineLvl w:val="5"/>
            </w:pPr>
            <w:r>
              <w:rPr>
                <w:rFonts w:hint="eastAsia"/>
              </w:rPr>
              <w:t>一般防渗区</w:t>
            </w:r>
          </w:p>
        </w:tc>
        <w:tc>
          <w:tcPr>
            <w:tcW w:w="2587" w:type="dxa"/>
            <w:vMerge w:val="restart"/>
            <w:vAlign w:val="center"/>
          </w:tcPr>
          <w:p>
            <w:pPr>
              <w:pStyle w:val="8"/>
              <w:ind w:firstLine="0" w:firstLineChars="0"/>
              <w:outlineLvl w:val="5"/>
            </w:pPr>
            <w:r>
              <w:rPr>
                <w:szCs w:val="21"/>
              </w:rPr>
              <w:t>等效黏土防渗层Mb≥1.5m，K≤ 1×10</w:t>
            </w:r>
            <w:r>
              <w:rPr>
                <w:szCs w:val="21"/>
                <w:vertAlign w:val="superscript"/>
              </w:rPr>
              <w:t>-7</w:t>
            </w:r>
            <w:r>
              <w:rPr>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454" w:type="dxa"/>
            <w:vAlign w:val="center"/>
          </w:tcPr>
          <w:p>
            <w:pPr>
              <w:pStyle w:val="8"/>
              <w:ind w:firstLine="0" w:firstLineChars="0"/>
              <w:outlineLvl w:val="5"/>
            </w:pPr>
            <w:r>
              <w:rPr>
                <w:rFonts w:hint="eastAsia"/>
              </w:rPr>
              <w:t>危废库</w:t>
            </w:r>
          </w:p>
        </w:tc>
        <w:tc>
          <w:tcPr>
            <w:tcW w:w="3059" w:type="dxa"/>
            <w:vMerge w:val="continue"/>
            <w:vAlign w:val="center"/>
          </w:tcPr>
          <w:p>
            <w:pPr>
              <w:pStyle w:val="8"/>
              <w:ind w:firstLine="0" w:firstLineChars="0"/>
              <w:outlineLvl w:val="5"/>
            </w:pPr>
          </w:p>
        </w:tc>
        <w:tc>
          <w:tcPr>
            <w:tcW w:w="2587" w:type="dxa"/>
            <w:vMerge w:val="continue"/>
            <w:vAlign w:val="center"/>
          </w:tcPr>
          <w:p>
            <w:pPr>
              <w:pStyle w:val="8"/>
              <w:ind w:firstLine="0" w:firstLineChars="0"/>
              <w:outlineLvl w:val="5"/>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454" w:type="dxa"/>
            <w:vAlign w:val="center"/>
          </w:tcPr>
          <w:p>
            <w:pPr>
              <w:pStyle w:val="8"/>
              <w:ind w:firstLine="0" w:firstLineChars="0"/>
              <w:outlineLvl w:val="5"/>
            </w:pPr>
            <w:r>
              <w:rPr>
                <w:rFonts w:hint="eastAsia"/>
              </w:rPr>
              <w:t>冷冻库</w:t>
            </w:r>
          </w:p>
        </w:tc>
        <w:tc>
          <w:tcPr>
            <w:tcW w:w="3059" w:type="dxa"/>
            <w:vMerge w:val="continue"/>
            <w:vAlign w:val="center"/>
          </w:tcPr>
          <w:p>
            <w:pPr>
              <w:pStyle w:val="8"/>
              <w:ind w:firstLine="0" w:firstLineChars="0"/>
              <w:outlineLvl w:val="5"/>
            </w:pPr>
          </w:p>
        </w:tc>
        <w:tc>
          <w:tcPr>
            <w:tcW w:w="2587" w:type="dxa"/>
            <w:vMerge w:val="continue"/>
            <w:vAlign w:val="center"/>
          </w:tcPr>
          <w:p>
            <w:pPr>
              <w:pStyle w:val="8"/>
              <w:ind w:firstLine="0" w:firstLineChars="0"/>
              <w:outlineLvl w:val="5"/>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454" w:type="dxa"/>
            <w:vAlign w:val="center"/>
          </w:tcPr>
          <w:p>
            <w:pPr>
              <w:pStyle w:val="8"/>
              <w:ind w:firstLine="0" w:firstLineChars="0"/>
              <w:outlineLvl w:val="5"/>
            </w:pPr>
            <w:r>
              <w:rPr>
                <w:rFonts w:hint="eastAsia"/>
              </w:rPr>
              <w:t>集污池</w:t>
            </w:r>
          </w:p>
        </w:tc>
        <w:tc>
          <w:tcPr>
            <w:tcW w:w="3059" w:type="dxa"/>
            <w:vMerge w:val="continue"/>
            <w:vAlign w:val="center"/>
          </w:tcPr>
          <w:p>
            <w:pPr>
              <w:pStyle w:val="8"/>
              <w:ind w:firstLine="0" w:firstLineChars="0"/>
              <w:outlineLvl w:val="5"/>
            </w:pPr>
          </w:p>
        </w:tc>
        <w:tc>
          <w:tcPr>
            <w:tcW w:w="2587" w:type="dxa"/>
            <w:vMerge w:val="continue"/>
            <w:vAlign w:val="center"/>
          </w:tcPr>
          <w:p>
            <w:pPr>
              <w:pStyle w:val="8"/>
              <w:ind w:firstLine="0" w:firstLineChars="0"/>
              <w:outlineLvl w:val="5"/>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454" w:type="dxa"/>
            <w:vAlign w:val="center"/>
          </w:tcPr>
          <w:p>
            <w:pPr>
              <w:pStyle w:val="8"/>
              <w:ind w:firstLine="0" w:firstLineChars="0"/>
              <w:outlineLvl w:val="5"/>
            </w:pPr>
            <w:r>
              <w:rPr>
                <w:rFonts w:hint="eastAsia"/>
              </w:rPr>
              <w:t>发酵床</w:t>
            </w:r>
          </w:p>
        </w:tc>
        <w:tc>
          <w:tcPr>
            <w:tcW w:w="3059" w:type="dxa"/>
            <w:vMerge w:val="continue"/>
            <w:vAlign w:val="center"/>
          </w:tcPr>
          <w:p>
            <w:pPr>
              <w:pStyle w:val="8"/>
              <w:ind w:firstLine="0" w:firstLineChars="0"/>
              <w:outlineLvl w:val="5"/>
            </w:pPr>
          </w:p>
        </w:tc>
        <w:tc>
          <w:tcPr>
            <w:tcW w:w="2587" w:type="dxa"/>
            <w:vMerge w:val="continue"/>
            <w:vAlign w:val="center"/>
          </w:tcPr>
          <w:p>
            <w:pPr>
              <w:pStyle w:val="8"/>
              <w:ind w:firstLine="0" w:firstLineChars="0"/>
              <w:outlineLvl w:val="5"/>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454" w:type="dxa"/>
            <w:vAlign w:val="center"/>
          </w:tcPr>
          <w:p>
            <w:pPr>
              <w:pStyle w:val="8"/>
              <w:ind w:firstLine="0" w:firstLineChars="0"/>
              <w:outlineLvl w:val="5"/>
            </w:pPr>
            <w:r>
              <w:rPr>
                <w:rFonts w:hint="eastAsia"/>
              </w:rPr>
              <w:t>猪舍</w:t>
            </w:r>
          </w:p>
        </w:tc>
        <w:tc>
          <w:tcPr>
            <w:tcW w:w="3059" w:type="dxa"/>
            <w:vMerge w:val="continue"/>
            <w:vAlign w:val="center"/>
          </w:tcPr>
          <w:p>
            <w:pPr>
              <w:pStyle w:val="8"/>
              <w:ind w:firstLine="0" w:firstLineChars="0"/>
              <w:outlineLvl w:val="5"/>
            </w:pPr>
          </w:p>
        </w:tc>
        <w:tc>
          <w:tcPr>
            <w:tcW w:w="2587" w:type="dxa"/>
            <w:vMerge w:val="continue"/>
            <w:vAlign w:val="center"/>
          </w:tcPr>
          <w:p>
            <w:pPr>
              <w:pStyle w:val="8"/>
              <w:ind w:firstLine="0" w:firstLineChars="0"/>
              <w:outlineLvl w:val="5"/>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454" w:type="dxa"/>
            <w:vAlign w:val="center"/>
          </w:tcPr>
          <w:p>
            <w:pPr>
              <w:pStyle w:val="8"/>
              <w:ind w:firstLine="0" w:firstLineChars="0"/>
              <w:outlineLvl w:val="5"/>
            </w:pPr>
            <w:r>
              <w:rPr>
                <w:rFonts w:hint="eastAsia"/>
              </w:rPr>
              <w:t>办公楼</w:t>
            </w:r>
          </w:p>
        </w:tc>
        <w:tc>
          <w:tcPr>
            <w:tcW w:w="3059" w:type="dxa"/>
            <w:vMerge w:val="restart"/>
            <w:vAlign w:val="center"/>
          </w:tcPr>
          <w:p>
            <w:pPr>
              <w:pStyle w:val="8"/>
              <w:ind w:firstLine="0" w:firstLineChars="0"/>
              <w:outlineLvl w:val="5"/>
            </w:pPr>
            <w:r>
              <w:rPr>
                <w:rFonts w:hint="eastAsia"/>
              </w:rPr>
              <w:t>简单防渗区</w:t>
            </w:r>
          </w:p>
        </w:tc>
        <w:tc>
          <w:tcPr>
            <w:tcW w:w="2587" w:type="dxa"/>
            <w:vMerge w:val="restart"/>
            <w:vAlign w:val="center"/>
          </w:tcPr>
          <w:p>
            <w:pPr>
              <w:pStyle w:val="8"/>
              <w:ind w:firstLine="0" w:firstLineChars="0"/>
              <w:outlineLvl w:val="5"/>
              <w:rPr>
                <w:szCs w:val="21"/>
              </w:rPr>
            </w:pPr>
            <w:r>
              <w:rPr>
                <w:rFonts w:hint="eastAsia"/>
                <w:szCs w:val="21"/>
              </w:rPr>
              <w:t>一般地面硬化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2454" w:type="dxa"/>
            <w:vAlign w:val="center"/>
          </w:tcPr>
          <w:p>
            <w:pPr>
              <w:pStyle w:val="8"/>
              <w:ind w:firstLine="0" w:firstLineChars="0"/>
              <w:outlineLvl w:val="5"/>
              <w:rPr>
                <w:highlight w:val="yellow"/>
              </w:rPr>
            </w:pPr>
            <w:r>
              <w:rPr>
                <w:rFonts w:hint="eastAsia"/>
              </w:rPr>
              <w:t>公厕</w:t>
            </w:r>
          </w:p>
        </w:tc>
        <w:tc>
          <w:tcPr>
            <w:tcW w:w="3059" w:type="dxa"/>
            <w:vMerge w:val="continue"/>
            <w:vAlign w:val="center"/>
          </w:tcPr>
          <w:p>
            <w:pPr>
              <w:pStyle w:val="8"/>
              <w:ind w:firstLine="0" w:firstLineChars="0"/>
              <w:outlineLvl w:val="5"/>
              <w:rPr>
                <w:highlight w:val="yellow"/>
              </w:rPr>
            </w:pPr>
          </w:p>
        </w:tc>
        <w:tc>
          <w:tcPr>
            <w:tcW w:w="2587" w:type="dxa"/>
            <w:vMerge w:val="continue"/>
            <w:vAlign w:val="center"/>
          </w:tcPr>
          <w:p>
            <w:pPr>
              <w:pStyle w:val="8"/>
              <w:ind w:firstLine="0" w:firstLineChars="0"/>
              <w:outlineLvl w:val="5"/>
              <w:rPr>
                <w:szCs w:val="21"/>
                <w:highlight w:val="yellow"/>
              </w:rPr>
            </w:pPr>
          </w:p>
        </w:tc>
      </w:tr>
    </w:tbl>
    <w:p>
      <w:pPr>
        <w:ind w:firstLine="480"/>
      </w:pPr>
      <w:r>
        <w:rPr>
          <w:rFonts w:hint="eastAsia"/>
        </w:rPr>
        <w:t>（二）地下水污染防治措施</w:t>
      </w:r>
    </w:p>
    <w:p>
      <w:pPr>
        <w:ind w:firstLine="480"/>
      </w:pPr>
      <w:r>
        <w:t>针对本项目地下水的污染途径，本评价提出以下污染防治措施：</w:t>
      </w:r>
    </w:p>
    <w:p>
      <w:pPr>
        <w:ind w:firstLine="480"/>
      </w:pPr>
      <w:r>
        <w:rPr>
          <w:rFonts w:hint="eastAsia"/>
        </w:rPr>
        <w:t>①</w:t>
      </w:r>
      <w:r>
        <w:t>场区粪污储存池均采取混凝土结构，并满足重点防渗要求；粪污收集渠道采取混凝土结构，渠道内再铺设专用PVC塑料管道运输粪污，接口必须密封紧密，粪污收集运输管道要经常检查，防止粪污水泄漏；</w:t>
      </w:r>
    </w:p>
    <w:p>
      <w:pPr>
        <w:ind w:firstLine="480"/>
      </w:pPr>
      <w:r>
        <w:rPr>
          <w:rFonts w:hint="eastAsia"/>
        </w:rPr>
        <w:t>②</w:t>
      </w:r>
      <w:r>
        <w:t>养殖场的排水系统应实行雨水和污水收集输送系统分离，避免雨水进入污水系统装置。</w:t>
      </w:r>
    </w:p>
    <w:p>
      <w:pPr>
        <w:ind w:firstLine="480"/>
      </w:pPr>
      <w:r>
        <w:rPr>
          <w:rFonts w:hint="eastAsia"/>
        </w:rPr>
        <w:t>③</w:t>
      </w:r>
      <w:r>
        <w:t>危废暂存间按照要求采取防渗漏措施。</w:t>
      </w:r>
    </w:p>
    <w:p>
      <w:pPr>
        <w:ind w:firstLine="480"/>
      </w:pPr>
      <w:r>
        <w:rPr>
          <w:rFonts w:hint="eastAsia"/>
        </w:rPr>
        <w:t>④</w:t>
      </w:r>
      <w:r>
        <w:t>冷冻库基底按《畜禽养殖业污染治理工程技术规范》要求采取防渗措施。</w:t>
      </w:r>
    </w:p>
    <w:p>
      <w:pPr>
        <w:ind w:firstLine="480"/>
      </w:pPr>
      <w:r>
        <w:rPr>
          <w:rFonts w:hint="eastAsia"/>
        </w:rPr>
        <w:t>⑤</w:t>
      </w:r>
      <w:r>
        <w:t>在场区周围地势低的地方设地下水监测点</w:t>
      </w:r>
      <w:r>
        <w:rPr>
          <w:rFonts w:hint="eastAsia"/>
        </w:rPr>
        <w:t>设置1个地下水监测点位，</w:t>
      </w:r>
      <w:r>
        <w:t>并定期进行监测，以便发现问题及时采取措施，并将监测结果公开。</w:t>
      </w:r>
    </w:p>
    <w:p>
      <w:pPr>
        <w:ind w:firstLine="480"/>
      </w:pPr>
      <w:r>
        <w:t>（三）地下水环境监测与管理</w:t>
      </w:r>
    </w:p>
    <w:p>
      <w:pPr>
        <w:ind w:firstLine="480"/>
      </w:pPr>
      <w:r>
        <w:rPr>
          <w:rFonts w:hint="eastAsia"/>
        </w:rPr>
        <w:t>（1）</w:t>
      </w:r>
      <w:r>
        <w:t>建立地下水环境监测管理体系</w:t>
      </w:r>
    </w:p>
    <w:p>
      <w:pPr>
        <w:ind w:firstLine="480"/>
      </w:pPr>
      <w:r>
        <w:t>包括制定地下水环境影响跟踪监测计划、建立地下水环境影响跟踪监测制度、配备先进的监测仪器和设备，以便及时发现问题，采取措施。</w:t>
      </w:r>
    </w:p>
    <w:p>
      <w:pPr>
        <w:ind w:firstLine="480"/>
      </w:pPr>
      <w:r>
        <w:t>跟踪监测计划应根据环境水文地质条件和建设项目特点设置跟踪监测点，跟踪监测点应明确与建设项目的位置关系，给出点位、坐标、井深、井结构、监测层位、监测因子及监测频率等相关参数。</w:t>
      </w:r>
    </w:p>
    <w:p>
      <w:pPr>
        <w:ind w:firstLine="480" w:firstLineChars="0"/>
      </w:pPr>
      <w:r>
        <w:rPr>
          <w:rFonts w:hint="eastAsia"/>
        </w:rPr>
        <w:t>①</w:t>
      </w:r>
      <w:r>
        <w:t>跟踪监测点数量要求</w:t>
      </w:r>
    </w:p>
    <w:p>
      <w:pPr>
        <w:ind w:firstLine="480"/>
      </w:pPr>
      <w:r>
        <w:rPr>
          <w:rFonts w:hint="eastAsia"/>
        </w:rPr>
        <w:t>根据《环境影响评价技术导则地下水环境》（</w:t>
      </w:r>
      <w:r>
        <w:t>HJ610-2016</w:t>
      </w:r>
      <w:r>
        <w:rPr>
          <w:rFonts w:hint="eastAsia"/>
        </w:rPr>
        <w:t>）要求：</w:t>
      </w:r>
    </w:p>
    <w:p>
      <w:pPr>
        <w:ind w:firstLine="480"/>
      </w:pPr>
      <w:r>
        <w:t>A一、二级评价的建设项目，一般不少于3个，应至少在建设项目场地，上、下游各布设1个。一级评价的建设项目，应在建设项目总图布置基础上，结合预测评价结果和应急响应时间要求，在重点污染风险源处增设监测点。</w:t>
      </w:r>
    </w:p>
    <w:p>
      <w:pPr>
        <w:ind w:firstLine="480"/>
      </w:pPr>
      <w:r>
        <w:t>B三级评价的建设项目，一般不少于1个，应至少在建设项目场地下游布设1个。</w:t>
      </w:r>
    </w:p>
    <w:p>
      <w:pPr>
        <w:ind w:firstLine="480"/>
      </w:pPr>
      <w:r>
        <w:rPr>
          <w:rFonts w:hint="eastAsia"/>
        </w:rPr>
        <w:t>本项目育肥场地下水环境影响评价等级为三级，则跟踪监测点布设数量要求为一般不少于1个，</w:t>
      </w:r>
      <w:r>
        <w:t>至少在建设项目场地下游布设1个。</w:t>
      </w:r>
    </w:p>
    <w:p>
      <w:pPr>
        <w:ind w:firstLine="480"/>
      </w:pPr>
      <w:r>
        <w:rPr>
          <w:rFonts w:hint="eastAsia"/>
        </w:rPr>
        <w:t>②</w:t>
      </w:r>
      <w:r>
        <w:t>明确跟踪监测点的基本功能，如背景值监测点、地下水环境影响跟踪监测点、污染扩散监测点等，必要时，明确跟踪监测点兼具的污染控制功能。</w:t>
      </w:r>
    </w:p>
    <w:p>
      <w:pPr>
        <w:ind w:firstLine="480"/>
      </w:pPr>
      <w:r>
        <w:rPr>
          <w:rFonts w:hint="eastAsia"/>
        </w:rPr>
        <w:t>③</w:t>
      </w:r>
      <w:r>
        <w:t>根据环境管理对监测工作的需要，提出有关监测机构、人员及装备的建议。</w:t>
      </w:r>
    </w:p>
    <w:p>
      <w:pPr>
        <w:ind w:firstLine="480"/>
      </w:pPr>
      <w:r>
        <w:rPr>
          <w:rFonts w:hint="eastAsia"/>
        </w:rPr>
        <w:t>（2）</w:t>
      </w:r>
      <w:r>
        <w:t>制定地下水环境跟踪监测与信息公开计划</w:t>
      </w:r>
    </w:p>
    <w:p>
      <w:pPr>
        <w:ind w:firstLine="480"/>
      </w:pPr>
      <w:r>
        <w:rPr>
          <w:rFonts w:hint="eastAsia"/>
        </w:rPr>
        <w:t>①</w:t>
      </w:r>
      <w:r>
        <w:t>落实跟踪监测报告编制的责任主体，明确地下水环境跟踪监测报告的内容，一般应包括：</w:t>
      </w:r>
    </w:p>
    <w:p>
      <w:pPr>
        <w:ind w:firstLine="480"/>
      </w:pPr>
      <w:r>
        <w:t>A建设项目所在场地及其影响区地下水跟踪监测数据，排放污染物的种类、数量、浓度。</w:t>
      </w:r>
    </w:p>
    <w:p>
      <w:pPr>
        <w:ind w:firstLine="480"/>
      </w:pPr>
      <w:r>
        <w:t>B生产设备、管廊或管线、贮存与运输装置、污染物贮存与处理装置、事故应急装置等设施的运行状况、跑冒漏滴记录、维护记录。</w:t>
      </w:r>
    </w:p>
    <w:p>
      <w:pPr>
        <w:ind w:firstLine="480"/>
      </w:pPr>
      <w:r>
        <w:rPr>
          <w:rFonts w:hint="eastAsia"/>
        </w:rPr>
        <w:t>②</w:t>
      </w:r>
      <w:r>
        <w:t>信息公开计划应至少包括建设项目特征因子的地下水环境监测值。</w:t>
      </w:r>
    </w:p>
    <w:p>
      <w:pPr>
        <w:ind w:firstLine="480"/>
      </w:pPr>
      <w:r>
        <w:rPr>
          <w:rFonts w:hint="eastAsia"/>
        </w:rPr>
        <w:t>（四）</w:t>
      </w:r>
      <w:r>
        <w:t>应急响应</w:t>
      </w:r>
    </w:p>
    <w:p>
      <w:pPr>
        <w:ind w:firstLine="480"/>
      </w:pPr>
      <w:r>
        <w:t>制定地下水污染应急响应预案，明确污染状况下应采取的控制污染源、切断污染途径等措施。</w:t>
      </w:r>
    </w:p>
    <w:p>
      <w:pPr>
        <w:ind w:firstLine="480"/>
      </w:pPr>
      <w:r>
        <w:rPr>
          <w:rFonts w:hint="eastAsia"/>
        </w:rPr>
        <w:t>综上，本次评价认为，只要规范操作，加强管理，发生事故的概率极小，经采取以上防治措施后，不会对地下水造成污染影响，防治措施可行。</w:t>
      </w:r>
    </w:p>
    <w:p>
      <w:pPr>
        <w:pStyle w:val="5"/>
        <w:spacing w:before="62" w:after="62"/>
      </w:pPr>
      <w:r>
        <w:rPr>
          <w:rFonts w:hint="eastAsia"/>
        </w:rPr>
        <w:t>5.2.4</w:t>
      </w:r>
      <w:r>
        <w:t>营运期噪声控制措施</w:t>
      </w:r>
    </w:p>
    <w:p>
      <w:pPr>
        <w:ind w:firstLine="480"/>
      </w:pPr>
      <w:r>
        <w:t>本项目运营期噪声主要来自猪群叫声、风机噪声等，拟采取如下措施对其进行治理。</w:t>
      </w:r>
    </w:p>
    <w:p>
      <w:pPr>
        <w:ind w:firstLine="480"/>
      </w:pPr>
      <w:r>
        <w:t>（1）项目在平面布置上优化设计。采用“闹静分开”和合理布局的设施原则，尽量将养殖场布设在地块中央，远离了外噪声敏感区域。</w:t>
      </w:r>
    </w:p>
    <w:p>
      <w:pPr>
        <w:ind w:firstLine="480"/>
      </w:pPr>
      <w:r>
        <w:t>（2）为了减少猪叫声对操作工人及周围环境的影响，尽可能满足猪只饮食需要，避免因饥饿或口渴而发出叫声；同时应减少外界噪声及突发性噪声等对猪舍的干扰，避免因惊吓而产生不安，使猪只保持安定平和的气氛。并通过合理的平面布局，以降低噪声对周边环境不良影响。</w:t>
      </w:r>
    </w:p>
    <w:p>
      <w:pPr>
        <w:ind w:firstLine="480"/>
      </w:pPr>
      <w:r>
        <w:t>（3）对于高噪声设备，注意设备选型及安装。在安装时，高噪声设备须采取减震、隔震措施，可降低噪声源强还可减少噪声的传播。设置专门的设备用房放置生产工艺使用的机器并进行隔音处理。对机器进行定期检查，防止由于机器不正常运转时产生的噪声。选用低噪声排气扇，在订购时应提出相应的控制指标。</w:t>
      </w:r>
    </w:p>
    <w:p>
      <w:pPr>
        <w:ind w:firstLine="480"/>
      </w:pPr>
      <w:r>
        <w:t>（4）猪舍四周加强绿化，种植楠树等高大苗木作为绿化隔声带，加强对噪声的隔阻效果。</w:t>
      </w:r>
    </w:p>
    <w:p>
      <w:pPr>
        <w:ind w:firstLine="480"/>
      </w:pPr>
      <w:r>
        <w:t>在采取以上措施后，厂界的噪声值能满足《工业企业厂界环境噪声排放标准》（GB12348-2008）2类标准的要求。由同项目类比可知，本建设工程所采用的各种噪声治理措施，均是成熟可靠的措施，只要严格管理，勤于维护，均可达到预期的治理效果，措施可行。</w:t>
      </w:r>
    </w:p>
    <w:p>
      <w:pPr>
        <w:pStyle w:val="5"/>
        <w:spacing w:before="62" w:after="62"/>
      </w:pPr>
      <w:bookmarkStart w:id="434" w:name="_Toc489916118"/>
      <w:bookmarkStart w:id="435" w:name="_Toc468689245"/>
      <w:r>
        <w:rPr>
          <w:rFonts w:hint="eastAsia"/>
        </w:rPr>
        <w:t>5.2.5</w:t>
      </w:r>
      <w:r>
        <w:t>营运期固体废物处置措施</w:t>
      </w:r>
      <w:bookmarkEnd w:id="434"/>
      <w:bookmarkEnd w:id="435"/>
    </w:p>
    <w:p>
      <w:pPr>
        <w:ind w:firstLine="480"/>
      </w:pPr>
      <w:r>
        <w:rPr>
          <w:rFonts w:hint="eastAsia"/>
        </w:rPr>
        <w:t>本项目产生的固废物主要是猪粪、医疗废物、生活垃圾、病死猪尸体及母猪妊娠等。</w:t>
      </w:r>
    </w:p>
    <w:p>
      <w:pPr>
        <w:ind w:firstLine="480"/>
      </w:pPr>
      <w:r>
        <w:t>1、粪便处置措施</w:t>
      </w:r>
    </w:p>
    <w:p>
      <w:pPr>
        <w:ind w:firstLine="480"/>
      </w:pPr>
      <w:r>
        <w:t>由前述分析可知，项目产生的猪粪与猪尿一并进入异位发酵床系统进行生物发酵处理，粪污中的污染物质被分解与转化，发酵床垫料可以反复使用，使用3年后需全部更换，废弃的垫料经过充分的发酵与分解，稳定与无害化程度高，富含营养元素，是优质的有机肥，可以直接</w:t>
      </w:r>
      <w:r>
        <w:rPr>
          <w:rFonts w:hint="eastAsia"/>
        </w:rPr>
        <w:t>外售</w:t>
      </w:r>
      <w:r>
        <w:t>。</w:t>
      </w:r>
    </w:p>
    <w:p>
      <w:pPr>
        <w:ind w:firstLine="480"/>
      </w:pPr>
      <w:r>
        <w:t>2、生活垃圾处置措施</w:t>
      </w:r>
    </w:p>
    <w:p>
      <w:pPr>
        <w:ind w:firstLine="480"/>
      </w:pPr>
      <w:r>
        <w:t>建设单位运行期间产生的生活垃圾分类收集，定期清运，交由当地生活垃圾处理部门进行集中处理。</w:t>
      </w:r>
    </w:p>
    <w:p>
      <w:pPr>
        <w:ind w:firstLine="480"/>
      </w:pPr>
      <w:r>
        <w:t>3、病死猪尸体处置措施</w:t>
      </w:r>
    </w:p>
    <w:p>
      <w:pPr>
        <w:ind w:firstLine="480"/>
      </w:pPr>
      <w:r>
        <w:t>根据《病害动物和病害动物产品生物安全处理规程》（GB16548-2006）、农业部《病</w:t>
      </w:r>
      <w:r>
        <w:rPr>
          <w:rFonts w:hint="eastAsia"/>
        </w:rPr>
        <w:t>及病害</w:t>
      </w:r>
      <w:r>
        <w:t>动物无害化处理技术规范》以及《畜禽养殖业污染防治技术规范》（HJ/T81-2001）等文件的相关规定，对病害动物尸体宜采用无害化处理。无害化处理是通常采用焚毁</w:t>
      </w:r>
      <w:r>
        <w:rPr>
          <w:rFonts w:hint="eastAsia"/>
        </w:rPr>
        <w:t>法</w:t>
      </w:r>
      <w:r>
        <w:t>、化制</w:t>
      </w:r>
      <w:r>
        <w:rPr>
          <w:rFonts w:hint="eastAsia"/>
        </w:rPr>
        <w:t>法</w:t>
      </w:r>
      <w:r>
        <w:t>、</w:t>
      </w:r>
      <w:r>
        <w:rPr>
          <w:rFonts w:hint="eastAsia"/>
        </w:rPr>
        <w:t>高温法、深埋法、化学处理法</w:t>
      </w:r>
      <w:r>
        <w:t>将病害动物尸体或者病害动物产品或附属物进行处理，以彻底消除其所携带的病原体，以达到消除病害因素，保障人畜健康安全的目的。</w:t>
      </w:r>
    </w:p>
    <w:p>
      <w:pPr>
        <w:ind w:firstLine="480"/>
      </w:pPr>
      <w:r>
        <w:t>根据《国务院办公厅关于建立病死畜禽无害化处理机制的意见》（国办发〔2014〕47号）、《湖南省人民政府办公厅关于建立病死畜禽无害化处理机制的实施意见》(湘政办发〔2015〕103号）、《湖南省畜牧水产局湖南省财政厅关于印发〈湖南省病死畜禽无害化处理机制建设实施方案〉的通知》（湘牧渔联〔2016〕14号）和《常德市人民政府办公室关于印发〈常德市病死畜禽无害化处理体系建设实施方案〉的通知》(常政办发〔2017〕19号)等文件要求。我市于2017年12月底前开工建设病死畜禽无害化处理中心、收集中心；2018年12月底建成覆盖全市所有养殖县、处理工艺科学环保、运行机制完善的病死畜禽无害化收集处理体系，实现病死畜禽无害化处理及资源化利用，推动养殖业转型升级与资源环境相协调，保障养殖业生产安全、动物产品质量安全和生态环境安全。</w:t>
      </w:r>
    </w:p>
    <w:p>
      <w:pPr>
        <w:ind w:firstLine="480"/>
      </w:pPr>
      <w:r>
        <w:t>建立常德市病死畜禽无害化收集处理体系。 1.建设2个病死畜禽无害化处理中心。即在桃源县、汉寿县分别建设1个年处理病死畜禽（生猪）10万头、2万头以上的病死畜禽无害化处理中心。2.建设5个病死畜禽无害化处理收集中心。根据畜禽饲养数量和道路交通情况，在鼎城区、澧县、临澧县、石门县、津市市各建设1个病死畜禽无害化处理收集中心。3.建设300个病死畜禽固定收集点。各地根据养殖业布局、交通运输以及无害化处理收集中心位置情况，按照科学规划、合理选址的要求，在较大规模养殖场、屠宰场及交易市场建设相应规模的病死畜禽固定收集点，共建设300个病死畜禽固定收集点，负责收集本场内的病死畜禽。</w:t>
      </w:r>
    </w:p>
    <w:p>
      <w:pPr>
        <w:ind w:firstLine="480"/>
      </w:pPr>
      <w:r>
        <w:t>为响应以上要求，充分依托市\县二级病死畜禽无害化集中处理设施，本项目拟在养殖场建设冷冻库，采用低温冷藏方式暂存项目病死猪尸体，定期送澧县病死畜禽无害化处理收集中心，最终送入常德市病死畜禽无害化集中处理中心进行高温化制处理。</w:t>
      </w:r>
    </w:p>
    <w:p>
      <w:pPr>
        <w:ind w:firstLine="480"/>
      </w:pPr>
      <w:r>
        <w:t>本项目暂存冻库库内容积为</w:t>
      </w:r>
      <w:r>
        <w:rPr>
          <w:rFonts w:hint="eastAsia"/>
        </w:rPr>
        <w:t>75m</w:t>
      </w:r>
      <w:r>
        <w:rPr>
          <w:rFonts w:hint="eastAsia"/>
          <w:vertAlign w:val="superscript"/>
        </w:rPr>
        <w:t>3</w:t>
      </w:r>
      <w:r>
        <w:t>，</w:t>
      </w:r>
      <w:r>
        <w:rPr>
          <w:rFonts w:hint="eastAsia"/>
        </w:rPr>
        <w:t>冷库制冷剂为R410A。R410A首要用于代替R22和R502，具有清洁、低毒、不燃、制冷效果好等特色，工作压力为一般R22空调的1.6倍左右，制冷（暖）效率高。R410A冷媒由两种准共沸的混合物R32和R125各50%组成，首要有氢，氟和碳元素组成。R410A是目前为止世界公认的用来代替R22较合适的冷媒，并在欧美，日本等国家得到普及。</w:t>
      </w:r>
    </w:p>
    <w:p>
      <w:pPr>
        <w:ind w:firstLine="480"/>
      </w:pPr>
      <w:r>
        <w:t>其他技术指标如下：</w:t>
      </w:r>
    </w:p>
    <w:p>
      <w:pPr>
        <w:ind w:firstLine="480"/>
      </w:pPr>
      <w:r>
        <w:t>（1）系统的设计寿命≥15年，并且能够以每年365天、每天24小时的工作循环连续运行。</w:t>
      </w:r>
    </w:p>
    <w:p>
      <w:pPr>
        <w:ind w:firstLine="480"/>
      </w:pPr>
      <w:r>
        <w:t>（2）库内温度为低温冷冻温度-18℃。</w:t>
      </w:r>
    </w:p>
    <w:p>
      <w:pPr>
        <w:ind w:firstLine="480"/>
      </w:pPr>
      <w:r>
        <w:t>（3）库体隔热板的传热系数不大于传热系数0.404[W/(m²·k)。</w:t>
      </w:r>
    </w:p>
    <w:p>
      <w:pPr>
        <w:ind w:firstLine="480"/>
      </w:pPr>
      <w:r>
        <w:t>（4）暂存场所应能防水、防渗、防鼠、防盗，易于清洗和消毒。</w:t>
      </w:r>
    </w:p>
    <w:p>
      <w:pPr>
        <w:ind w:firstLine="480"/>
      </w:pPr>
      <w:r>
        <w:t>本环评要求建设单位严格按《畜禽养殖业污染防治技术规范》和《病害动物和病害动物产品生物安全处理规程》（GB16548-2006）中的相关规定进行操作和管理，确保病死猪尸体做到安全无害化处理。冷库安全操作规程 如下：</w:t>
      </w:r>
    </w:p>
    <w:p>
      <w:pPr>
        <w:ind w:firstLine="480"/>
      </w:pPr>
      <w:r>
        <w:t>（1）冷库必须要有专人负责管理，管理人员一定要了解冷库的工作原理及操作方法。  </w:t>
      </w:r>
    </w:p>
    <w:p>
      <w:pPr>
        <w:ind w:firstLine="480"/>
      </w:pPr>
      <w:r>
        <w:t>（2）启动冷库时先打开电源开关，查看水循环泵指示灯与冷库正常运行指示灯是否亮起，然后再设定冷库温度（一般设定在-14℃至-18℃）。  </w:t>
      </w:r>
    </w:p>
    <w:p>
      <w:pPr>
        <w:ind w:firstLine="480"/>
      </w:pPr>
      <w:r>
        <w:t>（3）冷库运行过程中，正常工作日需指定人员每４小时对冷库所显示温度作一次记录，查看冷库显示温度是否在设定范围内，当故障显示器发出警报时应记下故障显示代码，再联系冷库维修人员来公司维修。  </w:t>
      </w:r>
    </w:p>
    <w:p>
      <w:pPr>
        <w:ind w:firstLine="480"/>
      </w:pPr>
      <w:r>
        <w:t>（4）日常进出冷库搬运物料，根据工作时间长短，凡工作5分钟以上，搬运人员需穿防寒服，防止因低温引起感冒或其它冻伤事故发生。  </w:t>
      </w:r>
    </w:p>
    <w:p>
      <w:pPr>
        <w:ind w:firstLine="480"/>
      </w:pPr>
      <w:r>
        <w:t>（5）冷库内禁止关门作业，如发现冷库门没有锁好或处于半开状态，其他人员一定要确认库内没人的情况下方可关闭冷库门，并告之冷库管理人员。  </w:t>
      </w:r>
    </w:p>
    <w:p>
      <w:pPr>
        <w:ind w:firstLine="480"/>
      </w:pPr>
      <w:r>
        <w:t>（6）冷库进出病死畜禽勿撞击库板，运输车更是要小心。 </w:t>
      </w:r>
    </w:p>
    <w:p>
      <w:pPr>
        <w:ind w:firstLine="480"/>
      </w:pPr>
      <w:r>
        <w:t>（7）冷库管理人员定期要对冷库内、外卫生进行打扫，并且要按时通知冷库保养人员来养殖场保养制冷设备。</w:t>
      </w:r>
    </w:p>
    <w:p>
      <w:pPr>
        <w:ind w:firstLine="480"/>
      </w:pPr>
      <w:r>
        <w:rPr>
          <w:rFonts w:hint="eastAsia"/>
        </w:rPr>
        <w:t>（8）</w:t>
      </w:r>
      <w:r>
        <w:t>消毒过程注意事项：空除库房后，关闭冷冻机，并关上库房总电源。关上门等待库温接近室外气温或相差2－5度时，开门融化库内积冰，不要敲击库内冰块。融化冰块后，清扫库内垃圾，用清水清理墙面，地面，</w:t>
      </w:r>
      <w:r>
        <w:rPr>
          <w:rFonts w:hint="eastAsia"/>
        </w:rPr>
        <w:t>少量的</w:t>
      </w:r>
      <w:r>
        <w:t>冲洗水经地漏进入消毒池</w:t>
      </w:r>
      <w:r>
        <w:rPr>
          <w:rFonts w:hint="eastAsia"/>
        </w:rPr>
        <w:t>消毒</w:t>
      </w:r>
      <w:r>
        <w:t>处理</w:t>
      </w:r>
      <w:r>
        <w:rPr>
          <w:rFonts w:hint="eastAsia"/>
        </w:rPr>
        <w:t>后可以作为消毒用水循环使用，不外排</w:t>
      </w:r>
      <w:r>
        <w:t>。用抹布沾水擦拭墙面和顶面，垃圾倒入消毒池。抹布沾水擦拭内冷风机，罩上内冷风机，雾状喷洒消毒液，保证消毒液使用的时间。用清水清洗消毒液喷洒过的地方，风干。有积水的地方有拖布拖干。拆除内冷风机罩布，关上门，等待下一次库房工作。检查库门缝胶，有脱、裂者的要及时补胶。</w:t>
      </w:r>
    </w:p>
    <w:p>
      <w:pPr>
        <w:ind w:firstLine="480"/>
      </w:pPr>
      <w:r>
        <w:t>（9）病死及病害动物和相关动物产品的收集、暂存、转运、无害化处理等环节应建有台账和记录。运出台账和记录应包括运输人员、联系方式、转运时间、车牌号、病死及病害动物和相关动物产品种类、数量、动物标识号、消毒方法、转运目的地以及经办人员等。</w:t>
      </w:r>
    </w:p>
    <w:p>
      <w:pPr>
        <w:ind w:firstLine="480"/>
      </w:pPr>
      <w:r>
        <w:rPr>
          <w:rFonts w:hint="eastAsia"/>
        </w:rPr>
        <w:t>4、</w:t>
      </w:r>
      <w:r>
        <w:t>医疗垃圾处置措施</w:t>
      </w:r>
    </w:p>
    <w:p>
      <w:pPr>
        <w:ind w:firstLine="480"/>
      </w:pPr>
      <w:r>
        <w:rPr>
          <w:rFonts w:hint="eastAsia"/>
        </w:rPr>
        <w:t>猪在养殖过程中需要注射一些疫苗，因此会产生畜禽医疗废物。经查《国家危险废物名录》（2016.8.1实施），该部分固废属于危险废物，危险废物类别为HW01，要求建设方委托有资质单位进行处理。</w:t>
      </w:r>
    </w:p>
    <w:p>
      <w:pPr>
        <w:ind w:firstLine="480"/>
      </w:pPr>
      <w:r>
        <w:rPr>
          <w:rFonts w:hint="eastAsia"/>
        </w:rPr>
        <w:t>本项目运营中产生危险固废，建设方必须按照《中华人民共和国固体废物污染环境防治法》对危险废物污染防治的特别规定，向当地固体废物管理中心申报登记该项目产生的上述危险废物，并按照该中心的要求对上述危险废物进行全过程严格管理和安全处置。严格按危险废物转移联单管理办法的有关规定办理该项目危险废物的运输转移。同时建设单位及承接单位均需满足以下要求：</w:t>
      </w:r>
    </w:p>
    <w:p>
      <w:pPr>
        <w:ind w:firstLine="480"/>
      </w:pPr>
      <w:r>
        <w:rPr>
          <w:rFonts w:hint="eastAsia"/>
        </w:rPr>
        <w:t>（1）本项目提出的危废暂存间设计时应按照《危险废物贮存污染控标准》（GB18597-2001）具体要求实施。设有符合要求的专用标志；贮存场所内禁止混放不相容危险废物；贮存场所要有集排水和防渗设施；贮存场所符合消防要求；废物的贮存容器必须有明显标志，具有耐腐蚀、耐压、密封和不与所贮存的废物发生反应等特性。</w:t>
      </w:r>
    </w:p>
    <w:p>
      <w:pPr>
        <w:ind w:firstLine="480"/>
      </w:pPr>
      <w:r>
        <w:rPr>
          <w:rFonts w:hint="eastAsia"/>
        </w:rPr>
        <w:t>（2）本项目危废需外运委托处理时，在运输中应按危险废物做到以下几点：</w:t>
      </w:r>
    </w:p>
    <w:p>
      <w:pPr>
        <w:ind w:firstLine="480"/>
      </w:pPr>
      <w:r>
        <w:rPr>
          <w:rFonts w:hint="eastAsia"/>
        </w:rPr>
        <w:t>①危险废物处置全过程的管理制度；转移联单管理制度；职业健康、安全、环保管理体系（HSE）；处置厂（场）的管理人员应参加环保管理部门的岗位培训，合格后上岗；档案管理制度。</w:t>
      </w:r>
    </w:p>
    <w:p>
      <w:pPr>
        <w:ind w:firstLine="480"/>
      </w:pPr>
      <w:r>
        <w:rPr>
          <w:rFonts w:hint="eastAsia"/>
        </w:rPr>
        <w:t>②危险废物的运输车辆须经主管单位检查，并持有有关单位签发的许可证，负责运输的司机应通过培训，持有证明文件。</w:t>
      </w:r>
    </w:p>
    <w:p>
      <w:pPr>
        <w:ind w:firstLine="480"/>
      </w:pPr>
      <w:r>
        <w:rPr>
          <w:rFonts w:hint="eastAsia"/>
        </w:rPr>
        <w:t>③承载危险废物的车辆须有明显的标志或适当的危险符号，以引起注意。</w:t>
      </w:r>
    </w:p>
    <w:p>
      <w:pPr>
        <w:ind w:firstLine="480"/>
      </w:pPr>
      <w:r>
        <w:rPr>
          <w:rFonts w:hint="eastAsia"/>
        </w:rPr>
        <w:t>④载有危险废物的车辆在公路上行驶时，需持有运输许可证，其上应注明废物来源、性质和运往地点，必要时须有专门单位人员负责押运。</w:t>
      </w:r>
    </w:p>
    <w:p>
      <w:pPr>
        <w:ind w:firstLine="480"/>
      </w:pPr>
      <w:r>
        <w:rPr>
          <w:rFonts w:hint="eastAsia"/>
        </w:rPr>
        <w:t>⑤组织危险废物的运输单位，在事先需作出周密的运输计划和行驶路线，其中包括废物泄露情况下的有效应急措施。</w:t>
      </w:r>
    </w:p>
    <w:p>
      <w:pPr>
        <w:ind w:firstLine="480"/>
      </w:pPr>
      <w:r>
        <w:rPr>
          <w:rFonts w:hint="eastAsia"/>
        </w:rPr>
        <w:t>综上所述，本项目采取上述处理措施后，固体废物均可做到妥善处理，不会造成二次污染。</w:t>
      </w:r>
    </w:p>
    <w:p>
      <w:pPr>
        <w:pStyle w:val="4"/>
        <w:spacing w:before="62" w:after="62"/>
      </w:pPr>
      <w:r>
        <w:rPr>
          <w:rFonts w:hint="eastAsia"/>
        </w:rPr>
        <w:t>5.3</w:t>
      </w:r>
      <w:bookmarkStart w:id="436" w:name="_Toc12251"/>
      <w:r>
        <w:t>污染防治措施汇总</w:t>
      </w:r>
      <w:bookmarkEnd w:id="436"/>
    </w:p>
    <w:p>
      <w:pPr>
        <w:ind w:firstLine="480"/>
      </w:pPr>
      <w:r>
        <w:rPr>
          <w:rFonts w:hint="eastAsia"/>
        </w:rPr>
        <w:t>项目主要污染源及采取的环保措施情况汇总见表5.3-1。</w:t>
      </w:r>
    </w:p>
    <w:p>
      <w:pPr>
        <w:pStyle w:val="11"/>
      </w:pPr>
      <w:r>
        <w:t xml:space="preserve">表5.3- </w:t>
      </w:r>
      <w:r>
        <w:fldChar w:fldCharType="begin"/>
      </w:r>
      <w:r>
        <w:instrText xml:space="preserve"> SEQ 表5.3- \* ARABIC </w:instrText>
      </w:r>
      <w:r>
        <w:fldChar w:fldCharType="separate"/>
      </w:r>
      <w:r>
        <w:t>1</w:t>
      </w:r>
      <w:r>
        <w:fldChar w:fldCharType="end"/>
      </w:r>
      <w:r>
        <w:rPr>
          <w:rFonts w:hint="eastAsia"/>
        </w:rPr>
        <w:t xml:space="preserve">  项目污染防治措施汇总表</w:t>
      </w:r>
    </w:p>
    <w:tbl>
      <w:tblPr>
        <w:tblStyle w:val="21"/>
        <w:tblW w:w="87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9"/>
        <w:gridCol w:w="1084"/>
        <w:gridCol w:w="1237"/>
        <w:gridCol w:w="3063"/>
        <w:gridCol w:w="24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9" w:type="dxa"/>
            <w:vAlign w:val="center"/>
          </w:tcPr>
          <w:p>
            <w:pPr>
              <w:pStyle w:val="8"/>
              <w:ind w:firstLine="0" w:firstLineChars="0"/>
            </w:pPr>
            <w:r>
              <w:rPr>
                <w:rFonts w:hint="eastAsia"/>
              </w:rPr>
              <w:t>类型</w:t>
            </w:r>
          </w:p>
        </w:tc>
        <w:tc>
          <w:tcPr>
            <w:tcW w:w="1084" w:type="dxa"/>
            <w:vAlign w:val="center"/>
          </w:tcPr>
          <w:p>
            <w:pPr>
              <w:pStyle w:val="8"/>
              <w:ind w:firstLine="0" w:firstLineChars="0"/>
            </w:pPr>
            <w:r>
              <w:rPr>
                <w:rFonts w:hint="eastAsia"/>
              </w:rPr>
              <w:t>污染源名称</w:t>
            </w:r>
          </w:p>
        </w:tc>
        <w:tc>
          <w:tcPr>
            <w:tcW w:w="1237" w:type="dxa"/>
            <w:vAlign w:val="center"/>
          </w:tcPr>
          <w:p>
            <w:pPr>
              <w:pStyle w:val="8"/>
              <w:ind w:firstLine="0" w:firstLineChars="0"/>
            </w:pPr>
            <w:r>
              <w:rPr>
                <w:rFonts w:hint="eastAsia"/>
              </w:rPr>
              <w:t>污染因子</w:t>
            </w:r>
          </w:p>
        </w:tc>
        <w:tc>
          <w:tcPr>
            <w:tcW w:w="3063" w:type="dxa"/>
            <w:vAlign w:val="center"/>
          </w:tcPr>
          <w:p>
            <w:pPr>
              <w:pStyle w:val="8"/>
              <w:ind w:firstLine="0" w:firstLineChars="0"/>
            </w:pPr>
            <w:r>
              <w:rPr>
                <w:rFonts w:hint="eastAsia"/>
              </w:rPr>
              <w:t>拟采取的污染防治措施</w:t>
            </w:r>
          </w:p>
        </w:tc>
        <w:tc>
          <w:tcPr>
            <w:tcW w:w="2459" w:type="dxa"/>
            <w:vAlign w:val="center"/>
          </w:tcPr>
          <w:p>
            <w:pPr>
              <w:pStyle w:val="8"/>
              <w:ind w:firstLine="0" w:firstLineChars="0"/>
            </w:pPr>
            <w:r>
              <w:rPr>
                <w:rFonts w:hint="eastAsia"/>
              </w:rPr>
              <w:t>拟达到污染防治效果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889" w:type="dxa"/>
            <w:vMerge w:val="restart"/>
            <w:vAlign w:val="center"/>
          </w:tcPr>
          <w:p>
            <w:pPr>
              <w:pStyle w:val="8"/>
              <w:ind w:firstLine="0" w:firstLineChars="0"/>
            </w:pPr>
            <w:r>
              <w:rPr>
                <w:rFonts w:hint="eastAsia"/>
              </w:rPr>
              <w:t>废水</w:t>
            </w:r>
          </w:p>
          <w:p>
            <w:pPr>
              <w:pStyle w:val="8"/>
              <w:ind w:firstLine="0" w:firstLineChars="0"/>
            </w:pPr>
          </w:p>
        </w:tc>
        <w:tc>
          <w:tcPr>
            <w:tcW w:w="1084" w:type="dxa"/>
            <w:vAlign w:val="center"/>
          </w:tcPr>
          <w:p>
            <w:pPr>
              <w:pStyle w:val="8"/>
              <w:ind w:firstLine="0" w:firstLineChars="0"/>
            </w:pPr>
            <w:r>
              <w:rPr>
                <w:rFonts w:hint="eastAsia"/>
              </w:rPr>
              <w:t>养殖废水</w:t>
            </w:r>
          </w:p>
        </w:tc>
        <w:tc>
          <w:tcPr>
            <w:tcW w:w="1237" w:type="dxa"/>
            <w:vMerge w:val="restart"/>
            <w:vAlign w:val="center"/>
          </w:tcPr>
          <w:p>
            <w:pPr>
              <w:pStyle w:val="8"/>
              <w:ind w:firstLine="0" w:firstLineChars="0"/>
            </w:pPr>
            <w:r>
              <w:t>COD</w:t>
            </w:r>
            <w:r>
              <w:rPr>
                <w:rFonts w:hint="eastAsia"/>
              </w:rPr>
              <w:t>、</w:t>
            </w:r>
            <w:r>
              <w:t>BOD</w:t>
            </w:r>
            <w:r>
              <w:rPr>
                <w:vertAlign w:val="subscript"/>
              </w:rPr>
              <w:t>5</w:t>
            </w:r>
            <w:r>
              <w:rPr>
                <w:rFonts w:hint="eastAsia"/>
              </w:rPr>
              <w:t>、</w:t>
            </w:r>
            <w:r>
              <w:t>NH</w:t>
            </w:r>
            <w:r>
              <w:rPr>
                <w:vertAlign w:val="subscript"/>
              </w:rPr>
              <w:t>3</w:t>
            </w:r>
            <w:r>
              <w:t>-N</w:t>
            </w:r>
            <w:r>
              <w:rPr>
                <w:rFonts w:hint="eastAsia"/>
              </w:rPr>
              <w:t>、TN、TP</w:t>
            </w:r>
          </w:p>
        </w:tc>
        <w:tc>
          <w:tcPr>
            <w:tcW w:w="3063" w:type="dxa"/>
            <w:vMerge w:val="restart"/>
            <w:vAlign w:val="center"/>
          </w:tcPr>
          <w:p>
            <w:pPr>
              <w:pStyle w:val="8"/>
              <w:ind w:firstLine="0" w:firstLineChars="0"/>
            </w:pPr>
            <w:r>
              <w:rPr>
                <w:rFonts w:hint="eastAsia"/>
              </w:rPr>
              <w:t>项目采取雨水污分流制，厂内配套雨污管网，雨水排入周边山林，废水处理系统采用微生物异位发酵床系统，猪尿通过集污池进入发酵床，发酵后垫料作为肥料外售</w:t>
            </w:r>
          </w:p>
        </w:tc>
        <w:tc>
          <w:tcPr>
            <w:tcW w:w="2459" w:type="dxa"/>
            <w:vMerge w:val="restart"/>
            <w:vAlign w:val="center"/>
          </w:tcPr>
          <w:p>
            <w:pPr>
              <w:pStyle w:val="8"/>
              <w:ind w:firstLine="0" w:firstLineChars="0"/>
            </w:pPr>
            <w:r>
              <w:rPr>
                <w:rFonts w:hint="eastAsia"/>
              </w:rPr>
              <w:t>全部综合利用不外排。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889" w:type="dxa"/>
            <w:vMerge w:val="continue"/>
            <w:vAlign w:val="center"/>
          </w:tcPr>
          <w:p>
            <w:pPr>
              <w:pStyle w:val="8"/>
              <w:ind w:firstLine="0" w:firstLineChars="0"/>
            </w:pPr>
          </w:p>
        </w:tc>
        <w:tc>
          <w:tcPr>
            <w:tcW w:w="1084" w:type="dxa"/>
            <w:vAlign w:val="center"/>
          </w:tcPr>
          <w:p>
            <w:pPr>
              <w:pStyle w:val="8"/>
              <w:ind w:firstLine="0" w:firstLineChars="0"/>
            </w:pPr>
            <w:r>
              <w:rPr>
                <w:rFonts w:hint="eastAsia"/>
              </w:rPr>
              <w:t>生活废水</w:t>
            </w:r>
          </w:p>
        </w:tc>
        <w:tc>
          <w:tcPr>
            <w:tcW w:w="1237" w:type="dxa"/>
            <w:vMerge w:val="continue"/>
            <w:vAlign w:val="center"/>
          </w:tcPr>
          <w:p>
            <w:pPr>
              <w:pStyle w:val="8"/>
              <w:ind w:firstLine="0" w:firstLineChars="0"/>
              <w:rPr>
                <w:highlight w:val="yellow"/>
              </w:rPr>
            </w:pPr>
          </w:p>
        </w:tc>
        <w:tc>
          <w:tcPr>
            <w:tcW w:w="3063" w:type="dxa"/>
            <w:vMerge w:val="continue"/>
            <w:vAlign w:val="center"/>
          </w:tcPr>
          <w:p>
            <w:pPr>
              <w:pStyle w:val="8"/>
              <w:ind w:firstLine="0" w:firstLineChars="0"/>
              <w:rPr>
                <w:highlight w:val="yellow"/>
              </w:rPr>
            </w:pPr>
          </w:p>
        </w:tc>
        <w:tc>
          <w:tcPr>
            <w:tcW w:w="2459" w:type="dxa"/>
            <w:vMerge w:val="continue"/>
            <w:vAlign w:val="center"/>
          </w:tcPr>
          <w:p>
            <w:pPr>
              <w:pStyle w:val="8"/>
              <w:ind w:firstLine="0" w:firstLineChars="0"/>
              <w:rPr>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89" w:type="dxa"/>
            <w:vMerge w:val="restart"/>
            <w:vAlign w:val="center"/>
          </w:tcPr>
          <w:p>
            <w:pPr>
              <w:pStyle w:val="8"/>
              <w:ind w:firstLine="0" w:firstLineChars="0"/>
            </w:pPr>
            <w:r>
              <w:rPr>
                <w:rFonts w:hint="eastAsia"/>
              </w:rPr>
              <w:t>废气</w:t>
            </w:r>
          </w:p>
        </w:tc>
        <w:tc>
          <w:tcPr>
            <w:tcW w:w="1084" w:type="dxa"/>
            <w:vAlign w:val="center"/>
          </w:tcPr>
          <w:p>
            <w:pPr>
              <w:pStyle w:val="8"/>
              <w:ind w:firstLine="0" w:firstLineChars="0"/>
            </w:pPr>
            <w:r>
              <w:rPr>
                <w:rFonts w:hint="eastAsia"/>
              </w:rPr>
              <w:t>养殖区、微生物发酵床</w:t>
            </w:r>
          </w:p>
        </w:tc>
        <w:tc>
          <w:tcPr>
            <w:tcW w:w="1237" w:type="dxa"/>
            <w:vAlign w:val="center"/>
          </w:tcPr>
          <w:p>
            <w:pPr>
              <w:pStyle w:val="8"/>
              <w:ind w:firstLine="0" w:firstLineChars="0"/>
            </w:pPr>
            <w:r>
              <w:rPr>
                <w:rFonts w:hint="eastAsia"/>
              </w:rPr>
              <w:t>NH</w:t>
            </w:r>
            <w:r>
              <w:rPr>
                <w:rFonts w:hint="eastAsia"/>
                <w:vertAlign w:val="subscript"/>
              </w:rPr>
              <w:t>3</w:t>
            </w:r>
            <w:r>
              <w:rPr>
                <w:rFonts w:hint="eastAsia"/>
              </w:rPr>
              <w:t>、H</w:t>
            </w:r>
            <w:r>
              <w:rPr>
                <w:rFonts w:hint="eastAsia"/>
                <w:vertAlign w:val="subscript"/>
              </w:rPr>
              <w:t>2</w:t>
            </w:r>
            <w:r>
              <w:rPr>
                <w:rFonts w:hint="eastAsia"/>
              </w:rPr>
              <w:t>S、臭气浓度</w:t>
            </w:r>
          </w:p>
        </w:tc>
        <w:tc>
          <w:tcPr>
            <w:tcW w:w="3063" w:type="dxa"/>
            <w:vAlign w:val="center"/>
          </w:tcPr>
          <w:p>
            <w:pPr>
              <w:pStyle w:val="8"/>
              <w:ind w:firstLine="0" w:firstLineChars="0"/>
            </w:pPr>
            <w:r>
              <w:rPr>
                <w:rFonts w:hint="eastAsia"/>
              </w:rPr>
              <w:t>风机</w:t>
            </w:r>
            <w:r>
              <w:t>+</w:t>
            </w:r>
            <w:r>
              <w:rPr>
                <w:rFonts w:hint="eastAsia"/>
              </w:rPr>
              <w:t>水帘</w:t>
            </w:r>
            <w:r>
              <w:t>+</w:t>
            </w:r>
            <w:r>
              <w:rPr>
                <w:rFonts w:hint="eastAsia"/>
              </w:rPr>
              <w:t>喷洒防臭剂</w:t>
            </w:r>
            <w:r>
              <w:t>+</w:t>
            </w:r>
            <w:r>
              <w:rPr>
                <w:rFonts w:hint="eastAsia"/>
              </w:rPr>
              <w:t>使用低蛋白配方饲料</w:t>
            </w:r>
          </w:p>
        </w:tc>
        <w:tc>
          <w:tcPr>
            <w:tcW w:w="2459" w:type="dxa"/>
            <w:vAlign w:val="center"/>
          </w:tcPr>
          <w:p>
            <w:pPr>
              <w:pStyle w:val="8"/>
              <w:ind w:firstLine="0" w:firstLineChars="0"/>
            </w:pPr>
            <w:r>
              <w:t>《畜禽养殖业污染物排放标准》（GB18596-2001）；</w:t>
            </w:r>
          </w:p>
          <w:p>
            <w:pPr>
              <w:pStyle w:val="8"/>
              <w:ind w:firstLine="0" w:firstLineChars="0"/>
            </w:pPr>
            <w:r>
              <w:t>《恶臭污染物排放标准》(GB14554-1993)厂界无组织排放浓度限值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6" w:hRule="atLeast"/>
          <w:jc w:val="center"/>
        </w:trPr>
        <w:tc>
          <w:tcPr>
            <w:tcW w:w="889" w:type="dxa"/>
            <w:vMerge w:val="continue"/>
            <w:vAlign w:val="center"/>
          </w:tcPr>
          <w:p>
            <w:pPr>
              <w:pStyle w:val="8"/>
              <w:ind w:firstLine="0" w:firstLineChars="0"/>
              <w:rPr>
                <w:highlight w:val="yellow"/>
              </w:rPr>
            </w:pPr>
          </w:p>
        </w:tc>
        <w:tc>
          <w:tcPr>
            <w:tcW w:w="1084" w:type="dxa"/>
            <w:vAlign w:val="center"/>
          </w:tcPr>
          <w:p>
            <w:pPr>
              <w:pStyle w:val="8"/>
              <w:ind w:firstLine="0" w:firstLineChars="0"/>
            </w:pPr>
            <w:r>
              <w:rPr>
                <w:rFonts w:hint="eastAsia"/>
              </w:rPr>
              <w:t>柴油发电机</w:t>
            </w:r>
          </w:p>
        </w:tc>
        <w:tc>
          <w:tcPr>
            <w:tcW w:w="1237" w:type="dxa"/>
            <w:vAlign w:val="center"/>
          </w:tcPr>
          <w:p>
            <w:pPr>
              <w:pStyle w:val="8"/>
              <w:ind w:firstLine="0" w:firstLineChars="0"/>
            </w:pPr>
            <w:r>
              <w:rPr>
                <w:rFonts w:hint="eastAsia"/>
              </w:rPr>
              <w:t>颗粒物、NO</w:t>
            </w:r>
            <w:r>
              <w:rPr>
                <w:rFonts w:hint="eastAsia"/>
                <w:vertAlign w:val="subscript"/>
              </w:rPr>
              <w:t>x</w:t>
            </w:r>
            <w:r>
              <w:rPr>
                <w:rFonts w:hint="eastAsia"/>
              </w:rPr>
              <w:t>、SO</w:t>
            </w:r>
            <w:r>
              <w:rPr>
                <w:rFonts w:hint="eastAsia"/>
                <w:vertAlign w:val="subscript"/>
              </w:rPr>
              <w:t>2</w:t>
            </w:r>
          </w:p>
        </w:tc>
        <w:tc>
          <w:tcPr>
            <w:tcW w:w="3063" w:type="dxa"/>
            <w:vAlign w:val="center"/>
          </w:tcPr>
          <w:p>
            <w:pPr>
              <w:pStyle w:val="8"/>
              <w:ind w:firstLine="0" w:firstLineChars="0"/>
            </w:pPr>
            <w:r>
              <w:rPr>
                <w:rFonts w:hint="eastAsia"/>
              </w:rPr>
              <w:t>燃烧清洁能源</w:t>
            </w:r>
          </w:p>
        </w:tc>
        <w:tc>
          <w:tcPr>
            <w:tcW w:w="2459" w:type="dxa"/>
            <w:vAlign w:val="center"/>
          </w:tcPr>
          <w:p>
            <w:pPr>
              <w:pStyle w:val="8"/>
              <w:ind w:firstLine="0" w:firstLineChars="0"/>
            </w:pPr>
            <w:r>
              <w:rPr>
                <w:rFonts w:hint="eastAsia"/>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889" w:type="dxa"/>
            <w:vMerge w:val="continue"/>
            <w:vAlign w:val="center"/>
          </w:tcPr>
          <w:p>
            <w:pPr>
              <w:pStyle w:val="8"/>
              <w:ind w:firstLine="0" w:firstLineChars="0"/>
              <w:rPr>
                <w:highlight w:val="yellow"/>
              </w:rPr>
            </w:pPr>
          </w:p>
        </w:tc>
        <w:tc>
          <w:tcPr>
            <w:tcW w:w="1084" w:type="dxa"/>
            <w:vAlign w:val="center"/>
          </w:tcPr>
          <w:p>
            <w:pPr>
              <w:pStyle w:val="8"/>
              <w:ind w:firstLine="0" w:firstLineChars="0"/>
            </w:pPr>
            <w:r>
              <w:rPr>
                <w:rFonts w:hint="eastAsia"/>
              </w:rPr>
              <w:t>食堂油烟</w:t>
            </w:r>
          </w:p>
        </w:tc>
        <w:tc>
          <w:tcPr>
            <w:tcW w:w="1237" w:type="dxa"/>
            <w:vAlign w:val="center"/>
          </w:tcPr>
          <w:p>
            <w:pPr>
              <w:pStyle w:val="8"/>
              <w:ind w:firstLine="0" w:firstLineChars="0"/>
            </w:pPr>
            <w:r>
              <w:rPr>
                <w:rFonts w:hint="eastAsia"/>
              </w:rPr>
              <w:t>油烟</w:t>
            </w:r>
          </w:p>
        </w:tc>
        <w:tc>
          <w:tcPr>
            <w:tcW w:w="3063" w:type="dxa"/>
            <w:vAlign w:val="center"/>
          </w:tcPr>
          <w:p>
            <w:pPr>
              <w:pStyle w:val="8"/>
              <w:ind w:firstLine="0" w:firstLineChars="0"/>
            </w:pPr>
            <w:r>
              <w:rPr>
                <w:rFonts w:hint="eastAsia"/>
              </w:rPr>
              <w:t>油烟净化器</w:t>
            </w:r>
            <w:r>
              <w:t>+</w:t>
            </w:r>
            <w:r>
              <w:rPr>
                <w:rFonts w:hint="eastAsia"/>
              </w:rPr>
              <w:t>高空排放</w:t>
            </w:r>
          </w:p>
        </w:tc>
        <w:tc>
          <w:tcPr>
            <w:tcW w:w="2459" w:type="dxa"/>
            <w:vAlign w:val="center"/>
          </w:tcPr>
          <w:p>
            <w:pPr>
              <w:pStyle w:val="8"/>
              <w:ind w:firstLine="0" w:firstLineChars="0"/>
            </w:pPr>
            <w:r>
              <w:rPr>
                <w:rFonts w:hint="eastAsia"/>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889" w:type="dxa"/>
            <w:vMerge w:val="restart"/>
            <w:vAlign w:val="center"/>
          </w:tcPr>
          <w:p>
            <w:pPr>
              <w:pStyle w:val="8"/>
              <w:ind w:firstLine="0" w:firstLineChars="0"/>
            </w:pPr>
            <w:r>
              <w:rPr>
                <w:rFonts w:hint="eastAsia"/>
              </w:rPr>
              <w:t>固废</w:t>
            </w:r>
          </w:p>
        </w:tc>
        <w:tc>
          <w:tcPr>
            <w:tcW w:w="1084" w:type="dxa"/>
            <w:vAlign w:val="center"/>
          </w:tcPr>
          <w:p>
            <w:pPr>
              <w:pStyle w:val="8"/>
              <w:ind w:firstLine="0" w:firstLineChars="0"/>
            </w:pPr>
            <w:r>
              <w:rPr>
                <w:rFonts w:hint="eastAsia"/>
              </w:rPr>
              <w:t>粪污处理设施</w:t>
            </w:r>
          </w:p>
        </w:tc>
        <w:tc>
          <w:tcPr>
            <w:tcW w:w="1237" w:type="dxa"/>
            <w:vAlign w:val="center"/>
          </w:tcPr>
          <w:p>
            <w:pPr>
              <w:pStyle w:val="8"/>
              <w:ind w:firstLine="0" w:firstLineChars="0"/>
            </w:pPr>
            <w:r>
              <w:rPr>
                <w:rFonts w:hint="eastAsia"/>
              </w:rPr>
              <w:t>发酵床垫料</w:t>
            </w:r>
          </w:p>
        </w:tc>
        <w:tc>
          <w:tcPr>
            <w:tcW w:w="3063" w:type="dxa"/>
            <w:vAlign w:val="center"/>
          </w:tcPr>
          <w:p>
            <w:pPr>
              <w:pStyle w:val="8"/>
              <w:ind w:firstLine="0" w:firstLineChars="0"/>
            </w:pPr>
            <w:r>
              <w:rPr>
                <w:rFonts w:hint="eastAsia"/>
              </w:rPr>
              <w:t>发酵床垫料作为有机肥外售</w:t>
            </w:r>
          </w:p>
        </w:tc>
        <w:tc>
          <w:tcPr>
            <w:tcW w:w="2459" w:type="dxa"/>
            <w:vAlign w:val="center"/>
          </w:tcPr>
          <w:p>
            <w:pPr>
              <w:pStyle w:val="8"/>
              <w:ind w:firstLine="0" w:firstLineChars="0"/>
            </w:pPr>
            <w:r>
              <w:rPr>
                <w:rFonts w:hint="eastAsia"/>
              </w:rPr>
              <w:t>全部综合利用，废水不外排。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889" w:type="dxa"/>
            <w:vMerge w:val="continue"/>
            <w:vAlign w:val="center"/>
          </w:tcPr>
          <w:p>
            <w:pPr>
              <w:pStyle w:val="8"/>
              <w:ind w:firstLine="0" w:firstLineChars="0"/>
              <w:rPr>
                <w:highlight w:val="yellow"/>
              </w:rPr>
            </w:pPr>
          </w:p>
        </w:tc>
        <w:tc>
          <w:tcPr>
            <w:tcW w:w="1084" w:type="dxa"/>
            <w:vAlign w:val="center"/>
          </w:tcPr>
          <w:p>
            <w:pPr>
              <w:pStyle w:val="8"/>
              <w:ind w:firstLine="0" w:firstLineChars="0"/>
            </w:pPr>
            <w:r>
              <w:rPr>
                <w:rFonts w:hint="eastAsia"/>
              </w:rPr>
              <w:t>猪舍</w:t>
            </w:r>
          </w:p>
        </w:tc>
        <w:tc>
          <w:tcPr>
            <w:tcW w:w="1237" w:type="dxa"/>
            <w:vAlign w:val="center"/>
          </w:tcPr>
          <w:p>
            <w:pPr>
              <w:pStyle w:val="8"/>
              <w:ind w:firstLine="0" w:firstLineChars="0"/>
            </w:pPr>
            <w:r>
              <w:rPr>
                <w:rFonts w:hint="eastAsia"/>
              </w:rPr>
              <w:t>病死猪</w:t>
            </w:r>
          </w:p>
        </w:tc>
        <w:tc>
          <w:tcPr>
            <w:tcW w:w="3063" w:type="dxa"/>
            <w:vAlign w:val="center"/>
          </w:tcPr>
          <w:p>
            <w:pPr>
              <w:pStyle w:val="8"/>
              <w:ind w:firstLine="0" w:firstLineChars="0"/>
            </w:pPr>
            <w:r>
              <w:rPr>
                <w:rFonts w:hint="eastAsia"/>
              </w:rPr>
              <w:t>冷冻库低温暂存</w:t>
            </w:r>
          </w:p>
        </w:tc>
        <w:tc>
          <w:tcPr>
            <w:tcW w:w="2459" w:type="dxa"/>
            <w:vAlign w:val="center"/>
          </w:tcPr>
          <w:p>
            <w:pPr>
              <w:pStyle w:val="8"/>
              <w:ind w:firstLine="0" w:firstLineChars="0"/>
            </w:pPr>
            <w:r>
              <w:rPr>
                <w:rFonts w:hint="eastAsia"/>
              </w:rPr>
              <w:t>定期送澧县病死畜禽无害化处理收集中心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889" w:type="dxa"/>
            <w:vMerge w:val="continue"/>
            <w:vAlign w:val="center"/>
          </w:tcPr>
          <w:p>
            <w:pPr>
              <w:pStyle w:val="8"/>
              <w:ind w:firstLine="0" w:firstLineChars="0"/>
              <w:rPr>
                <w:highlight w:val="yellow"/>
              </w:rPr>
            </w:pPr>
          </w:p>
        </w:tc>
        <w:tc>
          <w:tcPr>
            <w:tcW w:w="1084" w:type="dxa"/>
            <w:vAlign w:val="center"/>
          </w:tcPr>
          <w:p>
            <w:pPr>
              <w:pStyle w:val="8"/>
              <w:ind w:firstLine="0" w:firstLineChars="0"/>
            </w:pPr>
            <w:r>
              <w:rPr>
                <w:rFonts w:hint="eastAsia"/>
              </w:rPr>
              <w:t>防疫、诊疗</w:t>
            </w:r>
          </w:p>
        </w:tc>
        <w:tc>
          <w:tcPr>
            <w:tcW w:w="1237" w:type="dxa"/>
            <w:vAlign w:val="center"/>
          </w:tcPr>
          <w:p>
            <w:pPr>
              <w:pStyle w:val="8"/>
              <w:ind w:firstLine="0" w:firstLineChars="0"/>
            </w:pPr>
            <w:r>
              <w:rPr>
                <w:rFonts w:hint="eastAsia"/>
              </w:rPr>
              <w:t>医疗废物</w:t>
            </w:r>
          </w:p>
        </w:tc>
        <w:tc>
          <w:tcPr>
            <w:tcW w:w="3063" w:type="dxa"/>
            <w:vAlign w:val="center"/>
          </w:tcPr>
          <w:p>
            <w:pPr>
              <w:pStyle w:val="8"/>
              <w:ind w:firstLine="0" w:firstLineChars="0"/>
            </w:pPr>
            <w:r>
              <w:rPr>
                <w:rFonts w:hint="eastAsia"/>
              </w:rPr>
              <w:t>收集后委托有资质单位处置</w:t>
            </w:r>
          </w:p>
        </w:tc>
        <w:tc>
          <w:tcPr>
            <w:tcW w:w="2459" w:type="dxa"/>
            <w:vAlign w:val="center"/>
          </w:tcPr>
          <w:p>
            <w:pPr>
              <w:pStyle w:val="8"/>
              <w:ind w:firstLine="0" w:firstLineChars="0"/>
            </w:pPr>
            <w:r>
              <w:rPr>
                <w:rFonts w:hint="eastAsia"/>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889" w:type="dxa"/>
            <w:vMerge w:val="continue"/>
            <w:vAlign w:val="center"/>
          </w:tcPr>
          <w:p>
            <w:pPr>
              <w:pStyle w:val="8"/>
              <w:ind w:firstLine="0" w:firstLineChars="0"/>
              <w:rPr>
                <w:highlight w:val="yellow"/>
              </w:rPr>
            </w:pPr>
          </w:p>
        </w:tc>
        <w:tc>
          <w:tcPr>
            <w:tcW w:w="1084" w:type="dxa"/>
            <w:vAlign w:val="center"/>
          </w:tcPr>
          <w:p>
            <w:pPr>
              <w:pStyle w:val="8"/>
              <w:ind w:firstLine="0" w:firstLineChars="0"/>
            </w:pPr>
            <w:r>
              <w:rPr>
                <w:rFonts w:hint="eastAsia"/>
              </w:rPr>
              <w:t>员工生活</w:t>
            </w:r>
          </w:p>
        </w:tc>
        <w:tc>
          <w:tcPr>
            <w:tcW w:w="1237" w:type="dxa"/>
            <w:vAlign w:val="center"/>
          </w:tcPr>
          <w:p>
            <w:pPr>
              <w:pStyle w:val="8"/>
              <w:ind w:firstLine="0" w:firstLineChars="0"/>
            </w:pPr>
            <w:r>
              <w:rPr>
                <w:rFonts w:hint="eastAsia"/>
              </w:rPr>
              <w:t>生活垃圾</w:t>
            </w:r>
          </w:p>
        </w:tc>
        <w:tc>
          <w:tcPr>
            <w:tcW w:w="3063" w:type="dxa"/>
            <w:vAlign w:val="center"/>
          </w:tcPr>
          <w:p>
            <w:pPr>
              <w:pStyle w:val="8"/>
              <w:ind w:firstLine="0" w:firstLineChars="0"/>
            </w:pPr>
            <w:r>
              <w:rPr>
                <w:rFonts w:hint="eastAsia"/>
              </w:rPr>
              <w:t>送乡镇垃圾填转运系统后，环卫部门集中处理</w:t>
            </w:r>
          </w:p>
        </w:tc>
        <w:tc>
          <w:tcPr>
            <w:tcW w:w="2459" w:type="dxa"/>
            <w:vAlign w:val="center"/>
          </w:tcPr>
          <w:p>
            <w:pPr>
              <w:pStyle w:val="8"/>
              <w:ind w:firstLine="0" w:firstLineChars="0"/>
            </w:pPr>
            <w:r>
              <w:rPr>
                <w:rFonts w:hint="eastAsia"/>
              </w:rPr>
              <w:t>卫生填埋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889" w:type="dxa"/>
            <w:vAlign w:val="center"/>
          </w:tcPr>
          <w:p>
            <w:pPr>
              <w:pStyle w:val="8"/>
              <w:ind w:firstLine="0" w:firstLineChars="0"/>
            </w:pPr>
            <w:r>
              <w:rPr>
                <w:rFonts w:hint="eastAsia"/>
              </w:rPr>
              <w:t>噪声</w:t>
            </w:r>
          </w:p>
        </w:tc>
        <w:tc>
          <w:tcPr>
            <w:tcW w:w="1084" w:type="dxa"/>
            <w:vAlign w:val="center"/>
          </w:tcPr>
          <w:p>
            <w:pPr>
              <w:pStyle w:val="8"/>
              <w:ind w:firstLine="0" w:firstLineChars="0"/>
            </w:pPr>
            <w:r>
              <w:rPr>
                <w:rFonts w:hint="eastAsia"/>
              </w:rPr>
              <w:t>养殖区</w:t>
            </w:r>
          </w:p>
        </w:tc>
        <w:tc>
          <w:tcPr>
            <w:tcW w:w="1237" w:type="dxa"/>
            <w:vAlign w:val="center"/>
          </w:tcPr>
          <w:p>
            <w:pPr>
              <w:pStyle w:val="8"/>
              <w:ind w:firstLine="0" w:firstLineChars="0"/>
            </w:pPr>
            <w:r>
              <w:rPr>
                <w:rFonts w:hint="eastAsia"/>
              </w:rPr>
              <w:t>设备噪声、猪叫等</w:t>
            </w:r>
          </w:p>
        </w:tc>
        <w:tc>
          <w:tcPr>
            <w:tcW w:w="3063" w:type="dxa"/>
            <w:vAlign w:val="center"/>
          </w:tcPr>
          <w:p>
            <w:pPr>
              <w:pStyle w:val="8"/>
              <w:ind w:firstLine="0" w:firstLineChars="0"/>
            </w:pPr>
            <w:r>
              <w:rPr>
                <w:rFonts w:hint="eastAsia"/>
              </w:rPr>
              <w:t>设备采用基础减震，猪舍进行隔声处理，厂区绿化</w:t>
            </w:r>
          </w:p>
        </w:tc>
        <w:tc>
          <w:tcPr>
            <w:tcW w:w="2459" w:type="dxa"/>
            <w:vAlign w:val="center"/>
          </w:tcPr>
          <w:p>
            <w:pPr>
              <w:pStyle w:val="8"/>
              <w:ind w:firstLine="0" w:firstLineChars="0"/>
            </w:pPr>
            <w:r>
              <w:t>《工业企业厂界环境噪声排放标准》2类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8" w:hRule="atLeast"/>
          <w:jc w:val="center"/>
        </w:trPr>
        <w:tc>
          <w:tcPr>
            <w:tcW w:w="889" w:type="dxa"/>
            <w:vAlign w:val="center"/>
          </w:tcPr>
          <w:p>
            <w:pPr>
              <w:pStyle w:val="8"/>
              <w:ind w:firstLine="0" w:firstLineChars="0"/>
            </w:pPr>
            <w:r>
              <w:rPr>
                <w:rFonts w:hint="eastAsia"/>
              </w:rPr>
              <w:t>生态</w:t>
            </w:r>
          </w:p>
        </w:tc>
        <w:tc>
          <w:tcPr>
            <w:tcW w:w="1084" w:type="dxa"/>
            <w:vAlign w:val="center"/>
          </w:tcPr>
          <w:p>
            <w:pPr>
              <w:pStyle w:val="8"/>
              <w:ind w:firstLine="0" w:firstLineChars="0"/>
            </w:pPr>
            <w:r>
              <w:rPr>
                <w:rFonts w:hint="eastAsia"/>
              </w:rPr>
              <w:t>养殖区</w:t>
            </w:r>
          </w:p>
        </w:tc>
        <w:tc>
          <w:tcPr>
            <w:tcW w:w="1237" w:type="dxa"/>
            <w:vAlign w:val="center"/>
          </w:tcPr>
          <w:p>
            <w:pPr>
              <w:pStyle w:val="8"/>
              <w:ind w:firstLine="0" w:firstLineChars="0"/>
            </w:pPr>
            <w:r>
              <w:rPr>
                <w:rFonts w:hint="eastAsia"/>
              </w:rPr>
              <w:t>扬尘、噪声、恶臭</w:t>
            </w:r>
          </w:p>
        </w:tc>
        <w:tc>
          <w:tcPr>
            <w:tcW w:w="3063" w:type="dxa"/>
            <w:vAlign w:val="center"/>
          </w:tcPr>
          <w:p>
            <w:pPr>
              <w:pStyle w:val="8"/>
              <w:ind w:firstLine="0" w:firstLineChars="0"/>
            </w:pPr>
            <w:r>
              <w:rPr>
                <w:rFonts w:hint="eastAsia"/>
              </w:rPr>
              <w:t>场区内及厂界植树、防护林</w:t>
            </w:r>
          </w:p>
        </w:tc>
        <w:tc>
          <w:tcPr>
            <w:tcW w:w="2459" w:type="dxa"/>
            <w:vAlign w:val="center"/>
          </w:tcPr>
          <w:p>
            <w:pPr>
              <w:pStyle w:val="8"/>
              <w:ind w:firstLine="0" w:firstLineChars="0"/>
            </w:pPr>
            <w:r>
              <w:rPr>
                <w:rFonts w:hint="eastAsia"/>
              </w:rPr>
              <w:t>绿化面积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889" w:type="dxa"/>
            <w:vAlign w:val="center"/>
          </w:tcPr>
          <w:p>
            <w:pPr>
              <w:pStyle w:val="8"/>
              <w:ind w:firstLine="0" w:firstLineChars="0"/>
            </w:pPr>
            <w:r>
              <w:rPr>
                <w:rFonts w:hint="eastAsia"/>
              </w:rPr>
              <w:t>环境风险</w:t>
            </w:r>
          </w:p>
        </w:tc>
        <w:tc>
          <w:tcPr>
            <w:tcW w:w="1084" w:type="dxa"/>
            <w:vAlign w:val="center"/>
          </w:tcPr>
          <w:p>
            <w:pPr>
              <w:pStyle w:val="8"/>
              <w:ind w:firstLine="0" w:firstLineChars="0"/>
            </w:pPr>
            <w:r>
              <w:rPr>
                <w:rFonts w:hint="eastAsia"/>
              </w:rPr>
              <w:t>养殖区</w:t>
            </w:r>
          </w:p>
        </w:tc>
        <w:tc>
          <w:tcPr>
            <w:tcW w:w="1237" w:type="dxa"/>
            <w:vAlign w:val="center"/>
          </w:tcPr>
          <w:p>
            <w:pPr>
              <w:pStyle w:val="8"/>
              <w:ind w:firstLine="0" w:firstLineChars="0"/>
              <w:rPr>
                <w:highlight w:val="yellow"/>
              </w:rPr>
            </w:pPr>
            <w:r>
              <w:rPr>
                <w:rFonts w:hint="eastAsia"/>
              </w:rPr>
              <w:t>发酵床发生设施故障时</w:t>
            </w:r>
          </w:p>
        </w:tc>
        <w:tc>
          <w:tcPr>
            <w:tcW w:w="3063" w:type="dxa"/>
            <w:vAlign w:val="center"/>
          </w:tcPr>
          <w:p>
            <w:pPr>
              <w:pStyle w:val="8"/>
              <w:ind w:firstLine="0" w:firstLineChars="0"/>
              <w:rPr>
                <w:highlight w:val="yellow"/>
              </w:rPr>
            </w:pPr>
            <w:r>
              <w:rPr>
                <w:rFonts w:hint="eastAsia"/>
              </w:rPr>
              <w:t>配套相应的储存池</w:t>
            </w:r>
          </w:p>
        </w:tc>
        <w:tc>
          <w:tcPr>
            <w:tcW w:w="2459" w:type="dxa"/>
            <w:vAlign w:val="center"/>
          </w:tcPr>
          <w:p>
            <w:pPr>
              <w:pStyle w:val="8"/>
              <w:ind w:firstLine="0" w:firstLineChars="0"/>
              <w:rPr>
                <w:highlight w:val="yellow"/>
              </w:rPr>
            </w:pPr>
            <w:r>
              <w:rPr>
                <w:rFonts w:hint="eastAsia"/>
              </w:rPr>
              <w:t>-</w:t>
            </w:r>
          </w:p>
        </w:tc>
      </w:tr>
    </w:tbl>
    <w:p>
      <w:pPr>
        <w:pStyle w:val="2"/>
      </w:pPr>
      <w:bookmarkStart w:id="437" w:name="_Toc182022392"/>
      <w:bookmarkStart w:id="438" w:name="_Toc118087372"/>
      <w:bookmarkStart w:id="439" w:name="_Toc289344586"/>
      <w:r>
        <w:rPr>
          <w:highlight w:val="yellow"/>
        </w:rPr>
        <w:br w:type="page"/>
      </w:r>
      <w:bookmarkEnd w:id="437"/>
      <w:bookmarkEnd w:id="438"/>
      <w:bookmarkEnd w:id="439"/>
      <w:bookmarkStart w:id="440" w:name="_Toc20702"/>
      <w:bookmarkStart w:id="441" w:name="_Toc289344606"/>
      <w:bookmarkStart w:id="442" w:name="_Toc468689293"/>
      <w:bookmarkStart w:id="443" w:name="_Toc118087377"/>
      <w:bookmarkStart w:id="444" w:name="_Toc182022402"/>
      <w:r>
        <w:t>第六章</w:t>
      </w:r>
      <w:r>
        <w:rPr>
          <w:rFonts w:hint="eastAsia"/>
        </w:rPr>
        <w:t xml:space="preserve">  环境经济损益分析</w:t>
      </w:r>
      <w:bookmarkEnd w:id="440"/>
      <w:bookmarkEnd w:id="441"/>
      <w:bookmarkEnd w:id="442"/>
    </w:p>
    <w:p>
      <w:pPr>
        <w:ind w:firstLine="480"/>
      </w:pPr>
      <w:r>
        <w:rPr>
          <w:rFonts w:hint="eastAsia"/>
        </w:rPr>
        <w:t>环境经济损益分析的主要任务是衡量建设项目要投入的环境投资所能收到的环境保护效果，本评价环境经济损益分析主要研究工程环境经济损益情况，除需计算用于控制污染所需投资和费用外，还要同时核算可能收到的环境与经济实效。</w:t>
      </w:r>
    </w:p>
    <w:p>
      <w:pPr>
        <w:pStyle w:val="4"/>
        <w:spacing w:before="62" w:after="62"/>
      </w:pPr>
      <w:bookmarkStart w:id="445" w:name="_Toc10429"/>
      <w:bookmarkStart w:id="446" w:name="_Toc468689294"/>
      <w:bookmarkStart w:id="447" w:name="_Toc289344607"/>
      <w:r>
        <w:rPr>
          <w:rFonts w:hint="eastAsia"/>
        </w:rPr>
        <w:t>6.1环保投资估算</w:t>
      </w:r>
      <w:bookmarkEnd w:id="445"/>
      <w:bookmarkEnd w:id="446"/>
      <w:bookmarkEnd w:id="447"/>
    </w:p>
    <w:p>
      <w:pPr>
        <w:ind w:firstLine="480"/>
      </w:pPr>
      <w:r>
        <w:rPr>
          <w:rFonts w:hint="eastAsia"/>
        </w:rPr>
        <w:t>《建设项目环境保护设计规定》第六十三条指出：</w:t>
      </w:r>
      <w:r>
        <w:t>“</w:t>
      </w:r>
      <w:r>
        <w:rPr>
          <w:rFonts w:hint="eastAsia"/>
        </w:rPr>
        <w:t>凡属于污染治理和保护环境所需的装置、设备、监测手段和工程设施等属于环境保护设施</w:t>
      </w:r>
      <w:r>
        <w:t>”</w:t>
      </w:r>
      <w:r>
        <w:rPr>
          <w:rFonts w:hint="eastAsia"/>
        </w:rPr>
        <w:t>、</w:t>
      </w:r>
      <w:r>
        <w:t>“</w:t>
      </w:r>
      <w:r>
        <w:rPr>
          <w:rFonts w:hint="eastAsia"/>
        </w:rPr>
        <w:t>凡有环境保护设施的建设项目均应列入环境保护设施的投资概算</w:t>
      </w:r>
      <w:r>
        <w:t>”</w:t>
      </w:r>
      <w:r>
        <w:rPr>
          <w:rFonts w:hint="eastAsia"/>
        </w:rPr>
        <w:t>，根据此规定，该公司环保投资见下表6.1-1。</w:t>
      </w:r>
    </w:p>
    <w:p>
      <w:pPr>
        <w:pStyle w:val="11"/>
      </w:pPr>
      <w:r>
        <w:t xml:space="preserve">表6.1- </w:t>
      </w:r>
      <w:r>
        <w:fldChar w:fldCharType="begin"/>
      </w:r>
      <w:r>
        <w:instrText xml:space="preserve"> SEQ 表6.1- \* ARABIC </w:instrText>
      </w:r>
      <w:r>
        <w:fldChar w:fldCharType="separate"/>
      </w:r>
      <w:r>
        <w:t>1</w:t>
      </w:r>
      <w:r>
        <w:fldChar w:fldCharType="end"/>
      </w:r>
      <w:r>
        <w:rPr>
          <w:rFonts w:hint="eastAsia"/>
        </w:rPr>
        <w:t xml:space="preserve">  </w:t>
      </w:r>
      <w:r>
        <w:t>环保治理投资估算一览表</w:t>
      </w:r>
    </w:p>
    <w:tbl>
      <w:tblPr>
        <w:tblStyle w:val="21"/>
        <w:tblW w:w="87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0"/>
        <w:gridCol w:w="1108"/>
        <w:gridCol w:w="427"/>
        <w:gridCol w:w="699"/>
        <w:gridCol w:w="2940"/>
        <w:gridCol w:w="1946"/>
        <w:gridCol w:w="10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Align w:val="center"/>
          </w:tcPr>
          <w:p>
            <w:pPr>
              <w:pStyle w:val="8"/>
              <w:ind w:firstLine="0" w:firstLineChars="0"/>
            </w:pPr>
            <w:r>
              <w:t>时期</w:t>
            </w:r>
          </w:p>
        </w:tc>
        <w:tc>
          <w:tcPr>
            <w:tcW w:w="1108" w:type="dxa"/>
            <w:vAlign w:val="center"/>
          </w:tcPr>
          <w:p>
            <w:pPr>
              <w:pStyle w:val="8"/>
              <w:ind w:firstLine="0" w:firstLineChars="0"/>
            </w:pPr>
            <w:r>
              <w:t>环境要素</w:t>
            </w:r>
          </w:p>
        </w:tc>
        <w:tc>
          <w:tcPr>
            <w:tcW w:w="1126" w:type="dxa"/>
            <w:gridSpan w:val="2"/>
            <w:vAlign w:val="center"/>
          </w:tcPr>
          <w:p>
            <w:pPr>
              <w:pStyle w:val="8"/>
              <w:ind w:firstLine="0" w:firstLineChars="0"/>
            </w:pPr>
            <w:r>
              <w:t>治理项目</w:t>
            </w:r>
          </w:p>
        </w:tc>
        <w:tc>
          <w:tcPr>
            <w:tcW w:w="2940" w:type="dxa"/>
            <w:vAlign w:val="center"/>
          </w:tcPr>
          <w:p>
            <w:pPr>
              <w:pStyle w:val="8"/>
              <w:ind w:firstLine="0" w:firstLineChars="0"/>
            </w:pPr>
            <w:r>
              <w:t>治理措施</w:t>
            </w:r>
          </w:p>
        </w:tc>
        <w:tc>
          <w:tcPr>
            <w:tcW w:w="1946" w:type="dxa"/>
            <w:vAlign w:val="center"/>
          </w:tcPr>
          <w:p>
            <w:pPr>
              <w:pStyle w:val="8"/>
              <w:ind w:firstLine="0" w:firstLineChars="0"/>
            </w:pPr>
            <w:r>
              <w:t>治理效果</w:t>
            </w:r>
          </w:p>
        </w:tc>
        <w:tc>
          <w:tcPr>
            <w:tcW w:w="1082" w:type="dxa"/>
            <w:vAlign w:val="center"/>
          </w:tcPr>
          <w:p>
            <w:pPr>
              <w:pStyle w:val="8"/>
              <w:ind w:firstLine="0" w:firstLineChars="0"/>
            </w:pPr>
            <w:r>
              <w:t>投资估算</w:t>
            </w:r>
          </w:p>
          <w:p>
            <w:pPr>
              <w:pStyle w:val="8"/>
              <w:ind w:firstLine="0" w:firstLineChars="0"/>
            </w:pPr>
            <w: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restart"/>
            <w:vAlign w:val="center"/>
          </w:tcPr>
          <w:p>
            <w:pPr>
              <w:pStyle w:val="8"/>
              <w:ind w:firstLine="0" w:firstLineChars="0"/>
            </w:pPr>
            <w:r>
              <w:t>施</w:t>
            </w:r>
          </w:p>
          <w:p>
            <w:pPr>
              <w:pStyle w:val="8"/>
              <w:ind w:firstLine="0" w:firstLineChars="0"/>
            </w:pPr>
            <w:r>
              <w:t>工</w:t>
            </w:r>
          </w:p>
          <w:p>
            <w:pPr>
              <w:pStyle w:val="8"/>
              <w:ind w:firstLine="0" w:firstLineChars="0"/>
            </w:pPr>
            <w:r>
              <w:t>期</w:t>
            </w:r>
          </w:p>
        </w:tc>
        <w:tc>
          <w:tcPr>
            <w:tcW w:w="1108" w:type="dxa"/>
            <w:vAlign w:val="center"/>
          </w:tcPr>
          <w:p>
            <w:pPr>
              <w:pStyle w:val="8"/>
              <w:ind w:firstLine="0" w:firstLineChars="0"/>
            </w:pPr>
            <w:r>
              <w:t>大气</w:t>
            </w:r>
          </w:p>
        </w:tc>
        <w:tc>
          <w:tcPr>
            <w:tcW w:w="1126" w:type="dxa"/>
            <w:gridSpan w:val="2"/>
            <w:vAlign w:val="center"/>
          </w:tcPr>
          <w:p>
            <w:pPr>
              <w:pStyle w:val="8"/>
              <w:ind w:firstLine="0" w:firstLineChars="0"/>
            </w:pPr>
            <w:r>
              <w:t>废气治理</w:t>
            </w:r>
          </w:p>
        </w:tc>
        <w:tc>
          <w:tcPr>
            <w:tcW w:w="2940" w:type="dxa"/>
            <w:vAlign w:val="center"/>
          </w:tcPr>
          <w:p>
            <w:pPr>
              <w:pStyle w:val="8"/>
              <w:ind w:firstLine="0" w:firstLineChars="0"/>
            </w:pPr>
            <w:r>
              <w:t>洒水、围挡、防尘布等</w:t>
            </w:r>
          </w:p>
        </w:tc>
        <w:tc>
          <w:tcPr>
            <w:tcW w:w="1946" w:type="dxa"/>
            <w:vAlign w:val="center"/>
          </w:tcPr>
          <w:p>
            <w:pPr>
              <w:pStyle w:val="8"/>
              <w:ind w:firstLine="0" w:firstLineChars="0"/>
            </w:pPr>
            <w:r>
              <w:t>减小施工期扬尘对周围环境影响</w:t>
            </w:r>
          </w:p>
        </w:tc>
        <w:tc>
          <w:tcPr>
            <w:tcW w:w="1082" w:type="dxa"/>
            <w:vAlign w:val="center"/>
          </w:tcPr>
          <w:p>
            <w:pPr>
              <w:pStyle w:val="8"/>
              <w:ind w:firstLine="0" w:firstLineChars="0"/>
            </w:pPr>
            <w:r>
              <w:rPr>
                <w:rFonts w:hint="eastAsia"/>
              </w:rPr>
              <w:t>2</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pPr>
          </w:p>
        </w:tc>
        <w:tc>
          <w:tcPr>
            <w:tcW w:w="1108" w:type="dxa"/>
            <w:vAlign w:val="center"/>
          </w:tcPr>
          <w:p>
            <w:pPr>
              <w:pStyle w:val="8"/>
              <w:ind w:firstLine="0" w:firstLineChars="0"/>
            </w:pPr>
            <w:r>
              <w:t>水环境</w:t>
            </w:r>
          </w:p>
        </w:tc>
        <w:tc>
          <w:tcPr>
            <w:tcW w:w="1126" w:type="dxa"/>
            <w:gridSpan w:val="2"/>
            <w:vAlign w:val="center"/>
          </w:tcPr>
          <w:p>
            <w:pPr>
              <w:pStyle w:val="8"/>
              <w:ind w:firstLine="0" w:firstLineChars="0"/>
            </w:pPr>
            <w:r>
              <w:t>废水治理</w:t>
            </w:r>
          </w:p>
        </w:tc>
        <w:tc>
          <w:tcPr>
            <w:tcW w:w="2940" w:type="dxa"/>
            <w:vAlign w:val="center"/>
          </w:tcPr>
          <w:p>
            <w:pPr>
              <w:pStyle w:val="8"/>
              <w:ind w:firstLine="0" w:firstLineChars="0"/>
            </w:pPr>
            <w:r>
              <w:t>隔油沉淀池</w:t>
            </w:r>
          </w:p>
        </w:tc>
        <w:tc>
          <w:tcPr>
            <w:tcW w:w="1946" w:type="dxa"/>
            <w:vAlign w:val="center"/>
          </w:tcPr>
          <w:p>
            <w:pPr>
              <w:pStyle w:val="8"/>
              <w:ind w:firstLine="0" w:firstLineChars="0"/>
            </w:pPr>
            <w:r>
              <w:t>废水回用不外排</w:t>
            </w:r>
          </w:p>
        </w:tc>
        <w:tc>
          <w:tcPr>
            <w:tcW w:w="1082" w:type="dxa"/>
            <w:vAlign w:val="center"/>
          </w:tcPr>
          <w:p>
            <w:pPr>
              <w:pStyle w:val="8"/>
              <w:ind w:firstLine="0" w:firstLineChars="0"/>
            </w:pPr>
            <w:r>
              <w:rPr>
                <w:rFonts w:hint="eastAsia"/>
              </w:rPr>
              <w:t>1</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pPr>
          </w:p>
        </w:tc>
        <w:tc>
          <w:tcPr>
            <w:tcW w:w="1108" w:type="dxa"/>
            <w:vAlign w:val="center"/>
          </w:tcPr>
          <w:p>
            <w:pPr>
              <w:pStyle w:val="8"/>
              <w:ind w:firstLine="0" w:firstLineChars="0"/>
            </w:pPr>
            <w:r>
              <w:t>噪声</w:t>
            </w:r>
          </w:p>
        </w:tc>
        <w:tc>
          <w:tcPr>
            <w:tcW w:w="1126" w:type="dxa"/>
            <w:gridSpan w:val="2"/>
            <w:vAlign w:val="center"/>
          </w:tcPr>
          <w:p>
            <w:pPr>
              <w:pStyle w:val="8"/>
              <w:ind w:firstLine="0" w:firstLineChars="0"/>
            </w:pPr>
            <w:r>
              <w:t>噪声治理</w:t>
            </w:r>
          </w:p>
        </w:tc>
        <w:tc>
          <w:tcPr>
            <w:tcW w:w="2940" w:type="dxa"/>
            <w:vAlign w:val="center"/>
          </w:tcPr>
          <w:p>
            <w:pPr>
              <w:pStyle w:val="8"/>
              <w:ind w:firstLine="0" w:firstLineChars="0"/>
            </w:pPr>
            <w:r>
              <w:t>隔声围挡</w:t>
            </w:r>
          </w:p>
        </w:tc>
        <w:tc>
          <w:tcPr>
            <w:tcW w:w="1946" w:type="dxa"/>
            <w:vAlign w:val="center"/>
          </w:tcPr>
          <w:p>
            <w:pPr>
              <w:pStyle w:val="8"/>
              <w:ind w:firstLine="0" w:firstLineChars="0"/>
            </w:pPr>
            <w:r>
              <w:t>减小施工期噪声对周围环境影响</w:t>
            </w:r>
          </w:p>
        </w:tc>
        <w:tc>
          <w:tcPr>
            <w:tcW w:w="1082" w:type="dxa"/>
            <w:vAlign w:val="center"/>
          </w:tcPr>
          <w:p>
            <w:pPr>
              <w:pStyle w:val="8"/>
              <w:ind w:firstLine="0" w:firstLineChars="0"/>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pPr>
          </w:p>
        </w:tc>
        <w:tc>
          <w:tcPr>
            <w:tcW w:w="1108" w:type="dxa"/>
            <w:vAlign w:val="center"/>
          </w:tcPr>
          <w:p>
            <w:pPr>
              <w:pStyle w:val="8"/>
              <w:ind w:firstLine="0" w:firstLineChars="0"/>
            </w:pPr>
            <w:r>
              <w:t>固体废物</w:t>
            </w:r>
          </w:p>
        </w:tc>
        <w:tc>
          <w:tcPr>
            <w:tcW w:w="1126" w:type="dxa"/>
            <w:gridSpan w:val="2"/>
            <w:vAlign w:val="center"/>
          </w:tcPr>
          <w:p>
            <w:pPr>
              <w:pStyle w:val="8"/>
              <w:ind w:firstLine="0" w:firstLineChars="0"/>
            </w:pPr>
            <w:r>
              <w:t>固废治理</w:t>
            </w:r>
          </w:p>
        </w:tc>
        <w:tc>
          <w:tcPr>
            <w:tcW w:w="2940" w:type="dxa"/>
            <w:vAlign w:val="center"/>
          </w:tcPr>
          <w:p>
            <w:pPr>
              <w:pStyle w:val="8"/>
              <w:ind w:firstLine="0" w:firstLineChars="0"/>
            </w:pPr>
            <w:r>
              <w:t>生活垃圾、建筑垃圾收集</w:t>
            </w:r>
          </w:p>
          <w:p>
            <w:pPr>
              <w:pStyle w:val="8"/>
              <w:ind w:firstLine="0" w:firstLineChars="0"/>
            </w:pPr>
            <w:r>
              <w:t>分类统一清运</w:t>
            </w:r>
          </w:p>
        </w:tc>
        <w:tc>
          <w:tcPr>
            <w:tcW w:w="1946" w:type="dxa"/>
            <w:vAlign w:val="center"/>
          </w:tcPr>
          <w:p>
            <w:pPr>
              <w:pStyle w:val="8"/>
              <w:ind w:firstLine="0" w:firstLineChars="0"/>
            </w:pPr>
            <w:r>
              <w:t>不外排周围环境</w:t>
            </w:r>
          </w:p>
        </w:tc>
        <w:tc>
          <w:tcPr>
            <w:tcW w:w="1082" w:type="dxa"/>
            <w:vAlign w:val="center"/>
          </w:tcPr>
          <w:p>
            <w:pPr>
              <w:pStyle w:val="8"/>
              <w:ind w:firstLine="0" w:firstLineChars="0"/>
            </w:pPr>
            <w:r>
              <w:rPr>
                <w:rFonts w:hint="eastAsia"/>
              </w:rPr>
              <w:t>2</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pPr>
          </w:p>
        </w:tc>
        <w:tc>
          <w:tcPr>
            <w:tcW w:w="1108" w:type="dxa"/>
            <w:vAlign w:val="center"/>
          </w:tcPr>
          <w:p>
            <w:pPr>
              <w:pStyle w:val="8"/>
              <w:ind w:firstLine="0" w:firstLineChars="0"/>
            </w:pPr>
            <w:r>
              <w:t>生态环境</w:t>
            </w:r>
          </w:p>
        </w:tc>
        <w:tc>
          <w:tcPr>
            <w:tcW w:w="1126" w:type="dxa"/>
            <w:gridSpan w:val="2"/>
            <w:vAlign w:val="center"/>
          </w:tcPr>
          <w:p>
            <w:pPr>
              <w:pStyle w:val="8"/>
              <w:ind w:firstLine="0" w:firstLineChars="0"/>
            </w:pPr>
            <w:r>
              <w:t>水土流失</w:t>
            </w:r>
          </w:p>
        </w:tc>
        <w:tc>
          <w:tcPr>
            <w:tcW w:w="2940" w:type="dxa"/>
            <w:vAlign w:val="center"/>
          </w:tcPr>
          <w:p>
            <w:pPr>
              <w:pStyle w:val="8"/>
              <w:ind w:firstLine="0" w:firstLineChars="0"/>
            </w:pPr>
            <w:r>
              <w:t>截水沟等排水设施</w:t>
            </w:r>
          </w:p>
        </w:tc>
        <w:tc>
          <w:tcPr>
            <w:tcW w:w="1946" w:type="dxa"/>
            <w:vAlign w:val="center"/>
          </w:tcPr>
          <w:p>
            <w:pPr>
              <w:pStyle w:val="8"/>
              <w:ind w:firstLine="0" w:firstLineChars="0"/>
            </w:pPr>
            <w:r>
              <w:t>水土流失得到治理和控制</w:t>
            </w:r>
          </w:p>
        </w:tc>
        <w:tc>
          <w:tcPr>
            <w:tcW w:w="1082" w:type="dxa"/>
            <w:vAlign w:val="center"/>
          </w:tcPr>
          <w:p>
            <w:pPr>
              <w:pStyle w:val="8"/>
              <w:ind w:firstLine="0" w:firstLineChars="0"/>
            </w:pPr>
            <w:r>
              <w:rPr>
                <w:rFonts w:hint="eastAsia"/>
              </w:rPr>
              <w:t>2</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restart"/>
            <w:vAlign w:val="center"/>
          </w:tcPr>
          <w:p>
            <w:pPr>
              <w:pStyle w:val="8"/>
              <w:ind w:firstLine="0" w:firstLineChars="0"/>
            </w:pPr>
            <w:r>
              <w:t>营运期</w:t>
            </w:r>
          </w:p>
        </w:tc>
        <w:tc>
          <w:tcPr>
            <w:tcW w:w="1108" w:type="dxa"/>
            <w:vMerge w:val="restart"/>
            <w:vAlign w:val="center"/>
          </w:tcPr>
          <w:p>
            <w:pPr>
              <w:pStyle w:val="8"/>
              <w:ind w:firstLine="0" w:firstLineChars="0"/>
            </w:pPr>
            <w:r>
              <w:t>大气</w:t>
            </w:r>
          </w:p>
        </w:tc>
        <w:tc>
          <w:tcPr>
            <w:tcW w:w="427" w:type="dxa"/>
            <w:vAlign w:val="center"/>
          </w:tcPr>
          <w:p>
            <w:pPr>
              <w:pStyle w:val="8"/>
              <w:ind w:firstLine="0" w:firstLineChars="0"/>
            </w:pPr>
            <w:r>
              <w:t>恶臭</w:t>
            </w:r>
          </w:p>
        </w:tc>
        <w:tc>
          <w:tcPr>
            <w:tcW w:w="699" w:type="dxa"/>
            <w:vAlign w:val="center"/>
          </w:tcPr>
          <w:p>
            <w:pPr>
              <w:pStyle w:val="8"/>
              <w:ind w:firstLine="0" w:firstLineChars="0"/>
            </w:pPr>
            <w:r>
              <w:t>养殖场</w:t>
            </w:r>
          </w:p>
        </w:tc>
        <w:tc>
          <w:tcPr>
            <w:tcW w:w="2940" w:type="dxa"/>
            <w:vAlign w:val="center"/>
          </w:tcPr>
          <w:p>
            <w:pPr>
              <w:pStyle w:val="8"/>
              <w:ind w:firstLine="0" w:firstLineChars="0"/>
            </w:pPr>
            <w:r>
              <w:rPr>
                <w:rFonts w:hint="eastAsia"/>
              </w:rPr>
              <w:t>合理搭配</w:t>
            </w:r>
            <w:r>
              <w:t>饲料</w:t>
            </w:r>
            <w:r>
              <w:rPr>
                <w:rFonts w:hint="eastAsia"/>
              </w:rPr>
              <w:t>，</w:t>
            </w:r>
            <w:r>
              <w:t>添加微生物剂</w:t>
            </w:r>
            <w:r>
              <w:rPr>
                <w:rFonts w:hint="eastAsia"/>
              </w:rPr>
              <w:t>；喷洒除臭剂；加强舍内通风，水帘降温除臭等等</w:t>
            </w:r>
          </w:p>
        </w:tc>
        <w:tc>
          <w:tcPr>
            <w:tcW w:w="1946" w:type="dxa"/>
            <w:vAlign w:val="center"/>
          </w:tcPr>
          <w:p>
            <w:pPr>
              <w:pStyle w:val="8"/>
              <w:ind w:firstLine="0" w:firstLineChars="0"/>
            </w:pPr>
            <w:r>
              <w:t>确保场界处大气污染物不超标</w:t>
            </w:r>
          </w:p>
        </w:tc>
        <w:tc>
          <w:tcPr>
            <w:tcW w:w="1082" w:type="dxa"/>
            <w:vAlign w:val="center"/>
          </w:tcPr>
          <w:p>
            <w:pPr>
              <w:pStyle w:val="8"/>
              <w:ind w:firstLine="0" w:firstLineChars="0"/>
            </w:pPr>
            <w:r>
              <w:rPr>
                <w:rFonts w:hint="eastAsia"/>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pPr>
          </w:p>
        </w:tc>
        <w:tc>
          <w:tcPr>
            <w:tcW w:w="1108" w:type="dxa"/>
            <w:vMerge w:val="continue"/>
            <w:vAlign w:val="center"/>
          </w:tcPr>
          <w:p>
            <w:pPr>
              <w:pStyle w:val="8"/>
              <w:ind w:firstLine="0" w:firstLineChars="0"/>
            </w:pPr>
          </w:p>
        </w:tc>
        <w:tc>
          <w:tcPr>
            <w:tcW w:w="427" w:type="dxa"/>
            <w:vAlign w:val="center"/>
          </w:tcPr>
          <w:p>
            <w:pPr>
              <w:pStyle w:val="8"/>
              <w:ind w:firstLine="0" w:firstLineChars="0"/>
            </w:pPr>
            <w:r>
              <w:t>油烟</w:t>
            </w:r>
          </w:p>
        </w:tc>
        <w:tc>
          <w:tcPr>
            <w:tcW w:w="699" w:type="dxa"/>
            <w:vAlign w:val="center"/>
          </w:tcPr>
          <w:p>
            <w:pPr>
              <w:pStyle w:val="8"/>
              <w:ind w:firstLine="0" w:firstLineChars="0"/>
            </w:pPr>
            <w:r>
              <w:t>厨房</w:t>
            </w:r>
          </w:p>
        </w:tc>
        <w:tc>
          <w:tcPr>
            <w:tcW w:w="2940" w:type="dxa"/>
            <w:vAlign w:val="center"/>
          </w:tcPr>
          <w:p>
            <w:pPr>
              <w:pStyle w:val="8"/>
              <w:ind w:firstLine="0" w:firstLineChars="0"/>
            </w:pPr>
            <w:r>
              <w:t>家庭式油烟净化器</w:t>
            </w:r>
            <w:r>
              <w:rPr>
                <w:rFonts w:hint="eastAsia"/>
              </w:rPr>
              <w:t>（1套）</w:t>
            </w:r>
          </w:p>
        </w:tc>
        <w:tc>
          <w:tcPr>
            <w:tcW w:w="1946" w:type="dxa"/>
            <w:vAlign w:val="center"/>
          </w:tcPr>
          <w:p>
            <w:pPr>
              <w:pStyle w:val="8"/>
              <w:ind w:firstLine="0" w:firstLineChars="0"/>
            </w:pPr>
            <w:r>
              <w:t>减少煮食油烟对周围环境的影响</w:t>
            </w:r>
          </w:p>
        </w:tc>
        <w:tc>
          <w:tcPr>
            <w:tcW w:w="1082" w:type="dxa"/>
            <w:vAlign w:val="center"/>
          </w:tcPr>
          <w:p>
            <w:pPr>
              <w:pStyle w:val="8"/>
              <w:ind w:firstLine="0" w:firstLineChars="0"/>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7" w:hRule="atLeast"/>
          <w:jc w:val="center"/>
        </w:trPr>
        <w:tc>
          <w:tcPr>
            <w:tcW w:w="530" w:type="dxa"/>
            <w:vMerge w:val="continue"/>
            <w:vAlign w:val="center"/>
          </w:tcPr>
          <w:p>
            <w:pPr>
              <w:pStyle w:val="8"/>
              <w:ind w:firstLine="0" w:firstLineChars="0"/>
            </w:pPr>
          </w:p>
        </w:tc>
        <w:tc>
          <w:tcPr>
            <w:tcW w:w="1108" w:type="dxa"/>
            <w:vMerge w:val="restart"/>
            <w:vAlign w:val="center"/>
          </w:tcPr>
          <w:p>
            <w:pPr>
              <w:pStyle w:val="8"/>
              <w:ind w:firstLine="0" w:firstLineChars="0"/>
            </w:pPr>
            <w:r>
              <w:t>水环境</w:t>
            </w:r>
          </w:p>
        </w:tc>
        <w:tc>
          <w:tcPr>
            <w:tcW w:w="1126" w:type="dxa"/>
            <w:gridSpan w:val="2"/>
            <w:vAlign w:val="center"/>
          </w:tcPr>
          <w:p>
            <w:pPr>
              <w:pStyle w:val="8"/>
              <w:ind w:firstLine="0" w:firstLineChars="0"/>
            </w:pPr>
            <w:r>
              <w:t>生产、生活废水</w:t>
            </w:r>
          </w:p>
        </w:tc>
        <w:tc>
          <w:tcPr>
            <w:tcW w:w="2940" w:type="dxa"/>
            <w:vAlign w:val="center"/>
          </w:tcPr>
          <w:p>
            <w:pPr>
              <w:pStyle w:val="8"/>
              <w:ind w:firstLine="0" w:firstLineChars="0"/>
            </w:pPr>
            <w:r>
              <w:rPr>
                <w:rFonts w:hint="eastAsia"/>
              </w:rPr>
              <w:t>采用微生物异位发酵床处理，无废水外排。</w:t>
            </w:r>
          </w:p>
        </w:tc>
        <w:tc>
          <w:tcPr>
            <w:tcW w:w="1946" w:type="dxa"/>
            <w:vAlign w:val="center"/>
          </w:tcPr>
          <w:p>
            <w:pPr>
              <w:pStyle w:val="8"/>
              <w:ind w:firstLine="0" w:firstLineChars="0"/>
            </w:pPr>
            <w:r>
              <w:t>不外排</w:t>
            </w:r>
          </w:p>
        </w:tc>
        <w:tc>
          <w:tcPr>
            <w:tcW w:w="1082" w:type="dxa"/>
            <w:vAlign w:val="center"/>
          </w:tcPr>
          <w:p>
            <w:pPr>
              <w:pStyle w:val="8"/>
              <w:ind w:firstLine="0" w:firstLineChars="0"/>
            </w:pPr>
            <w:r>
              <w:rPr>
                <w:rFonts w:hint="eastAsi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rPr>
                <w:highlight w:val="yellow"/>
              </w:rPr>
            </w:pPr>
          </w:p>
        </w:tc>
        <w:tc>
          <w:tcPr>
            <w:tcW w:w="1108" w:type="dxa"/>
            <w:vMerge w:val="continue"/>
            <w:vAlign w:val="center"/>
          </w:tcPr>
          <w:p>
            <w:pPr>
              <w:pStyle w:val="8"/>
              <w:ind w:firstLine="0" w:firstLineChars="0"/>
              <w:rPr>
                <w:highlight w:val="yellow"/>
              </w:rPr>
            </w:pPr>
          </w:p>
        </w:tc>
        <w:tc>
          <w:tcPr>
            <w:tcW w:w="1126" w:type="dxa"/>
            <w:gridSpan w:val="2"/>
            <w:vAlign w:val="center"/>
          </w:tcPr>
          <w:p>
            <w:pPr>
              <w:pStyle w:val="8"/>
              <w:ind w:firstLine="0" w:firstLineChars="0"/>
            </w:pPr>
            <w:r>
              <w:t>雨污分流</w:t>
            </w:r>
            <w:r>
              <w:rPr>
                <w:rFonts w:hint="eastAsia"/>
              </w:rPr>
              <w:t>，厂区防渗</w:t>
            </w:r>
          </w:p>
        </w:tc>
        <w:tc>
          <w:tcPr>
            <w:tcW w:w="2940" w:type="dxa"/>
            <w:vAlign w:val="center"/>
          </w:tcPr>
          <w:p>
            <w:pPr>
              <w:pStyle w:val="8"/>
              <w:ind w:firstLine="0" w:firstLineChars="0"/>
            </w:pPr>
            <w:r>
              <w:t>修建完善雨污水管网</w:t>
            </w:r>
            <w:r>
              <w:rPr>
                <w:rFonts w:hint="eastAsia"/>
              </w:rPr>
              <w:t>，厂区防渗：简单防渗渠采用地面硬化，一般防渗渠采用等效粘土防渗层Mb≥1.5m，K≤1</w:t>
            </w:r>
            <w:r>
              <w:rPr>
                <w:rFonts w:ascii="Arial" w:hAnsi="Arial" w:cs="Arial"/>
              </w:rPr>
              <w:t>×</w:t>
            </w:r>
            <w:r>
              <w:rPr>
                <w:rFonts w:hint="eastAsia"/>
              </w:rPr>
              <w:t>10</w:t>
            </w:r>
            <w:r>
              <w:rPr>
                <w:rFonts w:hint="eastAsia"/>
                <w:vertAlign w:val="superscript"/>
              </w:rPr>
              <w:t>-7</w:t>
            </w:r>
            <w:r>
              <w:rPr>
                <w:rFonts w:hint="eastAsia"/>
              </w:rPr>
              <w:t>cm/s</w:t>
            </w:r>
          </w:p>
        </w:tc>
        <w:tc>
          <w:tcPr>
            <w:tcW w:w="1946" w:type="dxa"/>
            <w:vAlign w:val="center"/>
          </w:tcPr>
          <w:p>
            <w:pPr>
              <w:pStyle w:val="8"/>
              <w:ind w:firstLine="0" w:firstLineChars="0"/>
            </w:pPr>
            <w:r>
              <w:t>确保场区雨污分流</w:t>
            </w:r>
            <w:r>
              <w:rPr>
                <w:rFonts w:hint="eastAsia"/>
              </w:rPr>
              <w:t>，厂区防渗</w:t>
            </w:r>
          </w:p>
        </w:tc>
        <w:tc>
          <w:tcPr>
            <w:tcW w:w="1082" w:type="dxa"/>
            <w:vAlign w:val="center"/>
          </w:tcPr>
          <w:p>
            <w:pPr>
              <w:pStyle w:val="8"/>
              <w:ind w:firstLine="0" w:firstLineChars="0"/>
            </w:pPr>
            <w:r>
              <w:rPr>
                <w:rFonts w:hint="eastAsia"/>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rPr>
                <w:highlight w:val="yellow"/>
              </w:rPr>
            </w:pPr>
          </w:p>
        </w:tc>
        <w:tc>
          <w:tcPr>
            <w:tcW w:w="1108" w:type="dxa"/>
            <w:vAlign w:val="center"/>
          </w:tcPr>
          <w:p>
            <w:pPr>
              <w:pStyle w:val="8"/>
              <w:ind w:firstLine="0" w:firstLineChars="0"/>
            </w:pPr>
            <w:r>
              <w:t>噪声</w:t>
            </w:r>
          </w:p>
        </w:tc>
        <w:tc>
          <w:tcPr>
            <w:tcW w:w="1126" w:type="dxa"/>
            <w:gridSpan w:val="2"/>
            <w:vAlign w:val="center"/>
          </w:tcPr>
          <w:p>
            <w:pPr>
              <w:pStyle w:val="8"/>
              <w:ind w:firstLine="0" w:firstLineChars="0"/>
            </w:pPr>
            <w:r>
              <w:t>噪声污染</w:t>
            </w:r>
          </w:p>
        </w:tc>
        <w:tc>
          <w:tcPr>
            <w:tcW w:w="2940" w:type="dxa"/>
            <w:vAlign w:val="center"/>
          </w:tcPr>
          <w:p>
            <w:pPr>
              <w:pStyle w:val="8"/>
              <w:ind w:firstLine="0" w:firstLineChars="0"/>
            </w:pPr>
            <w:r>
              <w:t>设备采取消声、减振措施；高噪声设备安装在室内进行隔声；场区绿化，采用建筑物隔声</w:t>
            </w:r>
          </w:p>
        </w:tc>
        <w:tc>
          <w:tcPr>
            <w:tcW w:w="1946" w:type="dxa"/>
            <w:vAlign w:val="center"/>
          </w:tcPr>
          <w:p>
            <w:pPr>
              <w:pStyle w:val="8"/>
              <w:ind w:firstLine="0" w:firstLineChars="0"/>
            </w:pPr>
            <w:r>
              <w:t>满足《工业企业厂界环境噪声排放标准》（GB12348-2008）中2类标准</w:t>
            </w:r>
          </w:p>
        </w:tc>
        <w:tc>
          <w:tcPr>
            <w:tcW w:w="1082" w:type="dxa"/>
            <w:vAlign w:val="center"/>
          </w:tcPr>
          <w:p>
            <w:pPr>
              <w:pStyle w:val="8"/>
              <w:ind w:firstLine="0" w:firstLineChars="0"/>
            </w:pPr>
            <w:r>
              <w:rPr>
                <w:rFonts w:hint="eastAsia"/>
              </w:rPr>
              <w:t>2</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rPr>
                <w:highlight w:val="yellow"/>
              </w:rPr>
            </w:pPr>
          </w:p>
        </w:tc>
        <w:tc>
          <w:tcPr>
            <w:tcW w:w="1108" w:type="dxa"/>
            <w:vMerge w:val="restart"/>
            <w:vAlign w:val="center"/>
          </w:tcPr>
          <w:p>
            <w:pPr>
              <w:pStyle w:val="8"/>
              <w:ind w:firstLine="0" w:firstLineChars="0"/>
            </w:pPr>
            <w:r>
              <w:t>固体废物</w:t>
            </w:r>
          </w:p>
        </w:tc>
        <w:tc>
          <w:tcPr>
            <w:tcW w:w="1126" w:type="dxa"/>
            <w:gridSpan w:val="2"/>
            <w:vAlign w:val="center"/>
          </w:tcPr>
          <w:p>
            <w:pPr>
              <w:pStyle w:val="8"/>
              <w:ind w:firstLine="0" w:firstLineChars="0"/>
            </w:pPr>
            <w:r>
              <w:t>病死</w:t>
            </w:r>
            <w:r>
              <w:rPr>
                <w:rFonts w:hint="eastAsia"/>
              </w:rPr>
              <w:t>猪</w:t>
            </w:r>
          </w:p>
        </w:tc>
        <w:tc>
          <w:tcPr>
            <w:tcW w:w="2940" w:type="dxa"/>
            <w:vAlign w:val="center"/>
          </w:tcPr>
          <w:p>
            <w:pPr>
              <w:pStyle w:val="8"/>
              <w:ind w:firstLine="0" w:firstLineChars="0"/>
            </w:pPr>
            <w:r>
              <w:t>修建冷冻库暂存，定期送澧县病死畜禽无害化集中处理收集中心，最终入常德市病死畜禽无害化集中处理中心处理。</w:t>
            </w:r>
          </w:p>
        </w:tc>
        <w:tc>
          <w:tcPr>
            <w:tcW w:w="1946" w:type="dxa"/>
            <w:vAlign w:val="center"/>
          </w:tcPr>
          <w:p>
            <w:pPr>
              <w:pStyle w:val="8"/>
              <w:ind w:firstLine="0" w:firstLineChars="0"/>
            </w:pPr>
            <w:r>
              <w:t>无害化处理</w:t>
            </w:r>
          </w:p>
        </w:tc>
        <w:tc>
          <w:tcPr>
            <w:tcW w:w="1082" w:type="dxa"/>
            <w:vAlign w:val="center"/>
          </w:tcPr>
          <w:p>
            <w:pPr>
              <w:pStyle w:val="8"/>
              <w:ind w:firstLine="0" w:firstLineChars="0"/>
            </w:pPr>
            <w:r>
              <w:rPr>
                <w:rFonts w:hint="eastAsia"/>
              </w:rPr>
              <w:t>1</w:t>
            </w:r>
            <w: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rPr>
                <w:highlight w:val="yellow"/>
              </w:rPr>
            </w:pPr>
          </w:p>
        </w:tc>
        <w:tc>
          <w:tcPr>
            <w:tcW w:w="1108" w:type="dxa"/>
            <w:vMerge w:val="continue"/>
            <w:vAlign w:val="center"/>
          </w:tcPr>
          <w:p>
            <w:pPr>
              <w:pStyle w:val="8"/>
              <w:ind w:firstLine="0" w:firstLineChars="0"/>
              <w:rPr>
                <w:highlight w:val="yellow"/>
              </w:rPr>
            </w:pPr>
          </w:p>
        </w:tc>
        <w:tc>
          <w:tcPr>
            <w:tcW w:w="1126" w:type="dxa"/>
            <w:gridSpan w:val="2"/>
            <w:vAlign w:val="center"/>
          </w:tcPr>
          <w:p>
            <w:pPr>
              <w:pStyle w:val="8"/>
              <w:ind w:firstLine="0" w:firstLineChars="0"/>
            </w:pPr>
            <w:r>
              <w:rPr>
                <w:rFonts w:hint="eastAsia"/>
              </w:rPr>
              <w:t>更换发酵床垫料</w:t>
            </w:r>
          </w:p>
        </w:tc>
        <w:tc>
          <w:tcPr>
            <w:tcW w:w="2940" w:type="dxa"/>
            <w:vAlign w:val="center"/>
          </w:tcPr>
          <w:p>
            <w:pPr>
              <w:pStyle w:val="8"/>
              <w:ind w:firstLine="0" w:firstLineChars="0"/>
            </w:pPr>
            <w:r>
              <w:rPr>
                <w:rFonts w:hint="eastAsia"/>
              </w:rPr>
              <w:t>发酵床垫料作为有机肥料外售</w:t>
            </w:r>
          </w:p>
        </w:tc>
        <w:tc>
          <w:tcPr>
            <w:tcW w:w="1946" w:type="dxa"/>
            <w:vAlign w:val="center"/>
          </w:tcPr>
          <w:p>
            <w:pPr>
              <w:pStyle w:val="8"/>
              <w:ind w:firstLine="0" w:firstLineChars="0"/>
            </w:pPr>
            <w:r>
              <w:t>综合利用</w:t>
            </w:r>
          </w:p>
        </w:tc>
        <w:tc>
          <w:tcPr>
            <w:tcW w:w="1082" w:type="dxa"/>
            <w:vAlign w:val="center"/>
          </w:tcPr>
          <w:p>
            <w:pPr>
              <w:pStyle w:val="8"/>
              <w:ind w:firstLine="0" w:firstLineChars="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rPr>
                <w:highlight w:val="yellow"/>
              </w:rPr>
            </w:pPr>
          </w:p>
        </w:tc>
        <w:tc>
          <w:tcPr>
            <w:tcW w:w="1108" w:type="dxa"/>
            <w:vMerge w:val="continue"/>
            <w:vAlign w:val="center"/>
          </w:tcPr>
          <w:p>
            <w:pPr>
              <w:pStyle w:val="8"/>
              <w:ind w:firstLine="0" w:firstLineChars="0"/>
              <w:rPr>
                <w:highlight w:val="yellow"/>
              </w:rPr>
            </w:pPr>
          </w:p>
        </w:tc>
        <w:tc>
          <w:tcPr>
            <w:tcW w:w="1126" w:type="dxa"/>
            <w:gridSpan w:val="2"/>
            <w:vAlign w:val="center"/>
          </w:tcPr>
          <w:p>
            <w:pPr>
              <w:pStyle w:val="8"/>
              <w:ind w:firstLine="0" w:firstLineChars="0"/>
            </w:pPr>
            <w:r>
              <w:t>畜禽医疗废物</w:t>
            </w:r>
          </w:p>
        </w:tc>
        <w:tc>
          <w:tcPr>
            <w:tcW w:w="2940" w:type="dxa"/>
            <w:vAlign w:val="center"/>
          </w:tcPr>
          <w:p>
            <w:pPr>
              <w:pStyle w:val="8"/>
              <w:ind w:firstLine="0" w:firstLineChars="0"/>
            </w:pPr>
            <w:r>
              <w:t>危废暂存间、送有资质单位处置</w:t>
            </w:r>
          </w:p>
        </w:tc>
        <w:tc>
          <w:tcPr>
            <w:tcW w:w="1946" w:type="dxa"/>
            <w:vAlign w:val="center"/>
          </w:tcPr>
          <w:p>
            <w:pPr>
              <w:pStyle w:val="8"/>
              <w:ind w:firstLine="0" w:firstLineChars="0"/>
            </w:pPr>
            <w:r>
              <w:t>无害化处理</w:t>
            </w:r>
          </w:p>
        </w:tc>
        <w:tc>
          <w:tcPr>
            <w:tcW w:w="1082" w:type="dxa"/>
            <w:vAlign w:val="center"/>
          </w:tcPr>
          <w:p>
            <w:pPr>
              <w:pStyle w:val="8"/>
              <w:ind w:firstLine="0" w:firstLineChars="0"/>
            </w:pPr>
            <w:r>
              <w:rPr>
                <w:rFonts w:hint="eastAsia"/>
              </w:rPr>
              <w:t>2</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0" w:type="dxa"/>
            <w:vMerge w:val="continue"/>
            <w:vAlign w:val="center"/>
          </w:tcPr>
          <w:p>
            <w:pPr>
              <w:pStyle w:val="8"/>
              <w:ind w:firstLine="0" w:firstLineChars="0"/>
              <w:rPr>
                <w:highlight w:val="yellow"/>
              </w:rPr>
            </w:pPr>
          </w:p>
        </w:tc>
        <w:tc>
          <w:tcPr>
            <w:tcW w:w="1108" w:type="dxa"/>
            <w:vMerge w:val="continue"/>
            <w:vAlign w:val="center"/>
          </w:tcPr>
          <w:p>
            <w:pPr>
              <w:pStyle w:val="8"/>
              <w:ind w:firstLine="0" w:firstLineChars="0"/>
              <w:rPr>
                <w:highlight w:val="yellow"/>
              </w:rPr>
            </w:pPr>
          </w:p>
        </w:tc>
        <w:tc>
          <w:tcPr>
            <w:tcW w:w="1126" w:type="dxa"/>
            <w:gridSpan w:val="2"/>
            <w:vAlign w:val="center"/>
          </w:tcPr>
          <w:p>
            <w:pPr>
              <w:pStyle w:val="8"/>
              <w:ind w:firstLine="0" w:firstLineChars="0"/>
            </w:pPr>
            <w:r>
              <w:t>生活垃圾</w:t>
            </w:r>
          </w:p>
        </w:tc>
        <w:tc>
          <w:tcPr>
            <w:tcW w:w="2940" w:type="dxa"/>
            <w:vAlign w:val="center"/>
          </w:tcPr>
          <w:p>
            <w:pPr>
              <w:pStyle w:val="8"/>
              <w:ind w:firstLine="0" w:firstLineChars="0"/>
            </w:pPr>
            <w:r>
              <w:t>垃圾收集设施、生活垃圾委托</w:t>
            </w:r>
            <w:r>
              <w:rPr>
                <w:rFonts w:hint="eastAsia"/>
              </w:rPr>
              <w:t>环卫部门</w:t>
            </w:r>
            <w:r>
              <w:t>处理</w:t>
            </w:r>
          </w:p>
        </w:tc>
        <w:tc>
          <w:tcPr>
            <w:tcW w:w="1946" w:type="dxa"/>
            <w:vAlign w:val="center"/>
          </w:tcPr>
          <w:p>
            <w:pPr>
              <w:pStyle w:val="8"/>
              <w:ind w:firstLine="0" w:firstLineChars="0"/>
            </w:pPr>
            <w:r>
              <w:rPr>
                <w:rFonts w:hint="eastAsia"/>
              </w:rPr>
              <w:t>卫生填埋</w:t>
            </w:r>
          </w:p>
        </w:tc>
        <w:tc>
          <w:tcPr>
            <w:tcW w:w="1082" w:type="dxa"/>
            <w:vAlign w:val="center"/>
          </w:tcPr>
          <w:p>
            <w:pPr>
              <w:pStyle w:val="8"/>
              <w:ind w:firstLine="0" w:firstLineChars="0"/>
            </w:pPr>
            <w:r>
              <w:rPr>
                <w:rFonts w:hint="eastAsia"/>
              </w:rPr>
              <w:t>1</w:t>
            </w:r>
            <w: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 w:hRule="atLeast"/>
          <w:jc w:val="center"/>
        </w:trPr>
        <w:tc>
          <w:tcPr>
            <w:tcW w:w="530" w:type="dxa"/>
            <w:vMerge w:val="continue"/>
            <w:vAlign w:val="center"/>
          </w:tcPr>
          <w:p>
            <w:pPr>
              <w:pStyle w:val="8"/>
              <w:ind w:firstLine="0" w:firstLineChars="0"/>
              <w:rPr>
                <w:highlight w:val="yellow"/>
              </w:rPr>
            </w:pPr>
          </w:p>
        </w:tc>
        <w:tc>
          <w:tcPr>
            <w:tcW w:w="1108" w:type="dxa"/>
            <w:vAlign w:val="center"/>
          </w:tcPr>
          <w:p>
            <w:pPr>
              <w:pStyle w:val="8"/>
              <w:ind w:firstLine="0" w:firstLineChars="0"/>
            </w:pPr>
            <w:r>
              <w:t>绿化</w:t>
            </w:r>
          </w:p>
        </w:tc>
        <w:tc>
          <w:tcPr>
            <w:tcW w:w="1126" w:type="dxa"/>
            <w:gridSpan w:val="2"/>
            <w:vAlign w:val="center"/>
          </w:tcPr>
          <w:p>
            <w:pPr>
              <w:pStyle w:val="8"/>
              <w:ind w:firstLine="0" w:firstLineChars="0"/>
            </w:pPr>
            <w:r>
              <w:t>绿化措施</w:t>
            </w:r>
          </w:p>
        </w:tc>
        <w:tc>
          <w:tcPr>
            <w:tcW w:w="2940" w:type="dxa"/>
            <w:vAlign w:val="center"/>
          </w:tcPr>
          <w:p>
            <w:pPr>
              <w:pStyle w:val="8"/>
              <w:ind w:firstLine="0" w:firstLineChars="0"/>
            </w:pPr>
            <w:r>
              <w:t>植树、设置花卉</w:t>
            </w:r>
          </w:p>
        </w:tc>
        <w:tc>
          <w:tcPr>
            <w:tcW w:w="1946" w:type="dxa"/>
            <w:vAlign w:val="center"/>
          </w:tcPr>
          <w:p>
            <w:pPr>
              <w:pStyle w:val="8"/>
              <w:ind w:firstLine="0" w:firstLineChars="0"/>
            </w:pPr>
            <w:r>
              <w:t>/</w:t>
            </w:r>
          </w:p>
        </w:tc>
        <w:tc>
          <w:tcPr>
            <w:tcW w:w="1082" w:type="dxa"/>
            <w:vAlign w:val="center"/>
          </w:tcPr>
          <w:p>
            <w:pPr>
              <w:pStyle w:val="8"/>
              <w:ind w:firstLine="0" w:firstLineChars="0"/>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650" w:type="dxa"/>
            <w:gridSpan w:val="6"/>
            <w:vAlign w:val="center"/>
          </w:tcPr>
          <w:p>
            <w:pPr>
              <w:pStyle w:val="8"/>
              <w:ind w:firstLine="0" w:firstLineChars="0"/>
            </w:pPr>
            <w:r>
              <w:t>合计</w:t>
            </w:r>
          </w:p>
        </w:tc>
        <w:tc>
          <w:tcPr>
            <w:tcW w:w="1082" w:type="dxa"/>
            <w:vAlign w:val="center"/>
          </w:tcPr>
          <w:p>
            <w:pPr>
              <w:pStyle w:val="8"/>
              <w:ind w:firstLine="0" w:firstLineChars="0"/>
            </w:pPr>
            <w:r>
              <w:rPr>
                <w:rFonts w:hint="eastAsia"/>
              </w:rPr>
              <w:t>75</w:t>
            </w:r>
          </w:p>
        </w:tc>
      </w:tr>
    </w:tbl>
    <w:p>
      <w:pPr>
        <w:spacing w:before="156" w:beforeLines="50"/>
        <w:ind w:firstLine="480"/>
      </w:pPr>
      <w:r>
        <w:rPr>
          <w:rFonts w:hint="eastAsia"/>
        </w:rPr>
        <w:t>由上表可知，该项目环保投资为75万元，占建设总投资600万元的12.5</w:t>
      </w:r>
      <w:r>
        <w:t>%</w:t>
      </w:r>
      <w:r>
        <w:rPr>
          <w:rFonts w:hint="eastAsia"/>
        </w:rPr>
        <w:t>。</w:t>
      </w:r>
    </w:p>
    <w:p>
      <w:pPr>
        <w:pStyle w:val="4"/>
        <w:spacing w:before="62" w:after="62"/>
      </w:pPr>
      <w:bookmarkStart w:id="448" w:name="_Toc106791226"/>
      <w:bookmarkStart w:id="449" w:name="_Toc106447262"/>
      <w:bookmarkStart w:id="450" w:name="_Toc106415521"/>
      <w:bookmarkStart w:id="451" w:name="_Toc106157187"/>
      <w:bookmarkStart w:id="452" w:name="_Toc90804399"/>
      <w:bookmarkStart w:id="453" w:name="_Toc182022414"/>
      <w:bookmarkStart w:id="454" w:name="_Toc91039212"/>
      <w:bookmarkStart w:id="455" w:name="_Toc107196356"/>
      <w:bookmarkStart w:id="456" w:name="_Toc118087446"/>
      <w:bookmarkStart w:id="457" w:name="_Toc106157346"/>
      <w:bookmarkStart w:id="458" w:name="_Toc91406578"/>
      <w:bookmarkStart w:id="459" w:name="_Toc107218485"/>
      <w:bookmarkStart w:id="460" w:name="_Toc107209639"/>
      <w:bookmarkStart w:id="461" w:name="_Toc106159378"/>
      <w:bookmarkStart w:id="462" w:name="_Toc110400376"/>
      <w:bookmarkStart w:id="463" w:name="_Toc106172593"/>
      <w:bookmarkStart w:id="464" w:name="_Toc107037116"/>
      <w:bookmarkStart w:id="465" w:name="_Toc90803258"/>
      <w:bookmarkStart w:id="466" w:name="_Toc105469249"/>
      <w:bookmarkStart w:id="467" w:name="_Toc107052524"/>
      <w:bookmarkStart w:id="468" w:name="_Toc289344609"/>
      <w:bookmarkStart w:id="469" w:name="_Toc468689298"/>
      <w:bookmarkStart w:id="470" w:name="_Toc25621"/>
      <w:r>
        <w:rPr>
          <w:rFonts w:hint="eastAsia"/>
        </w:rPr>
        <w:t>6.2环境效益</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Pr>
          <w:rFonts w:hint="eastAsia"/>
        </w:rPr>
        <w:t>分析</w:t>
      </w:r>
      <w:bookmarkEnd w:id="468"/>
      <w:bookmarkEnd w:id="469"/>
      <w:bookmarkEnd w:id="470"/>
    </w:p>
    <w:p>
      <w:pPr>
        <w:ind w:firstLine="480"/>
        <w:rPr>
          <w:highlight w:val="yellow"/>
        </w:rPr>
      </w:pPr>
      <w:r>
        <w:rPr>
          <w:rFonts w:hint="eastAsia"/>
        </w:rPr>
        <w:t>本项目属于生猪养殖及养殖废弃物综合利用项目，建成后产生的粪污全部用于有机肥使用；项目通过合理的饲料配方和先进的环保工艺技术对猪场产生的废气、污水、废弃物进行了有效处理，猪粪猪尿无害化处理后，能产生一定的经济效益，项目可实现养殖废弃物综合利用，实现零排放、无害化和资源化。通过生猪养殖的产业化、集约化生产，建立链式生态产业结构，有效的延长产业链，对资源进行综合开发利用。同时，能有效缓解农村能源短缺的局面。项目的建设既不污染破坏生态环境，又实现养殖废弃物的全部综合利用，项目实施有较好的环境效益。</w:t>
      </w:r>
    </w:p>
    <w:p>
      <w:pPr>
        <w:pStyle w:val="4"/>
        <w:spacing w:before="62" w:after="62"/>
      </w:pPr>
      <w:bookmarkStart w:id="471" w:name="_Toc234318321"/>
      <w:bookmarkStart w:id="472" w:name="_Toc20000"/>
      <w:bookmarkStart w:id="473" w:name="_Toc479672448"/>
      <w:bookmarkStart w:id="474" w:name="_Toc318105514"/>
      <w:bookmarkStart w:id="475" w:name="_Toc435778172"/>
      <w:r>
        <w:rPr>
          <w:rFonts w:hint="eastAsia"/>
        </w:rPr>
        <w:t>6.3结论</w:t>
      </w:r>
      <w:bookmarkEnd w:id="471"/>
      <w:bookmarkEnd w:id="472"/>
      <w:bookmarkEnd w:id="473"/>
      <w:bookmarkEnd w:id="474"/>
      <w:bookmarkEnd w:id="475"/>
    </w:p>
    <w:p>
      <w:pPr>
        <w:ind w:firstLine="480"/>
        <w:sectPr>
          <w:headerReference r:id="rId17" w:type="first"/>
          <w:footerReference r:id="rId20" w:type="first"/>
          <w:headerReference r:id="rId15" w:type="default"/>
          <w:footerReference r:id="rId18" w:type="default"/>
          <w:headerReference r:id="rId16" w:type="even"/>
          <w:footerReference r:id="rId19" w:type="even"/>
          <w:pgSz w:w="11850" w:h="16783"/>
          <w:pgMar w:top="1440" w:right="1423" w:bottom="1440" w:left="1423" w:header="851" w:footer="1134" w:gutter="0"/>
          <w:cols w:space="720" w:num="1"/>
          <w:docGrid w:type="lines" w:linePitch="312" w:charSpace="0"/>
        </w:sectPr>
      </w:pPr>
      <w:r>
        <w:rPr>
          <w:rFonts w:hint="eastAsia"/>
        </w:rPr>
        <w:t>结合本项目的环保投入和环境效益进行综合分析得出，项目在创造良好经济效益，经采取污染防治措施后，对环境的影响较小，能够将工程带来的环境损失降到可接受程度。因此，本项目可以实现经济效益与环保效益的相统一。</w:t>
      </w:r>
      <w:bookmarkStart w:id="476" w:name="_Toc265239536"/>
      <w:bookmarkStart w:id="477" w:name="_Toc228002642"/>
      <w:bookmarkStart w:id="478" w:name="_Toc468689300"/>
      <w:bookmarkStart w:id="479" w:name="_Toc289344611"/>
      <w:bookmarkStart w:id="480" w:name="_Toc266583610"/>
      <w:bookmarkStart w:id="481" w:name="_Toc158776790"/>
      <w:bookmarkStart w:id="482" w:name="_Toc158780422"/>
      <w:bookmarkStart w:id="483" w:name="_Toc211660889"/>
      <w:bookmarkStart w:id="484" w:name="_Toc164833034"/>
      <w:bookmarkStart w:id="485" w:name="_Toc199578791"/>
      <w:bookmarkStart w:id="486" w:name="_Toc166206089"/>
      <w:bookmarkStart w:id="487" w:name="_Toc213226897"/>
      <w:bookmarkStart w:id="488" w:name="_Toc162430545"/>
    </w:p>
    <w:p>
      <w:pPr>
        <w:pStyle w:val="2"/>
      </w:pPr>
      <w:bookmarkStart w:id="489" w:name="_Toc19704"/>
      <w:r>
        <w:t>第七章</w:t>
      </w:r>
      <w:r>
        <w:rPr>
          <w:rFonts w:hint="eastAsia"/>
        </w:rPr>
        <w:t xml:space="preserve">  </w:t>
      </w:r>
      <w:r>
        <w:t>环境管理与环境监测</w:t>
      </w:r>
      <w:bookmarkEnd w:id="476"/>
      <w:bookmarkEnd w:id="477"/>
      <w:bookmarkEnd w:id="478"/>
      <w:bookmarkEnd w:id="479"/>
      <w:bookmarkEnd w:id="480"/>
      <w:bookmarkEnd w:id="489"/>
    </w:p>
    <w:p>
      <w:pPr>
        <w:pStyle w:val="4"/>
        <w:spacing w:before="62" w:after="62"/>
      </w:pPr>
      <w:bookmarkStart w:id="490" w:name="_Toc228002643"/>
      <w:bookmarkStart w:id="491" w:name="_Toc468689301"/>
      <w:bookmarkStart w:id="492" w:name="_Toc265239537"/>
      <w:bookmarkStart w:id="493" w:name="_Toc89056313"/>
      <w:bookmarkStart w:id="494" w:name="_Toc9719"/>
      <w:bookmarkStart w:id="495" w:name="_Toc289344612"/>
      <w:bookmarkStart w:id="496" w:name="_Toc266583611"/>
      <w:r>
        <w:rPr>
          <w:rFonts w:hint="eastAsia"/>
        </w:rPr>
        <w:t>7.1</w:t>
      </w:r>
      <w:r>
        <w:t>环境管理</w:t>
      </w:r>
      <w:bookmarkEnd w:id="490"/>
      <w:bookmarkEnd w:id="491"/>
      <w:bookmarkEnd w:id="492"/>
      <w:bookmarkEnd w:id="493"/>
      <w:bookmarkEnd w:id="494"/>
      <w:bookmarkEnd w:id="495"/>
      <w:bookmarkEnd w:id="496"/>
      <w:r>
        <w:tab/>
      </w:r>
    </w:p>
    <w:p>
      <w:pPr>
        <w:pStyle w:val="5"/>
        <w:spacing w:before="62" w:after="62"/>
      </w:pPr>
      <w:bookmarkStart w:id="497" w:name="_Toc26297"/>
      <w:bookmarkStart w:id="498" w:name="_Toc249942774"/>
      <w:bookmarkStart w:id="499" w:name="_Toc289329268"/>
      <w:bookmarkStart w:id="500" w:name="_Toc249945675"/>
      <w:bookmarkStart w:id="501" w:name="_Toc13347"/>
      <w:bookmarkStart w:id="502" w:name="_Toc266583612"/>
      <w:bookmarkStart w:id="503" w:name="_Toc265239538"/>
      <w:bookmarkStart w:id="504" w:name="_Toc6881"/>
      <w:bookmarkStart w:id="505" w:name="_Toc249946091"/>
      <w:bookmarkStart w:id="506" w:name="_Toc249944966"/>
      <w:bookmarkStart w:id="507" w:name="_Toc153"/>
      <w:bookmarkStart w:id="508" w:name="_Toc253580173"/>
      <w:bookmarkStart w:id="509" w:name="_Toc289344613"/>
      <w:bookmarkStart w:id="510" w:name="_Toc468689302"/>
      <w:bookmarkStart w:id="511" w:name="_Toc288480062"/>
      <w:r>
        <w:rPr>
          <w:rFonts w:hint="eastAsia"/>
        </w:rPr>
        <w:t>7.1.1</w:t>
      </w:r>
      <w:r>
        <w:t>环境管理目的</w:t>
      </w:r>
    </w:p>
    <w:p>
      <w:pPr>
        <w:ind w:firstLine="480"/>
      </w:pPr>
      <w:r>
        <w:rPr>
          <w:rFonts w:hint="eastAsia"/>
        </w:rPr>
        <w:t>环境管理工作就是要保证决策中的方针和目标在预期内实现，并协调解决实现目标过程中的具体问题。为了正确处理发展生产与保护环境的关系，全面贯彻国家的环保法规与政策，应根据当地环保部门对本区域环境质量的要求，通过控制污染物排放的科学管理，促进企业原材料及能源的合理消耗，降低成本，最大限度地减少污染物的排放，提高企业的社会、经济、环境效益。在环境保护工作中，管理和治理是相辅相承的。为此，企业必须建立环境保护机构，制订全面的、长期的环境管理计划。</w:t>
      </w:r>
    </w:p>
    <w:p>
      <w:pPr>
        <w:pStyle w:val="5"/>
        <w:spacing w:before="62" w:after="62"/>
      </w:pPr>
      <w:r>
        <w:rPr>
          <w:rFonts w:hint="eastAsia"/>
        </w:rPr>
        <w:t>7.1.2</w:t>
      </w:r>
      <w:r>
        <w:t>环境管理机构</w:t>
      </w:r>
    </w:p>
    <w:p>
      <w:pPr>
        <w:ind w:firstLine="480"/>
      </w:pPr>
      <w:r>
        <w:rPr>
          <w:rFonts w:hint="eastAsia"/>
        </w:rPr>
        <w:t>由于企业在生产的过程中不可避免地会产生污染物的排放，为了加强环境保护的力度，实现可持续发展的战略目标，按照环境保护的要求，根据一些环境管理先进企业的经验，企业应建立健全厂长负责、副厂长分管、各职能业务部门各负其责、环保部门规划、参谋、组织、协调、监督、考核的环境管理体制。</w:t>
      </w:r>
    </w:p>
    <w:p>
      <w:pPr>
        <w:ind w:firstLine="480"/>
      </w:pPr>
      <w:r>
        <w:rPr>
          <w:rFonts w:hint="eastAsia"/>
        </w:rPr>
        <w:t>根据企业的实际情况，应建立健全一套完整的环境管理机构，成立环境保护领导小组，由总经理亲自担任主任，分管副总经理担任副主任，成员由养殖场负责及工作人员组成，专门研究、决策有关环境保护方面的事宜。环境保护领导小组下设环保科，并配备</w:t>
      </w:r>
      <w:r>
        <w:t>1名专职环保人员，承担日常环保管理工作，使各项环境保护措施、制度得以贯彻落实。</w:t>
      </w:r>
    </w:p>
    <w:p>
      <w:pPr>
        <w:pStyle w:val="5"/>
        <w:spacing w:before="62" w:after="62"/>
      </w:pPr>
      <w:r>
        <w:rPr>
          <w:rFonts w:hint="eastAsia"/>
        </w:rPr>
        <w:t>7.1.3环境管理机构及职责</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ind w:firstLine="480"/>
      </w:pPr>
      <w:r>
        <w:rPr>
          <w:rFonts w:hint="eastAsia"/>
        </w:rPr>
        <w:t>（一）施工期的环境管理机构及职责</w:t>
      </w:r>
    </w:p>
    <w:p>
      <w:pPr>
        <w:ind w:firstLine="480"/>
      </w:pPr>
      <w:r>
        <w:rPr>
          <w:rFonts w:hint="eastAsia"/>
        </w:rPr>
        <w:t>项目施工期应有</w:t>
      </w:r>
      <w:r>
        <w:t>1</w:t>
      </w:r>
      <w:r>
        <w:rPr>
          <w:rFonts w:hint="eastAsia"/>
        </w:rPr>
        <w:t>～</w:t>
      </w:r>
      <w:r>
        <w:t>2</w:t>
      </w:r>
      <w:r>
        <w:rPr>
          <w:rFonts w:hint="eastAsia"/>
        </w:rPr>
        <w:t>名专、兼职环保人员，其主要职责是：</w:t>
      </w:r>
    </w:p>
    <w:p>
      <w:pPr>
        <w:ind w:firstLine="480"/>
      </w:pPr>
      <w:r>
        <w:t>(1)</w:t>
      </w:r>
      <w:r>
        <w:rPr>
          <w:rFonts w:hint="eastAsia"/>
        </w:rPr>
        <w:t>根据国家有关的施工管理条例和操作规范，按照环评报告书提出的施工期环境保护措施和要求，制定项目的施工环境保护管理办法，并负责实施；</w:t>
      </w:r>
    </w:p>
    <w:p>
      <w:pPr>
        <w:ind w:firstLine="480"/>
      </w:pPr>
      <w:r>
        <w:t>(2)</w:t>
      </w:r>
      <w:r>
        <w:rPr>
          <w:rFonts w:hint="eastAsia"/>
        </w:rPr>
        <w:t>监督施工单位执行施工环境保护管理办法的情况，对违反管理办法的施工行为及时予以制止；</w:t>
      </w:r>
    </w:p>
    <w:p>
      <w:pPr>
        <w:ind w:firstLine="480"/>
      </w:pPr>
      <w:r>
        <w:t>(3)</w:t>
      </w:r>
      <w:r>
        <w:rPr>
          <w:rFonts w:hint="eastAsia"/>
        </w:rPr>
        <w:t>调查、处理施工扰民或污染纠纷；</w:t>
      </w:r>
    </w:p>
    <w:p>
      <w:pPr>
        <w:ind w:firstLine="480"/>
      </w:pPr>
      <w:r>
        <w:t>(4)</w:t>
      </w:r>
      <w:r>
        <w:rPr>
          <w:rFonts w:hint="eastAsia"/>
        </w:rPr>
        <w:t>向当地环保部门提交施工期的阶段报告和</w:t>
      </w:r>
      <w:r>
        <w:t>“</w:t>
      </w:r>
      <w:r>
        <w:rPr>
          <w:rFonts w:hint="eastAsia"/>
        </w:rPr>
        <w:t>三同时</w:t>
      </w:r>
      <w:r>
        <w:t>”</w:t>
      </w:r>
      <w:r>
        <w:rPr>
          <w:rFonts w:hint="eastAsia"/>
        </w:rPr>
        <w:t>竣工验收报告。</w:t>
      </w:r>
    </w:p>
    <w:p>
      <w:pPr>
        <w:ind w:firstLine="480"/>
      </w:pPr>
      <w:bookmarkStart w:id="512" w:name="_Toc468689303"/>
      <w:bookmarkStart w:id="513" w:name="_Toc288480063"/>
      <w:bookmarkStart w:id="514" w:name="_Toc289344614"/>
      <w:bookmarkStart w:id="515" w:name="_Toc289329269"/>
      <w:r>
        <w:t>（</w:t>
      </w:r>
      <w:r>
        <w:rPr>
          <w:rFonts w:hint="eastAsia"/>
        </w:rPr>
        <w:t>二</w:t>
      </w:r>
      <w:r>
        <w:t>）</w:t>
      </w:r>
      <w:r>
        <w:rPr>
          <w:rFonts w:hint="eastAsia"/>
        </w:rPr>
        <w:t>运行期环境管理机构及职责</w:t>
      </w:r>
      <w:bookmarkEnd w:id="512"/>
      <w:bookmarkEnd w:id="513"/>
      <w:bookmarkEnd w:id="514"/>
      <w:bookmarkEnd w:id="515"/>
    </w:p>
    <w:p>
      <w:pPr>
        <w:ind w:firstLine="480"/>
      </w:pPr>
      <w:r>
        <w:rPr>
          <w:rFonts w:hint="eastAsia"/>
        </w:rPr>
        <w:t>项目应配备专、兼职环保人员</w:t>
      </w:r>
      <w:r>
        <w:t>1-2</w:t>
      </w:r>
      <w:r>
        <w:rPr>
          <w:rFonts w:hint="eastAsia"/>
        </w:rPr>
        <w:t>人，负责场内的环境管理和监测工作，对照国家环保法规和标准，进行监督和管理。其基本职责为：</w:t>
      </w:r>
    </w:p>
    <w:p>
      <w:pPr>
        <w:ind w:firstLine="480"/>
      </w:pPr>
      <w:r>
        <w:t>(1)</w:t>
      </w:r>
      <w:r>
        <w:rPr>
          <w:rFonts w:hint="eastAsia"/>
        </w:rPr>
        <w:t>宣传、组织贯彻国家有关环境保护的方针、政策、法令和条例，搞好项目的环境保护工作；</w:t>
      </w:r>
    </w:p>
    <w:p>
      <w:pPr>
        <w:ind w:firstLine="480"/>
      </w:pPr>
      <w:r>
        <w:t>(2)</w:t>
      </w:r>
      <w:r>
        <w:rPr>
          <w:rFonts w:hint="eastAsia"/>
        </w:rPr>
        <w:t>执行上级主管部门建立的各种环境管理制度；</w:t>
      </w:r>
    </w:p>
    <w:p>
      <w:pPr>
        <w:ind w:firstLine="480"/>
      </w:pPr>
      <w:r>
        <w:t>(3)</w:t>
      </w:r>
      <w:r>
        <w:rPr>
          <w:rFonts w:hint="eastAsia"/>
        </w:rPr>
        <w:t>监督本项目环保设施和设备的安装、调试和运行，保证</w:t>
      </w:r>
      <w:r>
        <w:t>“</w:t>
      </w:r>
      <w:r>
        <w:rPr>
          <w:rFonts w:hint="eastAsia"/>
        </w:rPr>
        <w:t>三同时</w:t>
      </w:r>
      <w:r>
        <w:t>”</w:t>
      </w:r>
      <w:r>
        <w:rPr>
          <w:rFonts w:hint="eastAsia"/>
        </w:rPr>
        <w:t>验收合格；</w:t>
      </w:r>
    </w:p>
    <w:p>
      <w:pPr>
        <w:ind w:firstLine="480"/>
      </w:pPr>
      <w:r>
        <w:t>(4)</w:t>
      </w:r>
      <w:r>
        <w:rPr>
          <w:rFonts w:hint="eastAsia"/>
        </w:rPr>
        <w:t>领导并组织项目运行期</w:t>
      </w:r>
      <w:r>
        <w:t>(</w:t>
      </w:r>
      <w:r>
        <w:rPr>
          <w:rFonts w:hint="eastAsia"/>
        </w:rPr>
        <w:t>包括非正常运行期</w:t>
      </w:r>
      <w:r>
        <w:t>)</w:t>
      </w:r>
      <w:r>
        <w:rPr>
          <w:rFonts w:hint="eastAsia"/>
        </w:rPr>
        <w:t>的环境监测工作，建立污染源档案；</w:t>
      </w:r>
    </w:p>
    <w:p>
      <w:pPr>
        <w:ind w:firstLine="480"/>
      </w:pPr>
      <w:r>
        <w:t>(5)</w:t>
      </w:r>
      <w:r>
        <w:rPr>
          <w:rFonts w:hint="eastAsia"/>
        </w:rPr>
        <w:t>调查、处理项目产生的污染事故和污染纠纷；</w:t>
      </w:r>
    </w:p>
    <w:p>
      <w:pPr>
        <w:ind w:firstLine="480"/>
      </w:pPr>
      <w:r>
        <w:t>(6)</w:t>
      </w:r>
      <w:r>
        <w:rPr>
          <w:rFonts w:hint="eastAsia"/>
        </w:rPr>
        <w:t>开展环保教育、技术培训和学术交流活动，提高员工素质，推广利用先进环保的技术和经验。</w:t>
      </w:r>
    </w:p>
    <w:p>
      <w:pPr>
        <w:ind w:firstLine="480"/>
      </w:pPr>
      <w:bookmarkStart w:id="516" w:name="_Toc468689304"/>
      <w:bookmarkStart w:id="517" w:name="_Toc289329270"/>
      <w:bookmarkStart w:id="518" w:name="_Toc288480064"/>
      <w:bookmarkStart w:id="519" w:name="_Toc289344615"/>
      <w:r>
        <w:t>（三）</w:t>
      </w:r>
      <w:r>
        <w:rPr>
          <w:rFonts w:hint="eastAsia"/>
        </w:rPr>
        <w:t>环境管理监督机构</w:t>
      </w:r>
      <w:bookmarkEnd w:id="516"/>
      <w:bookmarkEnd w:id="517"/>
      <w:bookmarkEnd w:id="518"/>
      <w:bookmarkEnd w:id="519"/>
    </w:p>
    <w:p>
      <w:pPr>
        <w:ind w:firstLine="480"/>
      </w:pPr>
      <w:r>
        <w:rPr>
          <w:rFonts w:hint="eastAsia"/>
        </w:rPr>
        <w:t>澧县生态环境局负责对本项目环境影响报告书审查及对项目环境保护工作实施情况进行监督管理；组织和协调有关机构为项目环境保护工作服务；监督项目环境管理计划的实施；确保项目应执行的环境管理法规和标准。</w:t>
      </w:r>
    </w:p>
    <w:p>
      <w:pPr>
        <w:pStyle w:val="5"/>
        <w:spacing w:before="62" w:after="62"/>
      </w:pPr>
      <w:r>
        <w:rPr>
          <w:rFonts w:hint="eastAsia"/>
        </w:rPr>
        <w:t>7.1.4</w:t>
      </w:r>
      <w:r>
        <w:t>环境管理要求</w:t>
      </w:r>
    </w:p>
    <w:p>
      <w:pPr>
        <w:ind w:firstLine="480"/>
      </w:pPr>
      <w:r>
        <w:t>（</w:t>
      </w:r>
      <w:r>
        <w:rPr>
          <w:rFonts w:hint="eastAsia"/>
        </w:rPr>
        <w:t>一</w:t>
      </w:r>
      <w:r>
        <w:t>）施工期</w:t>
      </w:r>
      <w:r>
        <w:rPr>
          <w:rFonts w:hint="eastAsia"/>
        </w:rPr>
        <w:t>的</w:t>
      </w:r>
      <w:r>
        <w:t>环境管理</w:t>
      </w:r>
    </w:p>
    <w:p>
      <w:pPr>
        <w:ind w:firstLine="480"/>
      </w:pPr>
      <w:r>
        <w:rPr>
          <w:rFonts w:hint="eastAsia"/>
        </w:rPr>
        <w:t>施工期的环境管理包括施工管理队伍中环境管理机构的组成和任务、施工方案的审查、施工期环境监察制度的建立和施工结束后有关污染控制方面的验收内容。施工期环境管理监察小组的成员包括：施工单位的环保监察员、监理工程师和建设单位的环境管理人员。施工期施工场地内外有关施工活动的各项污染防治措施的实施均由施工单位负责，由工程监理单位和建设单位进行检查、监督。项目所在地区的环保局审核实施的结果。</w:t>
      </w:r>
    </w:p>
    <w:p>
      <w:pPr>
        <w:ind w:firstLine="480"/>
      </w:pPr>
      <w:r>
        <w:rPr>
          <w:rFonts w:hint="eastAsia"/>
        </w:rPr>
        <w:t>监督、检查和审核从设计阶段开始，建设单位、上级主管部门和政府环境保护管理部门要对施工设计方案进行审核，审核是否达到了国家有关条例和规范的要求，检查是否符合国家的有关法规。</w:t>
      </w:r>
    </w:p>
    <w:p>
      <w:pPr>
        <w:ind w:firstLine="480"/>
      </w:pPr>
      <w:r>
        <w:rPr>
          <w:rFonts w:hint="eastAsia"/>
        </w:rPr>
        <w:t>在项目施工的招标阶段，由建设单位根据现行的环境保护法规、条例和标准对施工期的环境保护提出要求，要求施工投标单位制定的施工组织计划中有控制环境污染的具体措施，控制措施经过评审符合要求的，才有中标资格。施工单位与建设单位签订的合同中要有防治污染的条款，并规定具体的控制指标和对违背条款责任方的处罚。工程承包费用中包括进行污染控制的费用。</w:t>
      </w:r>
    </w:p>
    <w:p>
      <w:pPr>
        <w:ind w:firstLine="480"/>
      </w:pPr>
      <w:r>
        <w:rPr>
          <w:rFonts w:hint="eastAsia"/>
        </w:rPr>
        <w:t>施工监理单位负责进一步审查施工单位的施工技术措施是否符合国家有关的法规和要求，是否符合工程设计方案的环境保护目标，必要时协助施工单位进行修改和补充。在施工进行期间，监理工程师按照措施的要求监督检查施工方案的执行情况。如果采用的技术措施不能达到预期的污染控制效果，将由环境监督机构的成员在一起协商修改控制措施。</w:t>
      </w:r>
    </w:p>
    <w:p>
      <w:pPr>
        <w:ind w:firstLine="480"/>
      </w:pPr>
      <w:r>
        <w:rPr>
          <w:rFonts w:hint="eastAsia"/>
        </w:rPr>
        <w:t>施工单位负责对员工进行环境保护法规和控制技术措施方面的培训，对施工人员进行考核内容应包括环境保护法规、有关条例要求、污染控制设施操作技术、污染事故应急措施等方面的内容。</w:t>
      </w:r>
    </w:p>
    <w:p>
      <w:pPr>
        <w:ind w:firstLine="480"/>
      </w:pPr>
      <w:r>
        <w:t>（</w:t>
      </w:r>
      <w:r>
        <w:rPr>
          <w:rFonts w:hint="eastAsia"/>
        </w:rPr>
        <w:t>二</w:t>
      </w:r>
      <w:r>
        <w:t>）营运期的环境管理</w:t>
      </w:r>
    </w:p>
    <w:p>
      <w:pPr>
        <w:ind w:firstLine="480"/>
      </w:pPr>
      <w:r>
        <w:t>（1）负责监督检查有关环保法规、条例的执行情况，以及生产过程中关于环境保护的规章制度的执行情况；</w:t>
      </w:r>
    </w:p>
    <w:p>
      <w:pPr>
        <w:ind w:firstLine="480"/>
      </w:pPr>
      <w:r>
        <w:t>（2）监督各项污染控制措施的执行、污染事故防治条例的实施和污染处理设施运行效果的检查；</w:t>
      </w:r>
    </w:p>
    <w:p>
      <w:pPr>
        <w:ind w:firstLine="480"/>
      </w:pPr>
      <w:r>
        <w:t>（3）职工环境保护培训和对外环境保护宣传；</w:t>
      </w:r>
    </w:p>
    <w:p>
      <w:pPr>
        <w:ind w:firstLine="480"/>
      </w:pPr>
      <w:r>
        <w:t>（4）负责调查处理污染投诉和污染事故，记录处理过程，编写调查处理报告；</w:t>
      </w:r>
    </w:p>
    <w:p>
      <w:pPr>
        <w:ind w:firstLine="480"/>
      </w:pPr>
      <w:r>
        <w:t>（5）协助地方环保局进行生产过程的环境监督和管理；</w:t>
      </w:r>
    </w:p>
    <w:p>
      <w:pPr>
        <w:ind w:firstLine="480"/>
      </w:pPr>
      <w:r>
        <w:t>（</w:t>
      </w:r>
      <w:r>
        <w:rPr>
          <w:rFonts w:hint="eastAsia"/>
        </w:rPr>
        <w:t>6</w:t>
      </w:r>
      <w:r>
        <w:t>）</w:t>
      </w:r>
      <w:r>
        <w:rPr>
          <w:rFonts w:hint="eastAsia"/>
        </w:rPr>
        <w:t>领导并组织公司的环境监测工作，建立监测台帐和档案，编写环保简报，做好环境统计，使企业领导、上级部门及时掌握污染治理动态；</w:t>
      </w:r>
    </w:p>
    <w:p>
      <w:pPr>
        <w:ind w:firstLine="480"/>
      </w:pPr>
      <w:r>
        <w:t>（</w:t>
      </w:r>
      <w:r>
        <w:rPr>
          <w:rFonts w:hint="eastAsia"/>
        </w:rPr>
        <w:t>7</w:t>
      </w:r>
      <w:r>
        <w:t>）</w:t>
      </w:r>
      <w:r>
        <w:rPr>
          <w:rFonts w:hint="eastAsia"/>
        </w:rPr>
        <w:t>制定污染治理设备设施操作规程的检查、维修计划，检查、记录污染治理设施运行及检修情况，确保治理设施常年正常、安全运行；</w:t>
      </w:r>
    </w:p>
    <w:p>
      <w:pPr>
        <w:ind w:firstLine="480"/>
      </w:pPr>
      <w:r>
        <w:rPr>
          <w:rFonts w:hint="eastAsia"/>
        </w:rPr>
        <w:t>（8）制定各车间的污染物排放指标，定时考核和统计，确保全厂污染物排放达到国家排放标准和总量控制指标；</w:t>
      </w:r>
    </w:p>
    <w:p>
      <w:pPr>
        <w:ind w:firstLine="480"/>
      </w:pPr>
      <w:r>
        <w:t>（</w:t>
      </w:r>
      <w:r>
        <w:rPr>
          <w:rFonts w:hint="eastAsia"/>
        </w:rPr>
        <w:t>9</w:t>
      </w:r>
      <w:r>
        <w:t>）负责环境监控计划的实施。</w:t>
      </w:r>
    </w:p>
    <w:p>
      <w:pPr>
        <w:ind w:firstLine="480"/>
      </w:pPr>
      <w:r>
        <w:t>（</w:t>
      </w:r>
      <w:r>
        <w:rPr>
          <w:rFonts w:hint="eastAsia"/>
        </w:rPr>
        <w:t>10</w:t>
      </w:r>
      <w:r>
        <w:t>）规范排污口</w:t>
      </w:r>
    </w:p>
    <w:p>
      <w:pPr>
        <w:ind w:firstLine="480"/>
      </w:pPr>
      <w:r>
        <w:t>在厂区“三废”及噪声排放点设置明显标志，标志的设置应执行《环境保护图形标志排放口（源）》</w:t>
      </w:r>
      <w:r>
        <w:rPr>
          <w:rFonts w:hint="eastAsia"/>
        </w:rPr>
        <w:t>（</w:t>
      </w:r>
      <w:r>
        <w:t>GB15562.1</w:t>
      </w:r>
      <w:r>
        <w:rPr>
          <w:rFonts w:hint="eastAsia"/>
        </w:rPr>
        <w:t>-</w:t>
      </w:r>
      <w:r>
        <w:t>1995</w:t>
      </w:r>
      <w:r>
        <w:rPr>
          <w:rFonts w:hint="eastAsia"/>
        </w:rPr>
        <w:t>）</w:t>
      </w:r>
      <w:r>
        <w:t>及《环境保护图形固体废物贮存（处置）场》（GBl55622</w:t>
      </w:r>
      <w:r>
        <w:rPr>
          <w:rFonts w:hint="eastAsia"/>
        </w:rPr>
        <w:t>-</w:t>
      </w:r>
      <w:r>
        <w:t>1995）中有关规定。排放口图形标志见表</w:t>
      </w:r>
      <w:r>
        <w:rPr>
          <w:rFonts w:hint="eastAsia"/>
        </w:rPr>
        <w:t>7.1</w:t>
      </w:r>
      <w:r>
        <w:t>-1。</w:t>
      </w:r>
    </w:p>
    <w:p>
      <w:pPr>
        <w:pStyle w:val="11"/>
      </w:pPr>
      <w:r>
        <w:t>表</w:t>
      </w:r>
      <w:r>
        <w:rPr>
          <w:rFonts w:hint="eastAsia"/>
        </w:rPr>
        <w:t>7.1</w:t>
      </w:r>
      <w:r>
        <w:t>-1  排放口图形标志</w:t>
      </w:r>
    </w:p>
    <w:tbl>
      <w:tblPr>
        <w:tblStyle w:val="21"/>
        <w:tblW w:w="90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12"/>
        <w:gridCol w:w="1812"/>
        <w:gridCol w:w="1812"/>
        <w:gridCol w:w="1812"/>
        <w:gridCol w:w="18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7" w:hRule="atLeast"/>
        </w:trPr>
        <w:tc>
          <w:tcPr>
            <w:tcW w:w="1812" w:type="dxa"/>
          </w:tcPr>
          <w:p>
            <w:pPr>
              <w:pStyle w:val="8"/>
              <w:ind w:firstLine="0" w:firstLineChars="0"/>
            </w:pPr>
            <w:r>
              <w:t>排放口</w:t>
            </w:r>
          </w:p>
        </w:tc>
        <w:tc>
          <w:tcPr>
            <w:tcW w:w="1812" w:type="dxa"/>
          </w:tcPr>
          <w:p>
            <w:pPr>
              <w:pStyle w:val="8"/>
              <w:ind w:firstLine="0" w:firstLineChars="0"/>
            </w:pPr>
            <w:r>
              <w:t>废水排放口</w:t>
            </w:r>
          </w:p>
        </w:tc>
        <w:tc>
          <w:tcPr>
            <w:tcW w:w="1812" w:type="dxa"/>
          </w:tcPr>
          <w:p>
            <w:pPr>
              <w:pStyle w:val="8"/>
              <w:ind w:firstLine="0" w:firstLineChars="0"/>
            </w:pPr>
            <w:r>
              <w:t>废气排放口</w:t>
            </w:r>
          </w:p>
        </w:tc>
        <w:tc>
          <w:tcPr>
            <w:tcW w:w="1812" w:type="dxa"/>
          </w:tcPr>
          <w:p>
            <w:pPr>
              <w:pStyle w:val="8"/>
              <w:ind w:firstLine="0" w:firstLineChars="0"/>
            </w:pPr>
            <w:r>
              <w:t>噪声源</w:t>
            </w:r>
          </w:p>
        </w:tc>
        <w:tc>
          <w:tcPr>
            <w:tcW w:w="1812" w:type="dxa"/>
          </w:tcPr>
          <w:p>
            <w:pPr>
              <w:pStyle w:val="8"/>
              <w:ind w:firstLine="0" w:firstLineChars="0"/>
            </w:pPr>
            <w:r>
              <w:t>固体废物堆场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12" w:type="dxa"/>
            <w:vAlign w:val="center"/>
          </w:tcPr>
          <w:p>
            <w:pPr>
              <w:pStyle w:val="8"/>
              <w:ind w:firstLine="0" w:firstLineChars="0"/>
            </w:pPr>
            <w:r>
              <w:t>图形符号</w:t>
            </w:r>
          </w:p>
        </w:tc>
        <w:tc>
          <w:tcPr>
            <w:tcW w:w="1812" w:type="dxa"/>
          </w:tcPr>
          <w:p>
            <w:pPr>
              <w:pStyle w:val="8"/>
              <w:ind w:firstLine="0" w:firstLineChars="0"/>
            </w:pPr>
            <w:r>
              <w:drawing>
                <wp:inline distT="0" distB="0" distL="0" distR="0">
                  <wp:extent cx="933450" cy="971550"/>
                  <wp:effectExtent l="0" t="0" r="0" b="0"/>
                  <wp:docPr id="11" name="图片 45"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5" descr="image0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c>
          <w:tcPr>
            <w:tcW w:w="1812" w:type="dxa"/>
          </w:tcPr>
          <w:p>
            <w:pPr>
              <w:pStyle w:val="8"/>
              <w:ind w:firstLine="0" w:firstLineChars="0"/>
            </w:pPr>
            <w:r>
              <w:drawing>
                <wp:inline distT="0" distB="0" distL="0" distR="0">
                  <wp:extent cx="857250" cy="971550"/>
                  <wp:effectExtent l="0" t="0" r="0" b="0"/>
                  <wp:docPr id="12" name="图片 4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6" descr="image0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57250" cy="971550"/>
                          </a:xfrm>
                          <a:prstGeom prst="rect">
                            <a:avLst/>
                          </a:prstGeom>
                          <a:noFill/>
                          <a:ln>
                            <a:noFill/>
                          </a:ln>
                        </pic:spPr>
                      </pic:pic>
                    </a:graphicData>
                  </a:graphic>
                </wp:inline>
              </w:drawing>
            </w:r>
          </w:p>
        </w:tc>
        <w:tc>
          <w:tcPr>
            <w:tcW w:w="1812" w:type="dxa"/>
          </w:tcPr>
          <w:p>
            <w:pPr>
              <w:pStyle w:val="8"/>
              <w:ind w:firstLine="0" w:firstLineChars="0"/>
            </w:pPr>
            <w:r>
              <w:drawing>
                <wp:inline distT="0" distB="0" distL="0" distR="0">
                  <wp:extent cx="933450" cy="971550"/>
                  <wp:effectExtent l="0" t="0" r="0" b="0"/>
                  <wp:docPr id="13" name="图片 47"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7" descr="image0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c>
          <w:tcPr>
            <w:tcW w:w="1812" w:type="dxa"/>
          </w:tcPr>
          <w:p>
            <w:pPr>
              <w:pStyle w:val="8"/>
              <w:ind w:firstLine="0" w:firstLineChars="0"/>
            </w:pPr>
            <w:r>
              <w:drawing>
                <wp:inline distT="0" distB="0" distL="0" distR="0">
                  <wp:extent cx="933450" cy="971550"/>
                  <wp:effectExtent l="0" t="0" r="0" b="0"/>
                  <wp:docPr id="14" name="图片 48" descr="2005042615013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8" descr="200504261501381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r>
    </w:tbl>
    <w:p>
      <w:pPr>
        <w:ind w:firstLine="480"/>
      </w:pPr>
      <w:r>
        <w:t>（11）危废标志管理</w:t>
      </w:r>
    </w:p>
    <w:p>
      <w:pPr>
        <w:ind w:firstLine="480"/>
      </w:pPr>
      <w:r>
        <w:rPr>
          <w:rFonts w:hint="eastAsia"/>
        </w:rPr>
        <w:t>企业应完善危险废物标志管理，在危废暂存处挂警示牌，在收集容器上贴图形标志。危废</w:t>
      </w:r>
      <w:r>
        <w:t>图形标志见表</w:t>
      </w:r>
      <w:r>
        <w:rPr>
          <w:rFonts w:hint="eastAsia"/>
        </w:rPr>
        <w:t>7.1-2</w:t>
      </w:r>
      <w:r>
        <w:t>。</w:t>
      </w:r>
    </w:p>
    <w:p>
      <w:pPr>
        <w:pStyle w:val="11"/>
      </w:pPr>
      <w:r>
        <w:t>表</w:t>
      </w:r>
      <w:r>
        <w:rPr>
          <w:rFonts w:hint="eastAsia"/>
        </w:rPr>
        <w:t>7.1-2</w:t>
      </w:r>
      <w:r>
        <w:t xml:space="preserve">  危险废物暂时场标志</w:t>
      </w:r>
    </w:p>
    <w:tbl>
      <w:tblPr>
        <w:tblStyle w:val="21"/>
        <w:tblW w:w="39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54"/>
        <w:gridCol w:w="21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1854" w:type="dxa"/>
          </w:tcPr>
          <w:p>
            <w:pPr>
              <w:pStyle w:val="8"/>
              <w:ind w:firstLine="0" w:firstLineChars="0"/>
            </w:pPr>
            <w:r>
              <w:t>场所</w:t>
            </w:r>
          </w:p>
        </w:tc>
        <w:tc>
          <w:tcPr>
            <w:tcW w:w="2125" w:type="dxa"/>
          </w:tcPr>
          <w:p>
            <w:pPr>
              <w:pStyle w:val="8"/>
              <w:ind w:firstLine="0" w:firstLineChars="0"/>
            </w:pPr>
            <w:r>
              <w:t>危险废物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10" w:hRule="atLeast"/>
          <w:jc w:val="center"/>
        </w:trPr>
        <w:tc>
          <w:tcPr>
            <w:tcW w:w="1854" w:type="dxa"/>
            <w:vAlign w:val="center"/>
          </w:tcPr>
          <w:p>
            <w:pPr>
              <w:pStyle w:val="8"/>
              <w:ind w:firstLine="0" w:firstLineChars="0"/>
            </w:pPr>
            <w:r>
              <w:t>图形符号</w:t>
            </w:r>
          </w:p>
        </w:tc>
        <w:tc>
          <w:tcPr>
            <w:tcW w:w="2125" w:type="dxa"/>
          </w:tcPr>
          <w:p>
            <w:pPr>
              <w:pStyle w:val="8"/>
              <w:ind w:firstLine="0" w:firstLineChars="0"/>
            </w:pPr>
            <w:r>
              <w:drawing>
                <wp:anchor distT="0" distB="0" distL="114300" distR="114300" simplePos="0" relativeHeight="251678720" behindDoc="0" locked="0" layoutInCell="1" allowOverlap="1">
                  <wp:simplePos x="0" y="0"/>
                  <wp:positionH relativeFrom="column">
                    <wp:posOffset>-8255</wp:posOffset>
                  </wp:positionH>
                  <wp:positionV relativeFrom="paragraph">
                    <wp:posOffset>12700</wp:posOffset>
                  </wp:positionV>
                  <wp:extent cx="1223645" cy="1304925"/>
                  <wp:effectExtent l="0" t="0" r="0" b="9525"/>
                  <wp:wrapNone/>
                  <wp:docPr id="58" name="图片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23645" cy="1304925"/>
                          </a:xfrm>
                          <a:prstGeom prst="rect">
                            <a:avLst/>
                          </a:prstGeom>
                          <a:noFill/>
                          <a:ln>
                            <a:noFill/>
                          </a:ln>
                        </pic:spPr>
                      </pic:pic>
                    </a:graphicData>
                  </a:graphic>
                </wp:anchor>
              </w:drawing>
            </w:r>
          </w:p>
          <w:p>
            <w:pPr>
              <w:pStyle w:val="8"/>
              <w:ind w:firstLine="0" w:firstLineChars="0"/>
            </w:pPr>
          </w:p>
          <w:p>
            <w:pPr>
              <w:pStyle w:val="8"/>
              <w:ind w:firstLine="0" w:firstLineChars="0"/>
            </w:pPr>
          </w:p>
          <w:p>
            <w:pPr>
              <w:pStyle w:val="8"/>
              <w:ind w:firstLine="0" w:firstLineChars="0"/>
            </w:pPr>
          </w:p>
          <w:p>
            <w:pPr>
              <w:pStyle w:val="8"/>
              <w:ind w:firstLine="0" w:firstLineChars="0"/>
            </w:pPr>
          </w:p>
        </w:tc>
      </w:tr>
    </w:tbl>
    <w:p>
      <w:pPr>
        <w:ind w:firstLine="480"/>
      </w:pPr>
    </w:p>
    <w:p>
      <w:pPr>
        <w:pStyle w:val="4"/>
        <w:spacing w:before="62" w:after="62"/>
      </w:pPr>
      <w:bookmarkStart w:id="520" w:name="_Toc89056317"/>
      <w:bookmarkStart w:id="521" w:name="_Toc13589"/>
      <w:bookmarkStart w:id="522" w:name="_Toc266583613"/>
      <w:bookmarkStart w:id="523" w:name="_Toc468689306"/>
      <w:bookmarkStart w:id="524" w:name="_Toc228002644"/>
      <w:bookmarkStart w:id="525" w:name="_Toc289344617"/>
      <w:r>
        <w:rPr>
          <w:rFonts w:hint="eastAsia"/>
        </w:rPr>
        <w:t>7.2</w:t>
      </w:r>
      <w:r>
        <w:t>环境监测</w:t>
      </w:r>
      <w:bookmarkEnd w:id="520"/>
      <w:bookmarkEnd w:id="521"/>
      <w:bookmarkEnd w:id="522"/>
      <w:bookmarkEnd w:id="523"/>
      <w:bookmarkEnd w:id="524"/>
      <w:bookmarkEnd w:id="525"/>
    </w:p>
    <w:p>
      <w:pPr>
        <w:pStyle w:val="5"/>
        <w:spacing w:before="62" w:after="62"/>
      </w:pPr>
      <w:bookmarkStart w:id="526" w:name="_Toc468689308"/>
      <w:bookmarkStart w:id="527" w:name="_Toc153257758"/>
      <w:r>
        <w:rPr>
          <w:rFonts w:hint="eastAsia"/>
        </w:rPr>
        <w:t>7.2.1环境监测机构</w:t>
      </w:r>
      <w:bookmarkEnd w:id="526"/>
      <w:bookmarkEnd w:id="527"/>
    </w:p>
    <w:p>
      <w:pPr>
        <w:ind w:firstLine="480"/>
      </w:pPr>
      <w:r>
        <w:rPr>
          <w:rFonts w:hint="eastAsia"/>
        </w:rPr>
        <w:t>建议本项营运期的环境监测工作委托有相应检测资质的单位承担。</w:t>
      </w:r>
    </w:p>
    <w:p>
      <w:pPr>
        <w:pStyle w:val="5"/>
        <w:spacing w:before="62" w:after="62"/>
      </w:pPr>
      <w:bookmarkStart w:id="528" w:name="_Toc153257759"/>
      <w:bookmarkStart w:id="529" w:name="_Toc468689309"/>
      <w:r>
        <w:rPr>
          <w:rFonts w:hint="eastAsia"/>
        </w:rPr>
        <w:t>7.2.2监测项目及监测计划</w:t>
      </w:r>
      <w:bookmarkEnd w:id="528"/>
      <w:bookmarkEnd w:id="529"/>
    </w:p>
    <w:p>
      <w:pPr>
        <w:ind w:firstLine="480"/>
      </w:pPr>
      <w:r>
        <w:rPr>
          <w:rFonts w:hint="eastAsia"/>
        </w:rPr>
        <w:t>其监测项目内容计划见表10</w:t>
      </w:r>
      <w:r>
        <w:t>-</w:t>
      </w:r>
      <w:r>
        <w:rPr>
          <w:rFonts w:hint="eastAsia"/>
        </w:rPr>
        <w:t>3。</w:t>
      </w:r>
    </w:p>
    <w:p>
      <w:pPr>
        <w:pStyle w:val="11"/>
      </w:pPr>
      <w:r>
        <w:t xml:space="preserve">表7.2- </w:t>
      </w:r>
      <w:r>
        <w:fldChar w:fldCharType="begin"/>
      </w:r>
      <w:r>
        <w:instrText xml:space="preserve"> SEQ 表7.2- \* ARABIC </w:instrText>
      </w:r>
      <w:r>
        <w:fldChar w:fldCharType="separate"/>
      </w:r>
      <w:r>
        <w:t>1</w:t>
      </w:r>
      <w:r>
        <w:fldChar w:fldCharType="end"/>
      </w:r>
      <w:r>
        <w:rPr>
          <w:rFonts w:hint="eastAsia"/>
        </w:rPr>
        <w:t xml:space="preserve">  </w:t>
      </w:r>
      <w:r>
        <w:t>环境质量</w:t>
      </w:r>
      <w:r>
        <w:rPr>
          <w:rFonts w:hint="eastAsia"/>
        </w:rPr>
        <w:t>监测计划</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
        <w:gridCol w:w="1093"/>
        <w:gridCol w:w="1912"/>
        <w:gridCol w:w="2595"/>
        <w:gridCol w:w="22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924" w:type="dxa"/>
            <w:vAlign w:val="center"/>
          </w:tcPr>
          <w:p>
            <w:pPr>
              <w:pStyle w:val="8"/>
              <w:ind w:firstLine="0" w:firstLineChars="0"/>
            </w:pPr>
            <w:r>
              <w:rPr>
                <w:rFonts w:hint="eastAsia"/>
              </w:rPr>
              <w:t>监测期</w:t>
            </w:r>
          </w:p>
        </w:tc>
        <w:tc>
          <w:tcPr>
            <w:tcW w:w="1093" w:type="dxa"/>
            <w:vAlign w:val="center"/>
          </w:tcPr>
          <w:p>
            <w:pPr>
              <w:pStyle w:val="8"/>
              <w:ind w:firstLine="0" w:firstLineChars="0"/>
            </w:pPr>
            <w:r>
              <w:rPr>
                <w:rFonts w:hint="eastAsia"/>
              </w:rPr>
              <w:t>监测</w:t>
            </w:r>
          </w:p>
          <w:p>
            <w:pPr>
              <w:pStyle w:val="8"/>
              <w:ind w:firstLine="0" w:firstLineChars="0"/>
            </w:pPr>
            <w:r>
              <w:rPr>
                <w:rFonts w:hint="eastAsia"/>
              </w:rPr>
              <w:t>类别</w:t>
            </w:r>
          </w:p>
        </w:tc>
        <w:tc>
          <w:tcPr>
            <w:tcW w:w="1912" w:type="dxa"/>
            <w:vAlign w:val="center"/>
          </w:tcPr>
          <w:p>
            <w:pPr>
              <w:pStyle w:val="8"/>
              <w:ind w:firstLine="0" w:firstLineChars="0"/>
            </w:pPr>
            <w:r>
              <w:rPr>
                <w:rFonts w:hint="eastAsia"/>
              </w:rPr>
              <w:t>监测点位</w:t>
            </w:r>
          </w:p>
        </w:tc>
        <w:tc>
          <w:tcPr>
            <w:tcW w:w="2595" w:type="dxa"/>
            <w:vAlign w:val="center"/>
          </w:tcPr>
          <w:p>
            <w:pPr>
              <w:pStyle w:val="8"/>
              <w:ind w:firstLine="0" w:firstLineChars="0"/>
            </w:pPr>
            <w:r>
              <w:rPr>
                <w:rFonts w:hint="eastAsia"/>
              </w:rPr>
              <w:t>监测项目</w:t>
            </w:r>
          </w:p>
        </w:tc>
        <w:tc>
          <w:tcPr>
            <w:tcW w:w="2207" w:type="dxa"/>
            <w:vAlign w:val="center"/>
          </w:tcPr>
          <w:p>
            <w:pPr>
              <w:pStyle w:val="8"/>
              <w:ind w:firstLine="0" w:firstLineChars="0"/>
            </w:pPr>
            <w:r>
              <w:rPr>
                <w:rFonts w:hint="eastAsia"/>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924" w:type="dxa"/>
            <w:vMerge w:val="restart"/>
            <w:vAlign w:val="center"/>
          </w:tcPr>
          <w:p>
            <w:pPr>
              <w:pStyle w:val="8"/>
              <w:ind w:firstLine="0" w:firstLineChars="0"/>
            </w:pPr>
            <w:r>
              <w:rPr>
                <w:rFonts w:hint="eastAsia"/>
              </w:rPr>
              <w:t>营运期</w:t>
            </w:r>
          </w:p>
        </w:tc>
        <w:tc>
          <w:tcPr>
            <w:tcW w:w="1093" w:type="dxa"/>
            <w:vAlign w:val="center"/>
          </w:tcPr>
          <w:p>
            <w:pPr>
              <w:pStyle w:val="8"/>
              <w:ind w:firstLine="0" w:firstLineChars="0"/>
            </w:pPr>
            <w:r>
              <w:rPr>
                <w:rFonts w:hint="eastAsia"/>
              </w:rPr>
              <w:t>地表水</w:t>
            </w:r>
          </w:p>
        </w:tc>
        <w:tc>
          <w:tcPr>
            <w:tcW w:w="1912" w:type="dxa"/>
            <w:vAlign w:val="center"/>
          </w:tcPr>
          <w:p>
            <w:pPr>
              <w:pStyle w:val="8"/>
              <w:ind w:firstLine="0" w:firstLineChars="0"/>
            </w:pPr>
            <w:r>
              <w:rPr>
                <w:rFonts w:hint="eastAsia"/>
              </w:rPr>
              <w:t>雨水汇入农灌渠口处</w:t>
            </w:r>
            <w:r>
              <w:t>。</w:t>
            </w:r>
          </w:p>
        </w:tc>
        <w:tc>
          <w:tcPr>
            <w:tcW w:w="2595" w:type="dxa"/>
            <w:vAlign w:val="center"/>
          </w:tcPr>
          <w:p>
            <w:pPr>
              <w:pStyle w:val="8"/>
              <w:ind w:firstLine="0" w:firstLineChars="0"/>
            </w:pPr>
            <w:r>
              <w:t>pH</w:t>
            </w:r>
            <w:r>
              <w:rPr>
                <w:rFonts w:hint="eastAsia"/>
              </w:rPr>
              <w:t>、</w:t>
            </w:r>
            <w:r>
              <w:t>CODcr</w:t>
            </w:r>
            <w:r>
              <w:rPr>
                <w:rFonts w:hint="eastAsia"/>
              </w:rPr>
              <w:t>、</w:t>
            </w:r>
            <w:r>
              <w:t>BOD</w:t>
            </w:r>
            <w:r>
              <w:rPr>
                <w:vertAlign w:val="subscript"/>
              </w:rPr>
              <w:t>5</w:t>
            </w:r>
            <w:r>
              <w:rPr>
                <w:rFonts w:hint="eastAsia"/>
              </w:rPr>
              <w:t>、氨氮、总磷、粪大肠菌群</w:t>
            </w:r>
          </w:p>
        </w:tc>
        <w:tc>
          <w:tcPr>
            <w:tcW w:w="2207" w:type="dxa"/>
            <w:vAlign w:val="center"/>
          </w:tcPr>
          <w:p>
            <w:pPr>
              <w:pStyle w:val="8"/>
              <w:ind w:firstLine="0" w:firstLineChars="0"/>
            </w:pPr>
            <w:r>
              <w:rPr>
                <w:rFonts w:hint="eastAsia"/>
              </w:rPr>
              <w:t>每年一次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3" w:hRule="atLeast"/>
          <w:jc w:val="center"/>
        </w:trPr>
        <w:tc>
          <w:tcPr>
            <w:tcW w:w="924" w:type="dxa"/>
            <w:vMerge w:val="continue"/>
            <w:vAlign w:val="center"/>
          </w:tcPr>
          <w:p>
            <w:pPr>
              <w:pStyle w:val="8"/>
              <w:ind w:firstLine="0" w:firstLineChars="0"/>
            </w:pPr>
          </w:p>
        </w:tc>
        <w:tc>
          <w:tcPr>
            <w:tcW w:w="1093" w:type="dxa"/>
            <w:vAlign w:val="center"/>
          </w:tcPr>
          <w:p>
            <w:pPr>
              <w:pStyle w:val="8"/>
              <w:ind w:firstLine="0" w:firstLineChars="0"/>
            </w:pPr>
            <w:r>
              <w:rPr>
                <w:rFonts w:hint="eastAsia"/>
              </w:rPr>
              <w:t>环境空气</w:t>
            </w:r>
          </w:p>
        </w:tc>
        <w:tc>
          <w:tcPr>
            <w:tcW w:w="1912" w:type="dxa"/>
            <w:vAlign w:val="center"/>
          </w:tcPr>
          <w:p>
            <w:pPr>
              <w:pStyle w:val="8"/>
              <w:ind w:firstLine="0" w:firstLineChars="0"/>
            </w:pPr>
            <w:r>
              <w:rPr>
                <w:rFonts w:hint="eastAsia"/>
              </w:rPr>
              <w:t>项目周边设一个大气监测点</w:t>
            </w:r>
          </w:p>
        </w:tc>
        <w:tc>
          <w:tcPr>
            <w:tcW w:w="2595" w:type="dxa"/>
            <w:vAlign w:val="center"/>
          </w:tcPr>
          <w:p>
            <w:pPr>
              <w:pStyle w:val="8"/>
              <w:ind w:firstLine="0" w:firstLineChars="0"/>
            </w:pPr>
            <w:r>
              <w:t>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w:t>
            </w:r>
            <w:r>
              <w:t>H</w:t>
            </w:r>
            <w:r>
              <w:rPr>
                <w:vertAlign w:val="subscript"/>
              </w:rPr>
              <w:t>2</w:t>
            </w:r>
            <w:r>
              <w:t>S</w:t>
            </w:r>
            <w:r>
              <w:rPr>
                <w:rFonts w:hint="eastAsia"/>
              </w:rPr>
              <w:t>、</w:t>
            </w:r>
            <w:r>
              <w:t>NH</w:t>
            </w:r>
            <w:r>
              <w:rPr>
                <w:vertAlign w:val="subscript"/>
              </w:rPr>
              <w:t>3</w:t>
            </w:r>
          </w:p>
        </w:tc>
        <w:tc>
          <w:tcPr>
            <w:tcW w:w="2207" w:type="dxa"/>
            <w:vAlign w:val="center"/>
          </w:tcPr>
          <w:p>
            <w:pPr>
              <w:pStyle w:val="8"/>
              <w:ind w:firstLine="0" w:firstLineChars="0"/>
            </w:pPr>
            <w:r>
              <w:rPr>
                <w:rFonts w:hint="eastAsia"/>
              </w:rPr>
              <w:t>每年一次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924" w:type="dxa"/>
            <w:vMerge w:val="continue"/>
            <w:vAlign w:val="center"/>
          </w:tcPr>
          <w:p>
            <w:pPr>
              <w:pStyle w:val="8"/>
              <w:ind w:firstLine="0" w:firstLineChars="0"/>
            </w:pPr>
          </w:p>
        </w:tc>
        <w:tc>
          <w:tcPr>
            <w:tcW w:w="1093" w:type="dxa"/>
            <w:vAlign w:val="center"/>
          </w:tcPr>
          <w:p>
            <w:pPr>
              <w:pStyle w:val="8"/>
              <w:ind w:firstLine="0" w:firstLineChars="0"/>
            </w:pPr>
            <w:r>
              <w:rPr>
                <w:rFonts w:hint="eastAsia"/>
              </w:rPr>
              <w:t>地下水</w:t>
            </w:r>
          </w:p>
        </w:tc>
        <w:tc>
          <w:tcPr>
            <w:tcW w:w="1912" w:type="dxa"/>
            <w:vAlign w:val="center"/>
          </w:tcPr>
          <w:p>
            <w:pPr>
              <w:pStyle w:val="8"/>
              <w:ind w:firstLine="0" w:firstLineChars="0"/>
            </w:pPr>
            <w:r>
              <w:rPr>
                <w:rFonts w:hint="eastAsia"/>
              </w:rPr>
              <w:t>地下水设置1个地下水监测井</w:t>
            </w:r>
          </w:p>
        </w:tc>
        <w:tc>
          <w:tcPr>
            <w:tcW w:w="2595" w:type="dxa"/>
            <w:vAlign w:val="center"/>
          </w:tcPr>
          <w:p>
            <w:pPr>
              <w:pStyle w:val="8"/>
              <w:ind w:firstLine="0" w:firstLineChars="0"/>
            </w:pPr>
            <w:r>
              <w:rPr>
                <w:rFonts w:hint="eastAsia"/>
              </w:rPr>
              <w:t>pH、耗氧量、氨氮、硫酸盐、氯化物、硝酸盐、亚硝酸盐、细菌总数、铁、锰、硫化物</w:t>
            </w:r>
          </w:p>
        </w:tc>
        <w:tc>
          <w:tcPr>
            <w:tcW w:w="2207" w:type="dxa"/>
            <w:vAlign w:val="center"/>
          </w:tcPr>
          <w:p>
            <w:pPr>
              <w:pStyle w:val="8"/>
              <w:ind w:firstLine="0" w:firstLineChars="0"/>
            </w:pPr>
            <w:r>
              <w:rPr>
                <w:rFonts w:hint="eastAsia"/>
              </w:rPr>
              <w:t>每年一次</w:t>
            </w:r>
          </w:p>
        </w:tc>
      </w:tr>
    </w:tbl>
    <w:p>
      <w:pPr>
        <w:pStyle w:val="11"/>
      </w:pPr>
      <w:bookmarkStart w:id="530" w:name="_Toc450299899"/>
      <w:bookmarkStart w:id="531" w:name="_Toc451499685"/>
      <w:bookmarkStart w:id="532" w:name="_Toc468689310"/>
      <w:bookmarkStart w:id="533" w:name="_Toc451499093"/>
      <w:bookmarkStart w:id="534" w:name="_Toc451499554"/>
      <w:bookmarkStart w:id="535" w:name="_Toc451499148"/>
      <w:bookmarkStart w:id="536" w:name="_Toc459390565"/>
      <w:r>
        <w:t xml:space="preserve">表7.2- </w:t>
      </w:r>
      <w:r>
        <w:fldChar w:fldCharType="begin"/>
      </w:r>
      <w:r>
        <w:instrText xml:space="preserve"> SEQ 表7.2- \* ARABIC </w:instrText>
      </w:r>
      <w:r>
        <w:fldChar w:fldCharType="separate"/>
      </w:r>
      <w:r>
        <w:t>2</w:t>
      </w:r>
      <w:r>
        <w:fldChar w:fldCharType="end"/>
      </w:r>
      <w:r>
        <w:rPr>
          <w:rFonts w:hint="eastAsia"/>
        </w:rPr>
        <w:t xml:space="preserve">  </w:t>
      </w:r>
      <w:r>
        <w:t>污染源</w:t>
      </w:r>
      <w:r>
        <w:rPr>
          <w:rFonts w:hint="eastAsia"/>
        </w:rPr>
        <w:t>监测计划</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
        <w:gridCol w:w="1093"/>
        <w:gridCol w:w="1912"/>
        <w:gridCol w:w="2595"/>
        <w:gridCol w:w="22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924" w:type="dxa"/>
            <w:vAlign w:val="center"/>
          </w:tcPr>
          <w:p>
            <w:pPr>
              <w:pStyle w:val="8"/>
              <w:ind w:firstLine="0" w:firstLineChars="0"/>
            </w:pPr>
            <w:r>
              <w:rPr>
                <w:rFonts w:hint="eastAsia"/>
              </w:rPr>
              <w:t>监测期</w:t>
            </w:r>
          </w:p>
        </w:tc>
        <w:tc>
          <w:tcPr>
            <w:tcW w:w="1093" w:type="dxa"/>
            <w:vAlign w:val="center"/>
          </w:tcPr>
          <w:p>
            <w:pPr>
              <w:pStyle w:val="8"/>
              <w:ind w:firstLine="0" w:firstLineChars="0"/>
            </w:pPr>
            <w:r>
              <w:rPr>
                <w:rFonts w:hint="eastAsia"/>
              </w:rPr>
              <w:t>监测</w:t>
            </w:r>
          </w:p>
          <w:p>
            <w:pPr>
              <w:pStyle w:val="8"/>
              <w:ind w:firstLine="0" w:firstLineChars="0"/>
            </w:pPr>
            <w:r>
              <w:rPr>
                <w:rFonts w:hint="eastAsia"/>
              </w:rPr>
              <w:t>类别</w:t>
            </w:r>
          </w:p>
        </w:tc>
        <w:tc>
          <w:tcPr>
            <w:tcW w:w="1912" w:type="dxa"/>
            <w:vAlign w:val="center"/>
          </w:tcPr>
          <w:p>
            <w:pPr>
              <w:pStyle w:val="8"/>
              <w:ind w:firstLine="0" w:firstLineChars="0"/>
            </w:pPr>
            <w:r>
              <w:rPr>
                <w:rFonts w:hint="eastAsia"/>
              </w:rPr>
              <w:t>监测点位</w:t>
            </w:r>
          </w:p>
        </w:tc>
        <w:tc>
          <w:tcPr>
            <w:tcW w:w="2595" w:type="dxa"/>
            <w:vAlign w:val="center"/>
          </w:tcPr>
          <w:p>
            <w:pPr>
              <w:pStyle w:val="8"/>
              <w:ind w:firstLine="0" w:firstLineChars="0"/>
            </w:pPr>
            <w:r>
              <w:rPr>
                <w:rFonts w:hint="eastAsia"/>
              </w:rPr>
              <w:t>监测项目</w:t>
            </w:r>
          </w:p>
        </w:tc>
        <w:tc>
          <w:tcPr>
            <w:tcW w:w="2207" w:type="dxa"/>
            <w:vAlign w:val="center"/>
          </w:tcPr>
          <w:p>
            <w:pPr>
              <w:pStyle w:val="8"/>
              <w:ind w:firstLine="0" w:firstLineChars="0"/>
            </w:pPr>
            <w:r>
              <w:rPr>
                <w:rFonts w:hint="eastAsia"/>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91" w:hRule="atLeast"/>
          <w:jc w:val="center"/>
        </w:trPr>
        <w:tc>
          <w:tcPr>
            <w:tcW w:w="924" w:type="dxa"/>
            <w:vMerge w:val="restart"/>
            <w:vAlign w:val="center"/>
          </w:tcPr>
          <w:p>
            <w:pPr>
              <w:pStyle w:val="8"/>
              <w:ind w:firstLine="0" w:firstLineChars="0"/>
            </w:pPr>
            <w:r>
              <w:rPr>
                <w:rFonts w:hint="eastAsia"/>
              </w:rPr>
              <w:t>营运期</w:t>
            </w:r>
          </w:p>
        </w:tc>
        <w:tc>
          <w:tcPr>
            <w:tcW w:w="1093" w:type="dxa"/>
            <w:vAlign w:val="center"/>
          </w:tcPr>
          <w:p>
            <w:pPr>
              <w:pStyle w:val="8"/>
              <w:ind w:firstLine="0" w:firstLineChars="0"/>
            </w:pPr>
            <w:r>
              <w:rPr>
                <w:rFonts w:hint="eastAsia"/>
              </w:rPr>
              <w:t>废气无组织</w:t>
            </w:r>
          </w:p>
        </w:tc>
        <w:tc>
          <w:tcPr>
            <w:tcW w:w="1912" w:type="dxa"/>
            <w:vAlign w:val="center"/>
          </w:tcPr>
          <w:p>
            <w:pPr>
              <w:pStyle w:val="8"/>
              <w:ind w:firstLine="0" w:firstLineChars="0"/>
            </w:pPr>
            <w:r>
              <w:rPr>
                <w:rFonts w:hint="eastAsia"/>
              </w:rPr>
              <w:t>厂界下风向浓度最高处</w:t>
            </w:r>
          </w:p>
        </w:tc>
        <w:tc>
          <w:tcPr>
            <w:tcW w:w="2595" w:type="dxa"/>
            <w:vAlign w:val="center"/>
          </w:tcPr>
          <w:p>
            <w:pPr>
              <w:pStyle w:val="8"/>
              <w:ind w:firstLine="0" w:firstLineChars="0"/>
            </w:pPr>
            <w:r>
              <w:t>H</w:t>
            </w:r>
            <w:r>
              <w:rPr>
                <w:vertAlign w:val="subscript"/>
              </w:rPr>
              <w:t>2</w:t>
            </w:r>
            <w:r>
              <w:t>S</w:t>
            </w:r>
            <w:r>
              <w:rPr>
                <w:rFonts w:hint="eastAsia"/>
              </w:rPr>
              <w:t>、</w:t>
            </w:r>
            <w:r>
              <w:t>NH</w:t>
            </w:r>
            <w:r>
              <w:rPr>
                <w:vertAlign w:val="subscript"/>
              </w:rPr>
              <w:t>3</w:t>
            </w:r>
            <w:r>
              <w:rPr>
                <w:rFonts w:hint="eastAsia"/>
              </w:rPr>
              <w:t>、臭气浓度</w:t>
            </w:r>
          </w:p>
        </w:tc>
        <w:tc>
          <w:tcPr>
            <w:tcW w:w="2207" w:type="dxa"/>
            <w:vAlign w:val="center"/>
          </w:tcPr>
          <w:p>
            <w:pPr>
              <w:pStyle w:val="8"/>
              <w:ind w:firstLine="0" w:firstLineChars="0"/>
            </w:pPr>
            <w:r>
              <w:rPr>
                <w:rFonts w:hint="eastAsia"/>
              </w:rPr>
              <w:t>每年一次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3" w:hRule="atLeast"/>
          <w:jc w:val="center"/>
        </w:trPr>
        <w:tc>
          <w:tcPr>
            <w:tcW w:w="924" w:type="dxa"/>
            <w:vMerge w:val="continue"/>
            <w:vAlign w:val="center"/>
          </w:tcPr>
          <w:p>
            <w:pPr>
              <w:pStyle w:val="8"/>
              <w:ind w:firstLine="0" w:firstLineChars="0"/>
            </w:pPr>
          </w:p>
        </w:tc>
        <w:tc>
          <w:tcPr>
            <w:tcW w:w="1093" w:type="dxa"/>
            <w:vAlign w:val="center"/>
          </w:tcPr>
          <w:p>
            <w:pPr>
              <w:pStyle w:val="8"/>
              <w:ind w:firstLine="0" w:firstLineChars="0"/>
            </w:pPr>
            <w:r>
              <w:rPr>
                <w:rFonts w:hint="eastAsia"/>
              </w:rPr>
              <w:t>废水</w:t>
            </w:r>
          </w:p>
        </w:tc>
        <w:tc>
          <w:tcPr>
            <w:tcW w:w="1912" w:type="dxa"/>
            <w:vAlign w:val="center"/>
          </w:tcPr>
          <w:p>
            <w:pPr>
              <w:pStyle w:val="8"/>
              <w:ind w:firstLine="0" w:firstLineChars="0"/>
            </w:pPr>
            <w:r>
              <w:rPr>
                <w:rFonts w:hint="eastAsia"/>
              </w:rPr>
              <w:t>现场检查</w:t>
            </w:r>
          </w:p>
        </w:tc>
        <w:tc>
          <w:tcPr>
            <w:tcW w:w="2595" w:type="dxa"/>
            <w:vAlign w:val="center"/>
          </w:tcPr>
          <w:p>
            <w:pPr>
              <w:pStyle w:val="8"/>
              <w:ind w:firstLine="0" w:firstLineChars="0"/>
            </w:pPr>
            <w:r>
              <w:rPr>
                <w:rFonts w:hint="eastAsia"/>
              </w:rPr>
              <w:t>粪液去向</w:t>
            </w:r>
          </w:p>
        </w:tc>
        <w:tc>
          <w:tcPr>
            <w:tcW w:w="2207" w:type="dxa"/>
            <w:vAlign w:val="center"/>
          </w:tcPr>
          <w:p>
            <w:pPr>
              <w:pStyle w:val="8"/>
              <w:ind w:firstLine="0" w:firstLineChars="0"/>
            </w:pPr>
            <w:r>
              <w:rPr>
                <w:rFonts w:hint="eastAsia"/>
              </w:rPr>
              <w:t>建立管理台帐，记录用水量、施肥量等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3" w:hRule="atLeast"/>
          <w:jc w:val="center"/>
        </w:trPr>
        <w:tc>
          <w:tcPr>
            <w:tcW w:w="924" w:type="dxa"/>
            <w:vMerge w:val="continue"/>
            <w:vAlign w:val="center"/>
          </w:tcPr>
          <w:p>
            <w:pPr>
              <w:pStyle w:val="8"/>
              <w:ind w:firstLine="0" w:firstLineChars="0"/>
            </w:pPr>
          </w:p>
        </w:tc>
        <w:tc>
          <w:tcPr>
            <w:tcW w:w="1093" w:type="dxa"/>
            <w:vAlign w:val="center"/>
          </w:tcPr>
          <w:p>
            <w:pPr>
              <w:pStyle w:val="8"/>
              <w:ind w:firstLine="0" w:firstLineChars="0"/>
            </w:pPr>
            <w:r>
              <w:rPr>
                <w:rFonts w:hint="eastAsia"/>
              </w:rPr>
              <w:t>噪声</w:t>
            </w:r>
          </w:p>
        </w:tc>
        <w:tc>
          <w:tcPr>
            <w:tcW w:w="1912" w:type="dxa"/>
            <w:vAlign w:val="center"/>
          </w:tcPr>
          <w:p>
            <w:pPr>
              <w:pStyle w:val="8"/>
              <w:ind w:firstLine="0" w:firstLineChars="0"/>
            </w:pPr>
            <w:r>
              <w:rPr>
                <w:rFonts w:hint="eastAsia"/>
              </w:rPr>
              <w:t>厂界四周</w:t>
            </w:r>
          </w:p>
        </w:tc>
        <w:tc>
          <w:tcPr>
            <w:tcW w:w="2595" w:type="dxa"/>
            <w:vAlign w:val="center"/>
          </w:tcPr>
          <w:p>
            <w:pPr>
              <w:pStyle w:val="8"/>
              <w:ind w:firstLine="0" w:firstLineChars="0"/>
            </w:pPr>
            <w:r>
              <w:t>Leq(A)</w:t>
            </w:r>
          </w:p>
        </w:tc>
        <w:tc>
          <w:tcPr>
            <w:tcW w:w="2207" w:type="dxa"/>
            <w:vAlign w:val="center"/>
          </w:tcPr>
          <w:p>
            <w:pPr>
              <w:pStyle w:val="8"/>
              <w:ind w:firstLine="0" w:firstLineChars="0"/>
            </w:pPr>
            <w:r>
              <w:rPr>
                <w:rFonts w:hint="eastAsia"/>
              </w:rPr>
              <w:t>每年一次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73" w:hRule="atLeast"/>
          <w:jc w:val="center"/>
        </w:trPr>
        <w:tc>
          <w:tcPr>
            <w:tcW w:w="924" w:type="dxa"/>
            <w:vMerge w:val="continue"/>
            <w:vAlign w:val="center"/>
          </w:tcPr>
          <w:p>
            <w:pPr>
              <w:pStyle w:val="8"/>
              <w:ind w:firstLine="0" w:firstLineChars="0"/>
            </w:pPr>
          </w:p>
        </w:tc>
        <w:tc>
          <w:tcPr>
            <w:tcW w:w="1093" w:type="dxa"/>
            <w:vAlign w:val="center"/>
          </w:tcPr>
          <w:p>
            <w:pPr>
              <w:pStyle w:val="8"/>
              <w:ind w:firstLine="0" w:firstLineChars="0"/>
            </w:pPr>
            <w:r>
              <w:rPr>
                <w:rFonts w:hint="eastAsia"/>
              </w:rPr>
              <w:t>固体废物</w:t>
            </w:r>
          </w:p>
        </w:tc>
        <w:tc>
          <w:tcPr>
            <w:tcW w:w="4507" w:type="dxa"/>
            <w:gridSpan w:val="2"/>
            <w:vAlign w:val="center"/>
          </w:tcPr>
          <w:p>
            <w:pPr>
              <w:pStyle w:val="8"/>
              <w:ind w:firstLine="0" w:firstLineChars="0"/>
            </w:pPr>
            <w:r>
              <w:rPr>
                <w:rFonts w:hint="eastAsia"/>
              </w:rPr>
              <w:t>统计产生量、处理量</w:t>
            </w:r>
            <w:r>
              <w:t>/</w:t>
            </w:r>
            <w:r>
              <w:rPr>
                <w:rFonts w:hint="eastAsia"/>
              </w:rPr>
              <w:t>处理方式、贮存量</w:t>
            </w:r>
          </w:p>
        </w:tc>
        <w:tc>
          <w:tcPr>
            <w:tcW w:w="2207" w:type="dxa"/>
            <w:vAlign w:val="center"/>
          </w:tcPr>
          <w:p>
            <w:pPr>
              <w:pStyle w:val="8"/>
              <w:ind w:firstLine="0" w:firstLineChars="0"/>
            </w:pPr>
            <w:r>
              <w:rPr>
                <w:rFonts w:hint="eastAsia"/>
              </w:rPr>
              <w:t>台帐统计、年报一次</w:t>
            </w:r>
          </w:p>
        </w:tc>
      </w:tr>
    </w:tbl>
    <w:p>
      <w:pPr>
        <w:pStyle w:val="4"/>
        <w:spacing w:before="62" w:after="62"/>
      </w:pPr>
      <w:bookmarkStart w:id="537" w:name="_Toc10585"/>
      <w:r>
        <w:rPr>
          <w:rFonts w:hint="eastAsia"/>
        </w:rPr>
        <w:t>7.3</w:t>
      </w:r>
      <w:r>
        <w:t>环保设施“三同时”竣工验收计划</w:t>
      </w:r>
      <w:bookmarkEnd w:id="530"/>
      <w:bookmarkEnd w:id="531"/>
      <w:bookmarkEnd w:id="532"/>
      <w:bookmarkEnd w:id="533"/>
      <w:bookmarkEnd w:id="534"/>
      <w:bookmarkEnd w:id="535"/>
      <w:bookmarkEnd w:id="536"/>
      <w:bookmarkEnd w:id="537"/>
    </w:p>
    <w:p>
      <w:pPr>
        <w:ind w:firstLine="480"/>
      </w:pPr>
      <w:r>
        <w:rPr>
          <w:rFonts w:hint="eastAsia"/>
        </w:rPr>
        <w:t>根据《建设项目环境保护管理条例》（国务院令682号，2017.10.1实施）中“第三章 环境保护设施建设”的相关规定要求：“建设项目需要配套建设的环境保护设施，必须与主体工程同时设计、同时施工、同时投产使用。”“建设单位应当将环境保护设施建设纳入施工合同，保证环境保护设施建设进度和资金，并在项目建设过程中同时组织实施环境影响报告书、环境影响报告表及其审批部门审批决定中提出的环境保护对策措施。”“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r>
        <w:t>自2017年10月1日起由建设单位自主开展建设项目废水、废气污染防治设施竣工环境保护验收，在《中华人民共和国固体废物污染环境防治法》《中华人民共和国环境噪声污染防治法》修改完成前，依法由环境保护主管部门对建设项目的噪声、固体废物的污染防治设施进行验收。</w:t>
      </w:r>
    </w:p>
    <w:p>
      <w:pPr>
        <w:ind w:firstLine="480"/>
      </w:pPr>
      <w:r>
        <w:rPr>
          <w:rFonts w:hint="eastAsia"/>
        </w:rPr>
        <w:t>根据《建设项目竣工环境保护验收暂行办法》（国环规环评</w:t>
      </w:r>
      <w:r>
        <w:t>[2017]4号）验收的一般程序与内容如下：</w:t>
      </w:r>
    </w:p>
    <w:p>
      <w:pPr>
        <w:ind w:firstLine="480"/>
      </w:pPr>
      <w:r>
        <w:rPr>
          <w:rFonts w:hint="eastAsia"/>
        </w:rPr>
        <w:t>(1) 建设项目竣工后，建设单位应当如实查验、监测、记载建设项目环境保护设施的建设和调试情况，编制验收监测（调查）报告。</w:t>
      </w:r>
    </w:p>
    <w:p>
      <w:pPr>
        <w:ind w:firstLine="480"/>
      </w:pPr>
      <w:r>
        <w:rPr>
          <w:rFonts w:hint="eastAsia"/>
        </w:rPr>
        <w:t>（2）建设单位不具备编制验收监测（调查）报告能力的，可以委托有能力的技术机构编制。建设单位对受委托的技术机构编制的验收监测（调查）报告结论负责。</w:t>
      </w:r>
    </w:p>
    <w:p>
      <w:pPr>
        <w:ind w:firstLine="480"/>
      </w:pPr>
      <w:r>
        <w:rPr>
          <w:rFonts w:hint="eastAsia"/>
        </w:rPr>
        <w:t xml:space="preserve"> (3)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w:t>
      </w:r>
    </w:p>
    <w:p>
      <w:pPr>
        <w:ind w:firstLine="480"/>
      </w:pPr>
      <w:r>
        <w:t>（</w:t>
      </w:r>
      <w:r>
        <w:rPr>
          <w:rFonts w:hint="eastAsia"/>
        </w:rPr>
        <w:t>4</w:t>
      </w:r>
      <w:r>
        <w:t>）</w:t>
      </w:r>
      <w:r>
        <w:rPr>
          <w:rFonts w:hint="eastAsia"/>
        </w:rPr>
        <w:t>建设项目配套建设的环境保护设施经验收合格后，其主体工程方可投入生产或者使用；未经验收或者验收不合格的，不得投入生产或者使用。</w:t>
      </w:r>
    </w:p>
    <w:p>
      <w:pPr>
        <w:ind w:firstLine="480"/>
      </w:pPr>
      <w:r>
        <w:rPr>
          <w:rFonts w:hint="eastAsia"/>
        </w:rPr>
        <w:t>（5）除按照国家需要保密的情形外，建设单位应当通过其网站或其他便于公众知晓的方式，向社会公开项目相关信息.。验收报告编制完成后</w:t>
      </w:r>
      <w:r>
        <w:t>5个工作日内，公开验收报告，公示的期限不得少于20个工作日。</w:t>
      </w:r>
    </w:p>
    <w:p>
      <w:pPr>
        <w:ind w:firstLine="480"/>
      </w:pPr>
      <w:r>
        <w:rPr>
          <w:rFonts w:hint="eastAsia"/>
        </w:rPr>
        <w:t>（6）验收报告公示期满后</w:t>
      </w:r>
      <w:r>
        <w:t>5个工作日内，建设单位应当登录全国建设项目竣工环境保护验收信息平台，填报建设项目基本信息、环境保护设施验收情况等相关信息，环境保护主管部门对上述信息予以公开。</w:t>
      </w:r>
      <w:r>
        <w:rPr>
          <w:rFonts w:hint="eastAsia"/>
        </w:rPr>
        <w:t>建设单位应当将验收报告以及其他档案资料存档备查。</w:t>
      </w:r>
    </w:p>
    <w:p>
      <w:pPr>
        <w:ind w:firstLine="480"/>
      </w:pPr>
      <w:r>
        <w:rPr>
          <w:rFonts w:hint="eastAsia"/>
        </w:rPr>
        <w:t>项目环保措施</w:t>
      </w:r>
      <w:r>
        <w:t>“</w:t>
      </w:r>
      <w:r>
        <w:rPr>
          <w:rFonts w:hint="eastAsia"/>
        </w:rPr>
        <w:t>三同时</w:t>
      </w:r>
      <w:r>
        <w:t>”</w:t>
      </w:r>
      <w:r>
        <w:rPr>
          <w:rFonts w:hint="eastAsia"/>
        </w:rPr>
        <w:t>竣工验收计划见表7.3-1。</w:t>
      </w:r>
    </w:p>
    <w:bookmarkEnd w:id="443"/>
    <w:bookmarkEnd w:id="444"/>
    <w:bookmarkEnd w:id="481"/>
    <w:bookmarkEnd w:id="482"/>
    <w:bookmarkEnd w:id="483"/>
    <w:bookmarkEnd w:id="484"/>
    <w:bookmarkEnd w:id="485"/>
    <w:bookmarkEnd w:id="486"/>
    <w:bookmarkEnd w:id="487"/>
    <w:bookmarkEnd w:id="488"/>
    <w:p>
      <w:pPr>
        <w:pStyle w:val="11"/>
        <w:rPr>
          <w:highlight w:val="yellow"/>
        </w:rPr>
      </w:pPr>
      <w:bookmarkStart w:id="538" w:name="_Toc468689312"/>
      <w:bookmarkStart w:id="539" w:name="_Toc289344627"/>
    </w:p>
    <w:p>
      <w:pPr>
        <w:pStyle w:val="11"/>
      </w:pPr>
    </w:p>
    <w:p>
      <w:pPr>
        <w:pStyle w:val="11"/>
      </w:pPr>
    </w:p>
    <w:p>
      <w:pPr>
        <w:pStyle w:val="11"/>
      </w:pPr>
      <w:r>
        <w:t xml:space="preserve">表7.3- </w:t>
      </w:r>
      <w:r>
        <w:fldChar w:fldCharType="begin"/>
      </w:r>
      <w:r>
        <w:instrText xml:space="preserve"> SEQ 表7.3- \* ARABIC </w:instrText>
      </w:r>
      <w:r>
        <w:fldChar w:fldCharType="separate"/>
      </w:r>
      <w:r>
        <w:t>1</w:t>
      </w:r>
      <w:r>
        <w:fldChar w:fldCharType="end"/>
      </w:r>
      <w:r>
        <w:rPr>
          <w:rFonts w:hint="eastAsia"/>
        </w:rPr>
        <w:t xml:space="preserve">   建设项目污染防治措施</w:t>
      </w:r>
      <w:r>
        <w:t>“</w:t>
      </w:r>
      <w:r>
        <w:rPr>
          <w:rFonts w:hint="eastAsia"/>
        </w:rPr>
        <w:t>三同时</w:t>
      </w:r>
      <w:r>
        <w:t>”</w:t>
      </w:r>
      <w:r>
        <w:rPr>
          <w:rFonts w:hint="eastAsia"/>
        </w:rPr>
        <w:t>验收表</w:t>
      </w:r>
    </w:p>
    <w:tbl>
      <w:tblPr>
        <w:tblStyle w:val="21"/>
        <w:tblW w:w="88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2"/>
        <w:gridCol w:w="588"/>
        <w:gridCol w:w="968"/>
        <w:gridCol w:w="2081"/>
        <w:gridCol w:w="1317"/>
        <w:gridCol w:w="1165"/>
        <w:gridCol w:w="21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Align w:val="center"/>
          </w:tcPr>
          <w:p>
            <w:pPr>
              <w:pStyle w:val="8"/>
              <w:ind w:firstLine="0" w:firstLineChars="0"/>
            </w:pPr>
            <w:r>
              <w:rPr>
                <w:rFonts w:hint="eastAsia"/>
              </w:rPr>
              <w:t>类别</w:t>
            </w:r>
          </w:p>
        </w:tc>
        <w:tc>
          <w:tcPr>
            <w:tcW w:w="1556" w:type="dxa"/>
            <w:gridSpan w:val="2"/>
            <w:vAlign w:val="center"/>
          </w:tcPr>
          <w:p>
            <w:pPr>
              <w:pStyle w:val="8"/>
              <w:ind w:firstLine="0" w:firstLineChars="0"/>
            </w:pPr>
            <w:r>
              <w:rPr>
                <w:rFonts w:hint="eastAsia"/>
              </w:rPr>
              <w:t>排放源</w:t>
            </w:r>
          </w:p>
        </w:tc>
        <w:tc>
          <w:tcPr>
            <w:tcW w:w="2081" w:type="dxa"/>
            <w:vAlign w:val="center"/>
          </w:tcPr>
          <w:p>
            <w:pPr>
              <w:pStyle w:val="8"/>
              <w:ind w:firstLine="0" w:firstLineChars="0"/>
            </w:pPr>
            <w:r>
              <w:rPr>
                <w:rFonts w:hint="eastAsia"/>
              </w:rPr>
              <w:t>环保措施</w:t>
            </w:r>
          </w:p>
        </w:tc>
        <w:tc>
          <w:tcPr>
            <w:tcW w:w="1317" w:type="dxa"/>
            <w:vAlign w:val="center"/>
          </w:tcPr>
          <w:p>
            <w:pPr>
              <w:pStyle w:val="8"/>
              <w:ind w:firstLine="0" w:firstLineChars="0"/>
            </w:pPr>
            <w:r>
              <w:rPr>
                <w:rFonts w:hint="eastAsia"/>
              </w:rPr>
              <w:t>验收监测点位</w:t>
            </w:r>
          </w:p>
        </w:tc>
        <w:tc>
          <w:tcPr>
            <w:tcW w:w="1165" w:type="dxa"/>
            <w:vAlign w:val="center"/>
          </w:tcPr>
          <w:p>
            <w:pPr>
              <w:pStyle w:val="8"/>
              <w:ind w:firstLine="0" w:firstLineChars="0"/>
            </w:pPr>
            <w:r>
              <w:rPr>
                <w:rFonts w:hint="eastAsia"/>
              </w:rPr>
              <w:t>验收监测因子</w:t>
            </w:r>
          </w:p>
        </w:tc>
        <w:tc>
          <w:tcPr>
            <w:tcW w:w="2117" w:type="dxa"/>
            <w:vAlign w:val="center"/>
          </w:tcPr>
          <w:p>
            <w:pPr>
              <w:pStyle w:val="8"/>
              <w:ind w:firstLine="0" w:firstLineChars="0"/>
            </w:pPr>
            <w:r>
              <w:rPr>
                <w:rFonts w:hint="eastAsia"/>
              </w:rPr>
              <w:t>验收标准及要求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Align w:val="center"/>
          </w:tcPr>
          <w:p>
            <w:pPr>
              <w:pStyle w:val="8"/>
              <w:ind w:firstLine="0" w:firstLineChars="0"/>
            </w:pPr>
            <w:r>
              <w:rPr>
                <w:rFonts w:hint="eastAsia"/>
              </w:rPr>
              <w:t>地表水</w:t>
            </w:r>
          </w:p>
        </w:tc>
        <w:tc>
          <w:tcPr>
            <w:tcW w:w="1556" w:type="dxa"/>
            <w:gridSpan w:val="2"/>
            <w:vAlign w:val="center"/>
          </w:tcPr>
          <w:p>
            <w:pPr>
              <w:pStyle w:val="8"/>
              <w:ind w:firstLine="0" w:firstLineChars="0"/>
            </w:pPr>
            <w:r>
              <w:rPr>
                <w:rFonts w:hint="eastAsia"/>
              </w:rPr>
              <w:t>/</w:t>
            </w:r>
          </w:p>
        </w:tc>
        <w:tc>
          <w:tcPr>
            <w:tcW w:w="2081" w:type="dxa"/>
            <w:vAlign w:val="center"/>
          </w:tcPr>
          <w:p>
            <w:pPr>
              <w:pStyle w:val="8"/>
              <w:ind w:firstLine="0" w:firstLineChars="0"/>
            </w:pPr>
            <w:r>
              <w:rPr>
                <w:rFonts w:hint="eastAsia"/>
              </w:rPr>
              <w:t>/</w:t>
            </w:r>
          </w:p>
        </w:tc>
        <w:tc>
          <w:tcPr>
            <w:tcW w:w="1317" w:type="dxa"/>
            <w:vAlign w:val="center"/>
          </w:tcPr>
          <w:p>
            <w:pPr>
              <w:pStyle w:val="8"/>
              <w:ind w:firstLine="0" w:firstLineChars="0"/>
            </w:pPr>
            <w:r>
              <w:rPr>
                <w:rFonts w:hint="eastAsia"/>
              </w:rPr>
              <w:t>农灌渠</w:t>
            </w:r>
          </w:p>
        </w:tc>
        <w:tc>
          <w:tcPr>
            <w:tcW w:w="1165" w:type="dxa"/>
            <w:vAlign w:val="center"/>
          </w:tcPr>
          <w:p>
            <w:pPr>
              <w:pStyle w:val="8"/>
              <w:ind w:firstLine="0" w:firstLineChars="0"/>
            </w:pPr>
            <w:r>
              <w:t>pH</w:t>
            </w:r>
            <w:r>
              <w:rPr>
                <w:rFonts w:hint="eastAsia"/>
              </w:rPr>
              <w:t>、</w:t>
            </w:r>
            <w:r>
              <w:t>CODcr</w:t>
            </w:r>
            <w:r>
              <w:rPr>
                <w:rFonts w:hint="eastAsia"/>
              </w:rPr>
              <w:t>、</w:t>
            </w:r>
            <w:r>
              <w:t>BOD</w:t>
            </w:r>
            <w:r>
              <w:rPr>
                <w:vertAlign w:val="subscript"/>
              </w:rPr>
              <w:t>5</w:t>
            </w:r>
            <w:r>
              <w:rPr>
                <w:rFonts w:hint="eastAsia"/>
              </w:rPr>
              <w:t>、氨氮、总磷、粪大肠菌群</w:t>
            </w:r>
          </w:p>
        </w:tc>
        <w:tc>
          <w:tcPr>
            <w:tcW w:w="2117" w:type="dxa"/>
            <w:vAlign w:val="center"/>
          </w:tcPr>
          <w:p>
            <w:pPr>
              <w:pStyle w:val="8"/>
              <w:ind w:firstLine="0" w:firstLineChars="0"/>
            </w:pPr>
            <w:r>
              <w:rPr>
                <w:rFonts w:hint="eastAsia"/>
              </w:rPr>
              <w:t>《地表水环境质量标准》（GB3838-2002）III类标准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Merge w:val="restart"/>
            <w:vAlign w:val="center"/>
          </w:tcPr>
          <w:p>
            <w:pPr>
              <w:pStyle w:val="8"/>
              <w:ind w:firstLine="0" w:firstLineChars="0"/>
            </w:pPr>
            <w:r>
              <w:rPr>
                <w:rFonts w:hint="eastAsia"/>
              </w:rPr>
              <w:t>废气</w:t>
            </w:r>
          </w:p>
        </w:tc>
        <w:tc>
          <w:tcPr>
            <w:tcW w:w="1556" w:type="dxa"/>
            <w:gridSpan w:val="2"/>
            <w:vAlign w:val="center"/>
          </w:tcPr>
          <w:p>
            <w:pPr>
              <w:pStyle w:val="8"/>
              <w:ind w:firstLine="0" w:firstLineChars="0"/>
            </w:pPr>
            <w:r>
              <w:rPr>
                <w:rFonts w:hint="eastAsia"/>
              </w:rPr>
              <w:t>猪舍、发酵间等产生</w:t>
            </w:r>
          </w:p>
          <w:p>
            <w:pPr>
              <w:pStyle w:val="8"/>
              <w:ind w:firstLine="0" w:firstLineChars="0"/>
            </w:pPr>
            <w:r>
              <w:rPr>
                <w:rFonts w:hint="eastAsia"/>
              </w:rPr>
              <w:t>恶臭气体</w:t>
            </w:r>
          </w:p>
        </w:tc>
        <w:tc>
          <w:tcPr>
            <w:tcW w:w="2081" w:type="dxa"/>
            <w:vAlign w:val="center"/>
          </w:tcPr>
          <w:p>
            <w:pPr>
              <w:pStyle w:val="8"/>
              <w:ind w:firstLine="0" w:firstLineChars="0"/>
            </w:pPr>
            <w:r>
              <w:rPr>
                <w:rFonts w:hint="eastAsia"/>
              </w:rPr>
              <w:t>喷洒防臭剂、水帘排风、科学配方饲料，发酵间采用生物除臭剂进行喷洒</w:t>
            </w:r>
          </w:p>
        </w:tc>
        <w:tc>
          <w:tcPr>
            <w:tcW w:w="1317" w:type="dxa"/>
            <w:vAlign w:val="center"/>
          </w:tcPr>
          <w:p>
            <w:pPr>
              <w:pStyle w:val="8"/>
              <w:ind w:firstLine="0" w:firstLineChars="0"/>
            </w:pPr>
            <w:r>
              <w:rPr>
                <w:rFonts w:hint="eastAsia"/>
              </w:rPr>
              <w:t>项目养殖区场界下向风浓度最高处。</w:t>
            </w:r>
          </w:p>
        </w:tc>
        <w:tc>
          <w:tcPr>
            <w:tcW w:w="1165" w:type="dxa"/>
            <w:vAlign w:val="center"/>
          </w:tcPr>
          <w:p>
            <w:pPr>
              <w:pStyle w:val="8"/>
              <w:ind w:firstLine="0" w:firstLineChars="0"/>
            </w:pPr>
            <w:r>
              <w:rPr>
                <w:rFonts w:hint="eastAsia"/>
              </w:rPr>
              <w:t>H</w:t>
            </w:r>
            <w:r>
              <w:rPr>
                <w:rFonts w:hint="eastAsia"/>
                <w:vertAlign w:val="subscript"/>
              </w:rPr>
              <w:t>2</w:t>
            </w:r>
            <w:r>
              <w:rPr>
                <w:rFonts w:hint="eastAsia"/>
              </w:rPr>
              <w:t>S、NH</w:t>
            </w:r>
            <w:r>
              <w:rPr>
                <w:rFonts w:hint="eastAsia"/>
                <w:vertAlign w:val="subscript"/>
              </w:rPr>
              <w:t>3</w:t>
            </w:r>
            <w:r>
              <w:rPr>
                <w:rFonts w:hint="eastAsia"/>
              </w:rPr>
              <w:t>、臭气浓度</w:t>
            </w:r>
          </w:p>
        </w:tc>
        <w:tc>
          <w:tcPr>
            <w:tcW w:w="2117" w:type="dxa"/>
            <w:vAlign w:val="center"/>
          </w:tcPr>
          <w:p>
            <w:pPr>
              <w:pStyle w:val="8"/>
              <w:ind w:firstLine="0" w:firstLineChars="0"/>
            </w:pPr>
            <w:r>
              <w:rPr>
                <w:rFonts w:hint="eastAsia"/>
              </w:rPr>
              <w:t>《畜禽养殖业污染物排放标准》（</w:t>
            </w:r>
            <w:r>
              <w:t>GB18596-2001</w:t>
            </w:r>
            <w:r>
              <w:rPr>
                <w:rFonts w:hint="eastAsia"/>
              </w:rPr>
              <w:t>）和《恶臭污染物排放标准》（</w:t>
            </w:r>
            <w:r>
              <w:t>GB14554-93</w:t>
            </w:r>
            <w:r>
              <w:rPr>
                <w:rFonts w:hint="eastAsia"/>
              </w:rPr>
              <w:t>）中恶臭污染物排放标准值要求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ind w:firstLine="0" w:firstLineChars="0"/>
            </w:pPr>
          </w:p>
        </w:tc>
        <w:tc>
          <w:tcPr>
            <w:tcW w:w="1556" w:type="dxa"/>
            <w:gridSpan w:val="2"/>
            <w:vAlign w:val="center"/>
          </w:tcPr>
          <w:p>
            <w:pPr>
              <w:pStyle w:val="8"/>
              <w:ind w:firstLine="0" w:firstLineChars="0"/>
            </w:pPr>
            <w:r>
              <w:rPr>
                <w:rFonts w:hint="eastAsia"/>
              </w:rPr>
              <w:t>食堂</w:t>
            </w:r>
          </w:p>
          <w:p>
            <w:pPr>
              <w:pStyle w:val="8"/>
              <w:ind w:firstLine="0" w:firstLineChars="0"/>
            </w:pPr>
            <w:r>
              <w:rPr>
                <w:rFonts w:hint="eastAsia"/>
              </w:rPr>
              <w:t>油烟</w:t>
            </w:r>
          </w:p>
        </w:tc>
        <w:tc>
          <w:tcPr>
            <w:tcW w:w="2081" w:type="dxa"/>
            <w:vAlign w:val="center"/>
          </w:tcPr>
          <w:p>
            <w:pPr>
              <w:pStyle w:val="8"/>
              <w:ind w:firstLine="0" w:firstLineChars="0"/>
            </w:pPr>
            <w:r>
              <w:rPr>
                <w:rFonts w:hint="eastAsia"/>
              </w:rPr>
              <w:t>油烟净化器</w:t>
            </w:r>
          </w:p>
        </w:tc>
        <w:tc>
          <w:tcPr>
            <w:tcW w:w="1317" w:type="dxa"/>
            <w:vAlign w:val="center"/>
          </w:tcPr>
          <w:p>
            <w:pPr>
              <w:pStyle w:val="8"/>
              <w:ind w:firstLine="0" w:firstLineChars="0"/>
            </w:pPr>
            <w:r>
              <w:rPr>
                <w:rFonts w:hint="eastAsia"/>
              </w:rPr>
              <w:t>油烟净化器进、出口烟道</w:t>
            </w:r>
          </w:p>
        </w:tc>
        <w:tc>
          <w:tcPr>
            <w:tcW w:w="1165" w:type="dxa"/>
            <w:vAlign w:val="center"/>
          </w:tcPr>
          <w:p>
            <w:pPr>
              <w:pStyle w:val="8"/>
              <w:ind w:firstLine="0" w:firstLineChars="0"/>
            </w:pPr>
            <w:r>
              <w:rPr>
                <w:rFonts w:hint="eastAsia"/>
              </w:rPr>
              <w:t>油烟</w:t>
            </w:r>
          </w:p>
        </w:tc>
        <w:tc>
          <w:tcPr>
            <w:tcW w:w="2117" w:type="dxa"/>
            <w:vAlign w:val="center"/>
          </w:tcPr>
          <w:p>
            <w:pPr>
              <w:pStyle w:val="8"/>
              <w:ind w:firstLine="0" w:firstLineChars="0"/>
            </w:pPr>
            <w:r>
              <w:rPr>
                <w:rFonts w:hint="eastAsia"/>
              </w:rPr>
              <w:t>《饮食业油烟排放标准》（</w:t>
            </w:r>
            <w:r>
              <w:t>GB18483-2001</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3" w:hRule="atLeast"/>
          <w:jc w:val="center"/>
        </w:trPr>
        <w:tc>
          <w:tcPr>
            <w:tcW w:w="572" w:type="dxa"/>
            <w:vMerge w:val="restart"/>
            <w:vAlign w:val="center"/>
          </w:tcPr>
          <w:p>
            <w:pPr>
              <w:pStyle w:val="8"/>
              <w:ind w:firstLine="0" w:firstLineChars="0"/>
            </w:pPr>
            <w:r>
              <w:rPr>
                <w:rFonts w:hint="eastAsia"/>
              </w:rPr>
              <w:t>废水</w:t>
            </w:r>
          </w:p>
        </w:tc>
        <w:tc>
          <w:tcPr>
            <w:tcW w:w="1556" w:type="dxa"/>
            <w:gridSpan w:val="2"/>
            <w:vAlign w:val="center"/>
          </w:tcPr>
          <w:p>
            <w:pPr>
              <w:pStyle w:val="8"/>
              <w:ind w:firstLine="0" w:firstLineChars="0"/>
            </w:pPr>
            <w:r>
              <w:rPr>
                <w:rFonts w:hint="eastAsia"/>
              </w:rPr>
              <w:t>猪舍废水</w:t>
            </w:r>
          </w:p>
        </w:tc>
        <w:tc>
          <w:tcPr>
            <w:tcW w:w="2081" w:type="dxa"/>
            <w:vMerge w:val="restart"/>
            <w:vAlign w:val="center"/>
          </w:tcPr>
          <w:p>
            <w:pPr>
              <w:pStyle w:val="8"/>
              <w:ind w:firstLine="0" w:firstLineChars="0"/>
            </w:pPr>
            <w:r>
              <w:rPr>
                <w:rFonts w:hint="eastAsia"/>
              </w:rPr>
              <w:t>项目采取雨水污分流制，厂内配套雨污管网，雨水排入周边山林，废水处理系统采用微生物异位发酵床系统，猪尿通过集污池进入发酵床，发酵后垫料作为肥料外售</w:t>
            </w:r>
          </w:p>
        </w:tc>
        <w:tc>
          <w:tcPr>
            <w:tcW w:w="1317" w:type="dxa"/>
            <w:vMerge w:val="restart"/>
            <w:vAlign w:val="center"/>
          </w:tcPr>
          <w:p>
            <w:pPr>
              <w:pStyle w:val="8"/>
              <w:ind w:firstLine="0" w:firstLineChars="0"/>
            </w:pPr>
            <w:r>
              <w:rPr>
                <w:rFonts w:hint="eastAsia"/>
              </w:rPr>
              <w:t>无</w:t>
            </w:r>
          </w:p>
        </w:tc>
        <w:tc>
          <w:tcPr>
            <w:tcW w:w="1165" w:type="dxa"/>
            <w:vMerge w:val="restart"/>
            <w:vAlign w:val="center"/>
          </w:tcPr>
          <w:p>
            <w:pPr>
              <w:pStyle w:val="8"/>
              <w:ind w:firstLine="0" w:firstLineChars="0"/>
            </w:pPr>
            <w:r>
              <w:rPr>
                <w:rFonts w:hint="eastAsia"/>
              </w:rPr>
              <w:t>无</w:t>
            </w:r>
          </w:p>
        </w:tc>
        <w:tc>
          <w:tcPr>
            <w:tcW w:w="2117" w:type="dxa"/>
            <w:vMerge w:val="restart"/>
            <w:vAlign w:val="center"/>
          </w:tcPr>
          <w:p>
            <w:pPr>
              <w:pStyle w:val="8"/>
              <w:ind w:firstLine="0" w:firstLineChars="0"/>
            </w:pPr>
            <w:r>
              <w:rPr>
                <w:rFonts w:hint="eastAsia"/>
              </w:rPr>
              <w:t>粪污不外排，不设废水排放口。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ind w:firstLine="0" w:firstLineChars="0"/>
              <w:rPr>
                <w:highlight w:val="yellow"/>
              </w:rPr>
            </w:pPr>
          </w:p>
        </w:tc>
        <w:tc>
          <w:tcPr>
            <w:tcW w:w="1556" w:type="dxa"/>
            <w:gridSpan w:val="2"/>
            <w:vAlign w:val="center"/>
          </w:tcPr>
          <w:p>
            <w:pPr>
              <w:pStyle w:val="8"/>
              <w:ind w:firstLine="0" w:firstLineChars="0"/>
            </w:pPr>
            <w:r>
              <w:rPr>
                <w:rFonts w:hint="eastAsia"/>
              </w:rPr>
              <w:t>办公生活区生活污水</w:t>
            </w:r>
          </w:p>
        </w:tc>
        <w:tc>
          <w:tcPr>
            <w:tcW w:w="2081" w:type="dxa"/>
            <w:vMerge w:val="continue"/>
            <w:vAlign w:val="center"/>
          </w:tcPr>
          <w:p>
            <w:pPr>
              <w:pStyle w:val="8"/>
              <w:ind w:firstLine="0" w:firstLineChars="0"/>
            </w:pPr>
          </w:p>
        </w:tc>
        <w:tc>
          <w:tcPr>
            <w:tcW w:w="1317" w:type="dxa"/>
            <w:vMerge w:val="continue"/>
            <w:vAlign w:val="center"/>
          </w:tcPr>
          <w:p>
            <w:pPr>
              <w:pStyle w:val="8"/>
              <w:ind w:firstLine="0" w:firstLineChars="0"/>
            </w:pPr>
          </w:p>
        </w:tc>
        <w:tc>
          <w:tcPr>
            <w:tcW w:w="1165" w:type="dxa"/>
            <w:vMerge w:val="continue"/>
            <w:vAlign w:val="center"/>
          </w:tcPr>
          <w:p>
            <w:pPr>
              <w:pStyle w:val="8"/>
              <w:ind w:firstLine="0" w:firstLineChars="0"/>
            </w:pPr>
          </w:p>
        </w:tc>
        <w:tc>
          <w:tcPr>
            <w:tcW w:w="2117" w:type="dxa"/>
            <w:vMerge w:val="continue"/>
            <w:vAlign w:val="center"/>
          </w:tcPr>
          <w:p>
            <w:pPr>
              <w:pStyle w:val="8"/>
              <w:ind w:firstLine="0" w:firstLineChars="0"/>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572" w:type="dxa"/>
            <w:vMerge w:val="restart"/>
            <w:vAlign w:val="center"/>
          </w:tcPr>
          <w:p>
            <w:pPr>
              <w:pStyle w:val="8"/>
              <w:ind w:firstLine="0" w:firstLineChars="0"/>
            </w:pPr>
            <w:r>
              <w:rPr>
                <w:rFonts w:hint="eastAsia"/>
              </w:rPr>
              <w:t>地下水污</w:t>
            </w:r>
          </w:p>
          <w:p>
            <w:pPr>
              <w:pStyle w:val="8"/>
              <w:ind w:firstLine="0" w:firstLineChars="0"/>
            </w:pPr>
            <w:r>
              <w:rPr>
                <w:rFonts w:hint="eastAsia"/>
              </w:rPr>
              <w:t>染防治</w:t>
            </w:r>
          </w:p>
        </w:tc>
        <w:tc>
          <w:tcPr>
            <w:tcW w:w="1556" w:type="dxa"/>
            <w:gridSpan w:val="2"/>
            <w:vMerge w:val="restart"/>
            <w:vAlign w:val="center"/>
          </w:tcPr>
          <w:p>
            <w:pPr>
              <w:pStyle w:val="8"/>
              <w:ind w:firstLine="0" w:firstLineChars="0"/>
            </w:pPr>
            <w:r>
              <w:rPr>
                <w:rFonts w:hint="eastAsia"/>
              </w:rPr>
              <w:t>集污池、异位发酵床车间</w:t>
            </w:r>
          </w:p>
        </w:tc>
        <w:tc>
          <w:tcPr>
            <w:tcW w:w="2081" w:type="dxa"/>
            <w:vAlign w:val="center"/>
          </w:tcPr>
          <w:p>
            <w:pPr>
              <w:pStyle w:val="8"/>
              <w:ind w:firstLine="0" w:firstLineChars="0"/>
            </w:pPr>
            <w:r>
              <w:rPr>
                <w:rFonts w:hint="eastAsia"/>
              </w:rPr>
              <w:t>猪舍集污池和堆粪棚、发酵床车间、冷冻库等采用混凝土防渗处理，分区防渗等</w:t>
            </w:r>
          </w:p>
        </w:tc>
        <w:tc>
          <w:tcPr>
            <w:tcW w:w="1317" w:type="dxa"/>
            <w:vAlign w:val="center"/>
          </w:tcPr>
          <w:p>
            <w:pPr>
              <w:pStyle w:val="8"/>
              <w:ind w:firstLine="0" w:firstLineChars="0"/>
            </w:pPr>
            <w:r>
              <w:rPr>
                <w:rFonts w:hint="eastAsia"/>
              </w:rPr>
              <w:t>一般防渗区</w:t>
            </w:r>
          </w:p>
        </w:tc>
        <w:tc>
          <w:tcPr>
            <w:tcW w:w="1165" w:type="dxa"/>
            <w:vAlign w:val="center"/>
          </w:tcPr>
          <w:p>
            <w:pPr>
              <w:pStyle w:val="8"/>
              <w:ind w:firstLine="0" w:firstLineChars="0"/>
            </w:pPr>
            <w:r>
              <w:rPr>
                <w:rFonts w:hint="eastAsia"/>
              </w:rPr>
              <w:t>检查与查验</w:t>
            </w:r>
          </w:p>
        </w:tc>
        <w:tc>
          <w:tcPr>
            <w:tcW w:w="2117" w:type="dxa"/>
            <w:vAlign w:val="center"/>
          </w:tcPr>
          <w:p>
            <w:pPr>
              <w:pStyle w:val="8"/>
              <w:ind w:firstLine="0" w:firstLineChars="0"/>
            </w:pPr>
            <w:r>
              <w:rPr>
                <w:rFonts w:hint="eastAsia"/>
              </w:rPr>
              <w:t>渗透系数小于</w:t>
            </w:r>
            <w:r>
              <w:t>1×10</w:t>
            </w:r>
            <w:r>
              <w:rPr>
                <w:vertAlign w:val="superscript"/>
              </w:rPr>
              <w:t>-7</w:t>
            </w:r>
            <w: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ind w:firstLine="0" w:firstLineChars="0"/>
            </w:pPr>
          </w:p>
        </w:tc>
        <w:tc>
          <w:tcPr>
            <w:tcW w:w="1556" w:type="dxa"/>
            <w:gridSpan w:val="2"/>
            <w:vMerge w:val="continue"/>
            <w:vAlign w:val="center"/>
          </w:tcPr>
          <w:p>
            <w:pPr>
              <w:ind w:firstLine="0" w:firstLineChars="0"/>
            </w:pPr>
          </w:p>
        </w:tc>
        <w:tc>
          <w:tcPr>
            <w:tcW w:w="2081" w:type="dxa"/>
            <w:vAlign w:val="center"/>
          </w:tcPr>
          <w:p>
            <w:pPr>
              <w:pStyle w:val="8"/>
              <w:ind w:firstLine="0" w:firstLineChars="0"/>
            </w:pPr>
            <w:r>
              <w:rPr>
                <w:rFonts w:hint="eastAsia"/>
              </w:rPr>
              <w:t>监测井监控</w:t>
            </w:r>
          </w:p>
        </w:tc>
        <w:tc>
          <w:tcPr>
            <w:tcW w:w="1317" w:type="dxa"/>
            <w:vAlign w:val="center"/>
          </w:tcPr>
          <w:p>
            <w:pPr>
              <w:pStyle w:val="8"/>
              <w:ind w:firstLine="0" w:firstLineChars="0"/>
            </w:pPr>
            <w:r>
              <w:rPr>
                <w:rFonts w:hint="eastAsia"/>
              </w:rPr>
              <w:t>设置1个地下水监测井</w:t>
            </w:r>
          </w:p>
        </w:tc>
        <w:tc>
          <w:tcPr>
            <w:tcW w:w="1165" w:type="dxa"/>
            <w:vAlign w:val="center"/>
          </w:tcPr>
          <w:p>
            <w:pPr>
              <w:pStyle w:val="8"/>
              <w:ind w:firstLine="0" w:firstLineChars="0"/>
            </w:pPr>
            <w:r>
              <w:rPr>
                <w:rFonts w:hint="eastAsia"/>
              </w:rPr>
              <w:t>pH、耗氧量、氨氮、硫酸盐、氯化物、硝酸盐、亚硝酸盐、细菌总数、铁、锰、硫化物</w:t>
            </w:r>
          </w:p>
        </w:tc>
        <w:tc>
          <w:tcPr>
            <w:tcW w:w="2117" w:type="dxa"/>
            <w:vAlign w:val="center"/>
          </w:tcPr>
          <w:p>
            <w:pPr>
              <w:pStyle w:val="8"/>
              <w:ind w:firstLine="0" w:firstLineChars="0"/>
            </w:pPr>
            <w:r>
              <w:rPr>
                <w:rFonts w:hint="eastAsia"/>
              </w:rPr>
              <w:t>开展地下水跟踪监测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Merge w:val="restart"/>
            <w:vAlign w:val="center"/>
          </w:tcPr>
          <w:p>
            <w:pPr>
              <w:pStyle w:val="8"/>
              <w:ind w:firstLine="0" w:firstLineChars="0"/>
            </w:pPr>
            <w:r>
              <w:rPr>
                <w:rFonts w:hint="eastAsia"/>
              </w:rPr>
              <w:t>固废</w:t>
            </w:r>
          </w:p>
        </w:tc>
        <w:tc>
          <w:tcPr>
            <w:tcW w:w="588" w:type="dxa"/>
            <w:vAlign w:val="center"/>
          </w:tcPr>
          <w:p>
            <w:pPr>
              <w:pStyle w:val="8"/>
              <w:ind w:firstLine="0" w:firstLineChars="0"/>
            </w:pPr>
            <w:r>
              <w:rPr>
                <w:rFonts w:hint="eastAsia"/>
              </w:rPr>
              <w:t>生活区</w:t>
            </w:r>
          </w:p>
        </w:tc>
        <w:tc>
          <w:tcPr>
            <w:tcW w:w="968" w:type="dxa"/>
            <w:vAlign w:val="center"/>
          </w:tcPr>
          <w:p>
            <w:pPr>
              <w:pStyle w:val="8"/>
              <w:ind w:firstLine="0" w:firstLineChars="0"/>
            </w:pPr>
            <w:r>
              <w:rPr>
                <w:rFonts w:hint="eastAsia"/>
              </w:rPr>
              <w:t>生活垃圾</w:t>
            </w:r>
          </w:p>
        </w:tc>
        <w:tc>
          <w:tcPr>
            <w:tcW w:w="2081" w:type="dxa"/>
            <w:vAlign w:val="center"/>
          </w:tcPr>
          <w:p>
            <w:pPr>
              <w:pStyle w:val="8"/>
              <w:ind w:firstLine="0" w:firstLineChars="0"/>
            </w:pPr>
            <w:r>
              <w:rPr>
                <w:rFonts w:hint="eastAsia"/>
              </w:rPr>
              <w:t>垃圾箱收集统一运至附近垃圾中转站，进入当地农村生活垃圾收集系统</w:t>
            </w:r>
          </w:p>
        </w:tc>
        <w:tc>
          <w:tcPr>
            <w:tcW w:w="1317" w:type="dxa"/>
            <w:vAlign w:val="center"/>
          </w:tcPr>
          <w:p>
            <w:pPr>
              <w:pStyle w:val="8"/>
              <w:ind w:firstLine="0" w:firstLineChars="0"/>
            </w:pPr>
            <w:r>
              <w:rPr>
                <w:rFonts w:hint="eastAsia"/>
              </w:rPr>
              <w:t>临时储运设备</w:t>
            </w:r>
          </w:p>
        </w:tc>
        <w:tc>
          <w:tcPr>
            <w:tcW w:w="1165" w:type="dxa"/>
            <w:vAlign w:val="center"/>
          </w:tcPr>
          <w:p>
            <w:pPr>
              <w:pStyle w:val="8"/>
              <w:ind w:firstLine="0" w:firstLineChars="0"/>
            </w:pPr>
            <w:r>
              <w:rPr>
                <w:rFonts w:hint="eastAsia"/>
              </w:rPr>
              <w:t>检查与查验</w:t>
            </w:r>
          </w:p>
        </w:tc>
        <w:tc>
          <w:tcPr>
            <w:tcW w:w="2117" w:type="dxa"/>
            <w:vAlign w:val="center"/>
          </w:tcPr>
          <w:p>
            <w:pPr>
              <w:pStyle w:val="8"/>
              <w:ind w:firstLine="0" w:firstLineChars="0"/>
            </w:pPr>
            <w:r>
              <w:rPr>
                <w:rFonts w:hint="eastAsia"/>
              </w:rPr>
              <w:t>《生活垃圾填埋场污染物控制标准》（</w:t>
            </w:r>
            <w:r>
              <w:t>GB16889-2008</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ind w:firstLine="0" w:firstLineChars="0"/>
              <w:rPr>
                <w:highlight w:val="yellow"/>
              </w:rPr>
            </w:pPr>
          </w:p>
        </w:tc>
        <w:tc>
          <w:tcPr>
            <w:tcW w:w="588" w:type="dxa"/>
            <w:vMerge w:val="restart"/>
            <w:vAlign w:val="center"/>
          </w:tcPr>
          <w:p>
            <w:pPr>
              <w:pStyle w:val="8"/>
              <w:ind w:firstLine="0" w:firstLineChars="0"/>
            </w:pPr>
            <w:r>
              <w:rPr>
                <w:rFonts w:hint="eastAsia"/>
              </w:rPr>
              <w:t>养殖区</w:t>
            </w:r>
          </w:p>
        </w:tc>
        <w:tc>
          <w:tcPr>
            <w:tcW w:w="968" w:type="dxa"/>
            <w:vAlign w:val="center"/>
          </w:tcPr>
          <w:p>
            <w:pPr>
              <w:pStyle w:val="8"/>
              <w:ind w:firstLine="0" w:firstLineChars="0"/>
            </w:pPr>
            <w:r>
              <w:rPr>
                <w:rFonts w:hint="eastAsia"/>
              </w:rPr>
              <w:t>病死猪、分娩废物</w:t>
            </w:r>
          </w:p>
        </w:tc>
        <w:tc>
          <w:tcPr>
            <w:tcW w:w="2081" w:type="dxa"/>
            <w:vAlign w:val="center"/>
          </w:tcPr>
          <w:p>
            <w:pPr>
              <w:pStyle w:val="8"/>
              <w:ind w:firstLine="0" w:firstLineChars="0"/>
              <w:rPr>
                <w:highlight w:val="yellow"/>
              </w:rPr>
            </w:pPr>
            <w:r>
              <w:rPr>
                <w:rFonts w:hint="eastAsia"/>
              </w:rPr>
              <w:t>冷冻库暂存，面积为75m</w:t>
            </w:r>
            <w:r>
              <w:rPr>
                <w:rFonts w:hint="eastAsia"/>
                <w:vertAlign w:val="superscript"/>
              </w:rPr>
              <w:t>3</w:t>
            </w:r>
            <w:r>
              <w:rPr>
                <w:rFonts w:hint="eastAsia"/>
              </w:rPr>
              <w:t>，冷库下设消毒池</w:t>
            </w:r>
          </w:p>
        </w:tc>
        <w:tc>
          <w:tcPr>
            <w:tcW w:w="2482" w:type="dxa"/>
            <w:gridSpan w:val="2"/>
            <w:vAlign w:val="center"/>
          </w:tcPr>
          <w:p>
            <w:pPr>
              <w:pStyle w:val="8"/>
              <w:ind w:firstLine="0" w:firstLineChars="0"/>
            </w:pPr>
            <w:r>
              <w:rPr>
                <w:rFonts w:hint="eastAsia"/>
              </w:rPr>
              <w:t>定期运往澧县病死畜禽无害化集中处理收集中心，现场查验台帐</w:t>
            </w:r>
          </w:p>
        </w:tc>
        <w:tc>
          <w:tcPr>
            <w:tcW w:w="2117" w:type="dxa"/>
            <w:vAlign w:val="center"/>
          </w:tcPr>
          <w:p>
            <w:pPr>
              <w:pStyle w:val="8"/>
              <w:ind w:firstLine="0" w:firstLineChars="0"/>
            </w:pPr>
            <w:r>
              <w:rPr>
                <w:rFonts w:hint="eastAsia"/>
              </w:rPr>
              <w:t>《畜禽养殖业污染防治技术规范》（</w:t>
            </w:r>
            <w:r>
              <w:t>HJ/T81-2001</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572" w:type="dxa"/>
            <w:vMerge w:val="continue"/>
            <w:vAlign w:val="center"/>
          </w:tcPr>
          <w:p>
            <w:pPr>
              <w:pStyle w:val="8"/>
              <w:ind w:firstLine="0" w:firstLineChars="0"/>
              <w:rPr>
                <w:highlight w:val="yellow"/>
              </w:rPr>
            </w:pPr>
          </w:p>
        </w:tc>
        <w:tc>
          <w:tcPr>
            <w:tcW w:w="588" w:type="dxa"/>
            <w:vMerge w:val="continue"/>
            <w:vAlign w:val="center"/>
          </w:tcPr>
          <w:p>
            <w:pPr>
              <w:pStyle w:val="8"/>
              <w:ind w:firstLine="0" w:firstLineChars="0"/>
              <w:rPr>
                <w:highlight w:val="yellow"/>
              </w:rPr>
            </w:pPr>
          </w:p>
        </w:tc>
        <w:tc>
          <w:tcPr>
            <w:tcW w:w="968" w:type="dxa"/>
            <w:vAlign w:val="center"/>
          </w:tcPr>
          <w:p>
            <w:pPr>
              <w:pStyle w:val="8"/>
              <w:ind w:firstLine="0" w:firstLineChars="0"/>
            </w:pPr>
            <w:r>
              <w:rPr>
                <w:rFonts w:hint="eastAsia"/>
              </w:rPr>
              <w:t>猪舍废弃垫料</w:t>
            </w:r>
          </w:p>
        </w:tc>
        <w:tc>
          <w:tcPr>
            <w:tcW w:w="2081" w:type="dxa"/>
            <w:vAlign w:val="center"/>
          </w:tcPr>
          <w:p>
            <w:pPr>
              <w:pStyle w:val="8"/>
              <w:ind w:firstLine="0" w:firstLineChars="0"/>
            </w:pPr>
            <w:r>
              <w:rPr>
                <w:rFonts w:hint="eastAsia"/>
              </w:rPr>
              <w:t>发酵床处理</w:t>
            </w:r>
          </w:p>
        </w:tc>
        <w:tc>
          <w:tcPr>
            <w:tcW w:w="1317" w:type="dxa"/>
            <w:vAlign w:val="center"/>
          </w:tcPr>
          <w:p>
            <w:pPr>
              <w:pStyle w:val="8"/>
              <w:ind w:firstLine="0" w:firstLineChars="0"/>
            </w:pPr>
            <w:r>
              <w:rPr>
                <w:rFonts w:hint="eastAsia"/>
              </w:rPr>
              <w:t>/</w:t>
            </w:r>
          </w:p>
        </w:tc>
        <w:tc>
          <w:tcPr>
            <w:tcW w:w="1165" w:type="dxa"/>
            <w:vAlign w:val="center"/>
          </w:tcPr>
          <w:p>
            <w:pPr>
              <w:pStyle w:val="8"/>
              <w:ind w:firstLine="0" w:firstLineChars="0"/>
            </w:pPr>
            <w:r>
              <w:rPr>
                <w:rFonts w:hint="eastAsia"/>
              </w:rPr>
              <w:t>/</w:t>
            </w:r>
          </w:p>
        </w:tc>
        <w:tc>
          <w:tcPr>
            <w:tcW w:w="2117" w:type="dxa"/>
            <w:vAlign w:val="center"/>
          </w:tcPr>
          <w:p>
            <w:pPr>
              <w:pStyle w:val="8"/>
              <w:ind w:firstLine="0" w:firstLineChars="0"/>
            </w:pPr>
            <w:r>
              <w:rPr>
                <w:rFonts w:hint="eastAsia"/>
              </w:rPr>
              <w:t>发酵床垫料作为有机肥料外售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Merge w:val="continue"/>
            <w:vAlign w:val="center"/>
          </w:tcPr>
          <w:p>
            <w:pPr>
              <w:pStyle w:val="8"/>
              <w:ind w:firstLine="0" w:firstLineChars="0"/>
              <w:rPr>
                <w:highlight w:val="yellow"/>
              </w:rPr>
            </w:pPr>
          </w:p>
        </w:tc>
        <w:tc>
          <w:tcPr>
            <w:tcW w:w="588" w:type="dxa"/>
            <w:vMerge w:val="continue"/>
            <w:vAlign w:val="center"/>
          </w:tcPr>
          <w:p>
            <w:pPr>
              <w:pStyle w:val="8"/>
              <w:ind w:firstLine="0" w:firstLineChars="0"/>
              <w:rPr>
                <w:highlight w:val="yellow"/>
              </w:rPr>
            </w:pPr>
          </w:p>
        </w:tc>
        <w:tc>
          <w:tcPr>
            <w:tcW w:w="968" w:type="dxa"/>
            <w:vAlign w:val="center"/>
          </w:tcPr>
          <w:p>
            <w:pPr>
              <w:pStyle w:val="8"/>
              <w:ind w:firstLine="0" w:firstLineChars="0"/>
            </w:pPr>
            <w:r>
              <w:rPr>
                <w:rFonts w:hint="eastAsia"/>
              </w:rPr>
              <w:t>医疗垃圾</w:t>
            </w:r>
          </w:p>
        </w:tc>
        <w:tc>
          <w:tcPr>
            <w:tcW w:w="2081" w:type="dxa"/>
            <w:vAlign w:val="center"/>
          </w:tcPr>
          <w:p>
            <w:pPr>
              <w:pStyle w:val="8"/>
              <w:ind w:firstLine="0" w:firstLineChars="0"/>
            </w:pPr>
            <w:r>
              <w:rPr>
                <w:rFonts w:hint="eastAsia"/>
              </w:rPr>
              <w:t>委托有资质的单位处理</w:t>
            </w:r>
          </w:p>
        </w:tc>
        <w:tc>
          <w:tcPr>
            <w:tcW w:w="1317" w:type="dxa"/>
            <w:vAlign w:val="center"/>
          </w:tcPr>
          <w:p>
            <w:pPr>
              <w:pStyle w:val="8"/>
              <w:ind w:firstLine="0" w:firstLineChars="0"/>
            </w:pPr>
            <w:r>
              <w:rPr>
                <w:rFonts w:hint="eastAsia"/>
              </w:rPr>
              <w:t>暂存间</w:t>
            </w:r>
          </w:p>
        </w:tc>
        <w:tc>
          <w:tcPr>
            <w:tcW w:w="1165" w:type="dxa"/>
            <w:vAlign w:val="center"/>
          </w:tcPr>
          <w:p>
            <w:pPr>
              <w:pStyle w:val="8"/>
              <w:ind w:firstLine="0" w:firstLineChars="0"/>
            </w:pPr>
            <w:r>
              <w:rPr>
                <w:rFonts w:hint="eastAsia"/>
              </w:rPr>
              <w:t>现场查验</w:t>
            </w:r>
          </w:p>
        </w:tc>
        <w:tc>
          <w:tcPr>
            <w:tcW w:w="2117" w:type="dxa"/>
            <w:vAlign w:val="center"/>
          </w:tcPr>
          <w:p>
            <w:pPr>
              <w:pStyle w:val="8"/>
              <w:ind w:firstLine="0" w:firstLineChars="0"/>
            </w:pPr>
            <w:r>
              <w:rPr>
                <w:rFonts w:hint="eastAsia"/>
              </w:rPr>
              <w:t>《危险废物贮存污染控制标准》（</w:t>
            </w:r>
            <w:r>
              <w:t>GB18597-2001</w:t>
            </w:r>
            <w:r>
              <w:rPr>
                <w:rFonts w:hint="eastAsia"/>
              </w:rPr>
              <w:t>）及</w:t>
            </w:r>
            <w:r>
              <w:t>2013</w:t>
            </w:r>
            <w:r>
              <w:rPr>
                <w:rFonts w:hint="eastAsia"/>
              </w:rPr>
              <w:t>年修订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Align w:val="center"/>
          </w:tcPr>
          <w:p>
            <w:pPr>
              <w:pStyle w:val="8"/>
              <w:ind w:firstLine="0" w:firstLineChars="0"/>
            </w:pPr>
            <w:r>
              <w:rPr>
                <w:rFonts w:hint="eastAsia"/>
              </w:rPr>
              <w:t>噪声</w:t>
            </w:r>
          </w:p>
        </w:tc>
        <w:tc>
          <w:tcPr>
            <w:tcW w:w="1556" w:type="dxa"/>
            <w:gridSpan w:val="2"/>
            <w:vAlign w:val="center"/>
          </w:tcPr>
          <w:p>
            <w:pPr>
              <w:pStyle w:val="8"/>
              <w:ind w:firstLine="0" w:firstLineChars="0"/>
            </w:pPr>
            <w:r>
              <w:rPr>
                <w:rFonts w:hint="eastAsia"/>
              </w:rPr>
              <w:t>粪污处理设备、水泵、风机等设备</w:t>
            </w:r>
          </w:p>
        </w:tc>
        <w:tc>
          <w:tcPr>
            <w:tcW w:w="2081" w:type="dxa"/>
            <w:vAlign w:val="center"/>
          </w:tcPr>
          <w:p>
            <w:pPr>
              <w:pStyle w:val="8"/>
              <w:ind w:firstLine="0" w:firstLineChars="0"/>
            </w:pPr>
            <w:r>
              <w:rPr>
                <w:rFonts w:hint="eastAsia"/>
              </w:rPr>
              <w:t>减振垫、隔声、厂界绿化</w:t>
            </w:r>
          </w:p>
        </w:tc>
        <w:tc>
          <w:tcPr>
            <w:tcW w:w="1317" w:type="dxa"/>
            <w:vAlign w:val="center"/>
          </w:tcPr>
          <w:p>
            <w:pPr>
              <w:pStyle w:val="8"/>
              <w:ind w:firstLine="0" w:firstLineChars="0"/>
            </w:pPr>
            <w:r>
              <w:rPr>
                <w:rFonts w:hint="eastAsia"/>
              </w:rPr>
              <w:t>项目养殖区厂界四周</w:t>
            </w:r>
          </w:p>
        </w:tc>
        <w:tc>
          <w:tcPr>
            <w:tcW w:w="1165" w:type="dxa"/>
            <w:vAlign w:val="center"/>
          </w:tcPr>
          <w:p>
            <w:pPr>
              <w:pStyle w:val="8"/>
              <w:ind w:firstLine="0" w:firstLineChars="0"/>
            </w:pPr>
            <w:r>
              <w:t>Leq(A)</w:t>
            </w:r>
          </w:p>
        </w:tc>
        <w:tc>
          <w:tcPr>
            <w:tcW w:w="2117" w:type="dxa"/>
            <w:vAlign w:val="center"/>
          </w:tcPr>
          <w:p>
            <w:pPr>
              <w:pStyle w:val="8"/>
              <w:ind w:firstLine="0" w:firstLineChars="0"/>
            </w:pPr>
            <w:r>
              <w:rPr>
                <w:rFonts w:hint="eastAsia"/>
              </w:rPr>
              <w:t>《工业企业厂界环境噪声排放标准》</w:t>
            </w:r>
            <w:r>
              <w:t>(GB12348-2008)2</w:t>
            </w:r>
            <w:r>
              <w:rPr>
                <w:rFonts w:hint="eastAsia"/>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Align w:val="center"/>
          </w:tcPr>
          <w:p>
            <w:pPr>
              <w:pStyle w:val="8"/>
              <w:ind w:firstLine="0" w:firstLineChars="0"/>
            </w:pPr>
            <w:r>
              <w:rPr>
                <w:rFonts w:hint="eastAsia"/>
              </w:rPr>
              <w:t>生态</w:t>
            </w:r>
          </w:p>
        </w:tc>
        <w:tc>
          <w:tcPr>
            <w:tcW w:w="588" w:type="dxa"/>
            <w:vAlign w:val="center"/>
          </w:tcPr>
          <w:p>
            <w:pPr>
              <w:pStyle w:val="8"/>
              <w:ind w:firstLine="0" w:firstLineChars="0"/>
            </w:pPr>
            <w:r>
              <w:rPr>
                <w:rFonts w:hint="eastAsia"/>
              </w:rPr>
              <w:t>养殖区</w:t>
            </w:r>
          </w:p>
        </w:tc>
        <w:tc>
          <w:tcPr>
            <w:tcW w:w="968" w:type="dxa"/>
            <w:vAlign w:val="center"/>
          </w:tcPr>
          <w:p>
            <w:pPr>
              <w:pStyle w:val="8"/>
              <w:ind w:firstLine="0" w:firstLineChars="0"/>
            </w:pPr>
            <w:r>
              <w:rPr>
                <w:rFonts w:hint="eastAsia"/>
              </w:rPr>
              <w:t>扬尘、噪声、恶臭</w:t>
            </w:r>
          </w:p>
        </w:tc>
        <w:tc>
          <w:tcPr>
            <w:tcW w:w="2081" w:type="dxa"/>
            <w:vAlign w:val="center"/>
          </w:tcPr>
          <w:p>
            <w:pPr>
              <w:pStyle w:val="8"/>
              <w:ind w:firstLine="0" w:firstLineChars="0"/>
            </w:pPr>
            <w:r>
              <w:rPr>
                <w:rFonts w:hint="eastAsia"/>
              </w:rPr>
              <w:t>场区内及厂界植树、防护林</w:t>
            </w:r>
          </w:p>
        </w:tc>
        <w:tc>
          <w:tcPr>
            <w:tcW w:w="1317" w:type="dxa"/>
            <w:vAlign w:val="center"/>
          </w:tcPr>
          <w:p>
            <w:pPr>
              <w:pStyle w:val="8"/>
              <w:ind w:firstLine="0" w:firstLineChars="0"/>
            </w:pPr>
            <w:r>
              <w:rPr>
                <w:rFonts w:hint="eastAsia"/>
              </w:rPr>
              <w:t>/</w:t>
            </w:r>
          </w:p>
        </w:tc>
        <w:tc>
          <w:tcPr>
            <w:tcW w:w="1165" w:type="dxa"/>
            <w:vAlign w:val="center"/>
          </w:tcPr>
          <w:p>
            <w:pPr>
              <w:pStyle w:val="8"/>
              <w:ind w:firstLine="0" w:firstLineChars="0"/>
            </w:pPr>
            <w:r>
              <w:rPr>
                <w:rFonts w:hint="eastAsia"/>
              </w:rPr>
              <w:t>/</w:t>
            </w:r>
          </w:p>
        </w:tc>
        <w:tc>
          <w:tcPr>
            <w:tcW w:w="2117" w:type="dxa"/>
            <w:vAlign w:val="center"/>
          </w:tcPr>
          <w:p>
            <w:pPr>
              <w:pStyle w:val="8"/>
              <w:ind w:firstLine="0" w:firstLineChars="0"/>
            </w:pPr>
            <w:r>
              <w:rPr>
                <w:rFonts w:hint="eastAsia"/>
              </w:rPr>
              <w:t>绿化面积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572" w:type="dxa"/>
            <w:vAlign w:val="center"/>
          </w:tcPr>
          <w:p>
            <w:pPr>
              <w:pStyle w:val="8"/>
              <w:ind w:firstLine="0" w:firstLineChars="0"/>
            </w:pPr>
            <w:r>
              <w:rPr>
                <w:rFonts w:hint="eastAsia"/>
              </w:rPr>
              <w:t>环境风险</w:t>
            </w:r>
          </w:p>
        </w:tc>
        <w:tc>
          <w:tcPr>
            <w:tcW w:w="588" w:type="dxa"/>
            <w:vAlign w:val="center"/>
          </w:tcPr>
          <w:p>
            <w:pPr>
              <w:pStyle w:val="8"/>
              <w:ind w:firstLine="0" w:firstLineChars="0"/>
            </w:pPr>
            <w:r>
              <w:rPr>
                <w:rFonts w:hint="eastAsia"/>
              </w:rPr>
              <w:t>养殖区</w:t>
            </w:r>
          </w:p>
        </w:tc>
        <w:tc>
          <w:tcPr>
            <w:tcW w:w="968" w:type="dxa"/>
            <w:vAlign w:val="center"/>
          </w:tcPr>
          <w:p>
            <w:pPr>
              <w:pStyle w:val="8"/>
              <w:ind w:firstLine="0" w:firstLineChars="0"/>
            </w:pPr>
            <w:r>
              <w:rPr>
                <w:rFonts w:hint="eastAsia"/>
              </w:rPr>
              <w:t>发酵床发生设施故障时</w:t>
            </w:r>
          </w:p>
        </w:tc>
        <w:tc>
          <w:tcPr>
            <w:tcW w:w="2081" w:type="dxa"/>
            <w:vAlign w:val="center"/>
          </w:tcPr>
          <w:p>
            <w:pPr>
              <w:pStyle w:val="8"/>
              <w:ind w:firstLine="0" w:firstLineChars="0"/>
            </w:pPr>
            <w:r>
              <w:rPr>
                <w:rFonts w:hint="eastAsia"/>
              </w:rPr>
              <w:t>加强管理，制定应急预案</w:t>
            </w:r>
          </w:p>
        </w:tc>
        <w:tc>
          <w:tcPr>
            <w:tcW w:w="1317" w:type="dxa"/>
            <w:vAlign w:val="center"/>
          </w:tcPr>
          <w:p>
            <w:pPr>
              <w:pStyle w:val="8"/>
              <w:ind w:firstLine="0" w:firstLineChars="0"/>
            </w:pPr>
            <w:r>
              <w:rPr>
                <w:rFonts w:hint="eastAsia"/>
              </w:rPr>
              <w:t>/</w:t>
            </w:r>
          </w:p>
        </w:tc>
        <w:tc>
          <w:tcPr>
            <w:tcW w:w="1165" w:type="dxa"/>
            <w:vAlign w:val="center"/>
          </w:tcPr>
          <w:p>
            <w:pPr>
              <w:pStyle w:val="8"/>
              <w:ind w:firstLine="0" w:firstLineChars="0"/>
            </w:pPr>
            <w:r>
              <w:rPr>
                <w:rFonts w:hint="eastAsia"/>
              </w:rPr>
              <w:t>/</w:t>
            </w:r>
          </w:p>
        </w:tc>
        <w:tc>
          <w:tcPr>
            <w:tcW w:w="2117" w:type="dxa"/>
            <w:vAlign w:val="center"/>
          </w:tcPr>
          <w:p>
            <w:pPr>
              <w:pStyle w:val="8"/>
              <w:ind w:firstLine="0" w:firstLineChars="0"/>
            </w:pPr>
            <w:r>
              <w:rPr>
                <w:rFonts w:hint="eastAsia"/>
              </w:rPr>
              <w:t>/</w:t>
            </w:r>
          </w:p>
        </w:tc>
      </w:tr>
    </w:tbl>
    <w:p>
      <w:pPr>
        <w:pStyle w:val="2"/>
      </w:pPr>
      <w:r>
        <w:rPr>
          <w:highlight w:val="yellow"/>
        </w:rPr>
        <w:br w:type="page"/>
      </w:r>
      <w:bookmarkStart w:id="540" w:name="_Toc22500"/>
      <w:r>
        <w:t>第八章</w:t>
      </w:r>
      <w:r>
        <w:rPr>
          <w:rFonts w:hint="eastAsia"/>
        </w:rPr>
        <w:t xml:space="preserve">  </w:t>
      </w:r>
      <w:r>
        <w:t>项目可行性分析</w:t>
      </w:r>
      <w:bookmarkEnd w:id="540"/>
    </w:p>
    <w:p>
      <w:pPr>
        <w:pStyle w:val="4"/>
        <w:spacing w:before="62" w:after="62"/>
      </w:pPr>
      <w:bookmarkStart w:id="541" w:name="_Toc6578"/>
      <w:r>
        <w:rPr>
          <w:rFonts w:hint="eastAsia"/>
        </w:rPr>
        <w:t>8.1</w:t>
      </w:r>
      <w:r>
        <w:t>相关政策符合性分析</w:t>
      </w:r>
      <w:bookmarkEnd w:id="541"/>
    </w:p>
    <w:p>
      <w:pPr>
        <w:pStyle w:val="5"/>
        <w:spacing w:before="62" w:after="62"/>
      </w:pPr>
      <w:r>
        <w:rPr>
          <w:rFonts w:hint="eastAsia"/>
        </w:rPr>
        <w:t>8.1.1产业政策的符合性分析</w:t>
      </w:r>
    </w:p>
    <w:p>
      <w:pPr>
        <w:ind w:firstLine="480"/>
      </w:pPr>
      <w:r>
        <w:rPr>
          <w:rFonts w:hint="eastAsia"/>
        </w:rPr>
        <w:t>本项目属于《国民经济行业分类》（</w:t>
      </w:r>
      <w:r>
        <w:t>GBT4754-2017</w:t>
      </w:r>
      <w:r>
        <w:rPr>
          <w:rFonts w:hint="eastAsia"/>
        </w:rPr>
        <w:t>）中的“</w:t>
      </w:r>
      <w:r>
        <w:t>A0313</w:t>
      </w:r>
      <w:r>
        <w:rPr>
          <w:rFonts w:hint="eastAsia"/>
        </w:rPr>
        <w:t>猪的饲养”，根据</w:t>
      </w:r>
      <w:r>
        <w:rPr>
          <w:szCs w:val="20"/>
        </w:rPr>
        <w:t>《产业结构调整指导目录（201</w:t>
      </w:r>
      <w:r>
        <w:rPr>
          <w:rFonts w:hint="eastAsia"/>
          <w:szCs w:val="20"/>
        </w:rPr>
        <w:t>9</w:t>
      </w:r>
      <w:r>
        <w:rPr>
          <w:szCs w:val="20"/>
        </w:rPr>
        <w:t>年本）》</w:t>
      </w:r>
      <w:r>
        <w:rPr>
          <w:rFonts w:hint="eastAsia"/>
        </w:rPr>
        <w:t>，本项目不属于该目录中的鼓励类、限制类和淘汰类，因此，本项目属于允许类项目。</w:t>
      </w:r>
    </w:p>
    <w:p>
      <w:pPr>
        <w:pStyle w:val="5"/>
        <w:spacing w:before="62" w:after="62"/>
      </w:pPr>
      <w:r>
        <w:rPr>
          <w:rFonts w:hint="eastAsia"/>
        </w:rPr>
        <w:t>8.1.2与畜牧养殖业相关政策符合性分析</w:t>
      </w:r>
    </w:p>
    <w:p>
      <w:pPr>
        <w:ind w:firstLine="480"/>
      </w:pPr>
      <w:r>
        <w:rPr>
          <w:rFonts w:hint="eastAsia"/>
        </w:rPr>
        <w:t>党中央、国务院高度重视生猪稳产保供工作。今年以来，农业农村部把生猪稳产保供放在更加突出的位置，9月以来，农业农村部相继召开东北和南方片区会，指导东北地区扩群增养，要求南方地区尽快遏制下滑趋势，成立恢复生猪生产协调办公室，加强生产和政策情况调度，约谈11个生猪生产下降幅度较大的省份。以国务院办公厅名义印发《关于稳定生猪生产促进转型升级的意见》，会同有关部门出台17项政策措施，全国31省（区、市）印发生猪稳产保供实施意见。在市场拉动和政策推动下，生猪生产已出现止降回升的积极变化，但恢复生产发展保障市场供给仍面临不少困难和挑战，任务十分艰巨。当前首先是把生猪生产抓上去，确保各项既定目标如期实现。2019年9月生态环境部、农业农村部联合《关于进一步规范畜禽养殖禁养区划定和管理促进生猪生产发展的通知》（环办土壤﹝2019﹞55号）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场户，优先支持异地重建，对符合环保要求的畜禽养殖建设项目，加快环评审批。2019年12月农业农村部先后发布了</w:t>
      </w:r>
      <w:r>
        <w:t>《加快生猪生产恢复发展三年行动方案》（农牧发[2019]39号</w:t>
      </w:r>
      <w:r>
        <w:rPr>
          <w:rFonts w:hint="eastAsia"/>
        </w:rPr>
        <w:t>）、《</w:t>
      </w:r>
      <w:r>
        <w:t>农业农村部关于调整动物防疫条件审查有关规定的通知</w:t>
      </w:r>
      <w:r>
        <w:rPr>
          <w:rFonts w:hint="eastAsia"/>
        </w:rPr>
        <w:t>》（农牧发[2019]42号，2019.12.19），暂停执行关于兴办动物饲养场、养殖小区等场所的选址距离规定，并对年出栏5000头以上的生猪养殖场建设，开展环评告知承诺制试点，建设单位提交承诺书和环评报告的，可以不经过开工前的评估审查，直接作出审批决定。</w:t>
      </w:r>
    </w:p>
    <w:p>
      <w:pPr>
        <w:ind w:firstLine="480"/>
      </w:pPr>
      <w:r>
        <w:rPr>
          <w:rFonts w:hint="eastAsia"/>
        </w:rPr>
        <w:t>今年这些养猪扶植政策的陆续出台为生猪生产提供多重保障。国务院21号常务会议针对养猪业提出了具体措施：</w:t>
      </w:r>
    </w:p>
    <w:p>
      <w:pPr>
        <w:ind w:firstLine="480"/>
      </w:pPr>
      <w:r>
        <w:rPr>
          <w:rFonts w:hint="eastAsia"/>
        </w:rPr>
        <w:t>1、综合施策恢复生猪生产</w:t>
      </w:r>
    </w:p>
    <w:p>
      <w:pPr>
        <w:ind w:firstLine="480"/>
      </w:pPr>
      <w:r>
        <w:rPr>
          <w:rFonts w:hint="eastAsia"/>
        </w:rPr>
        <w:t>（1）加大力度针对生猪大县、大型养殖场的政策扶持；（2）全国范围内开通仔猪和冷鲜肉的运输“绿色通道”，降低运输成本。</w:t>
      </w:r>
    </w:p>
    <w:p>
      <w:pPr>
        <w:ind w:firstLine="480"/>
      </w:pPr>
      <w:r>
        <w:rPr>
          <w:rFonts w:hint="eastAsia"/>
        </w:rPr>
        <w:t>2、取消生猪禁养、限养规定</w:t>
      </w:r>
    </w:p>
    <w:p>
      <w:pPr>
        <w:ind w:firstLine="480"/>
      </w:pPr>
      <w:r>
        <w:rPr>
          <w:rFonts w:hint="eastAsia"/>
        </w:rPr>
        <w:t>针对在禁养区内被关停的养殖场，进行政策扶持，重新安排养殖用地，支持养猪户可以异地重建养殖场。</w:t>
      </w:r>
    </w:p>
    <w:p>
      <w:pPr>
        <w:ind w:firstLine="480"/>
      </w:pPr>
      <w:r>
        <w:rPr>
          <w:rFonts w:hint="eastAsia"/>
        </w:rPr>
        <w:t>3、支持规模养殖、支持农户养猪，用地政策放宽</w:t>
      </w:r>
    </w:p>
    <w:p>
      <w:pPr>
        <w:ind w:firstLine="480"/>
      </w:pPr>
      <w:r>
        <w:rPr>
          <w:rFonts w:hint="eastAsia"/>
        </w:rPr>
        <w:t>针对养殖场和农户，能够进行规模养猪的，取消附属设施用地15亩的上限规定。</w:t>
      </w:r>
    </w:p>
    <w:p>
      <w:pPr>
        <w:ind w:firstLine="480"/>
      </w:pPr>
      <w:r>
        <w:rPr>
          <w:rFonts w:hint="eastAsia"/>
        </w:rPr>
        <w:t>2019年8月，自然资源部办公厅发出《关于保障生猪</w:t>
      </w:r>
      <w:r>
        <w:fldChar w:fldCharType="begin"/>
      </w:r>
      <w:r>
        <w:instrText xml:space="preserve"> HYPERLINK "https://www.tuliu.com/baike/list-c304" \t "https://www.tuliu.com/_blank" </w:instrText>
      </w:r>
      <w:r>
        <w:fldChar w:fldCharType="separate"/>
      </w:r>
      <w:r>
        <w:rPr>
          <w:rFonts w:hint="eastAsia"/>
        </w:rPr>
        <w:t>养殖</w:t>
      </w:r>
      <w:r>
        <w:rPr>
          <w:rFonts w:hint="eastAsia"/>
        </w:rPr>
        <w:fldChar w:fldCharType="end"/>
      </w:r>
      <w:r>
        <w:rPr>
          <w:rFonts w:hint="eastAsia"/>
        </w:rPr>
        <w:t>用地有关问题的通知》，通知强调要完善生猪生产的用地政策：</w:t>
      </w:r>
    </w:p>
    <w:p>
      <w:pPr>
        <w:ind w:firstLine="480"/>
      </w:pPr>
      <w:r>
        <w:rPr>
          <w:rFonts w:hint="eastAsia"/>
        </w:rPr>
        <w:t>一、生猪养殖用地作为</w:t>
      </w:r>
      <w:r>
        <w:fldChar w:fldCharType="begin"/>
      </w:r>
      <w:r>
        <w:instrText xml:space="preserve"> HYPERLINK "https://www.tuliu.com/gongying/sheshinongyongdi/" \t "https://www.tuliu.com/_blank" </w:instrText>
      </w:r>
      <w:r>
        <w:fldChar w:fldCharType="separate"/>
      </w:r>
      <w:r>
        <w:rPr>
          <w:rFonts w:hint="eastAsia"/>
        </w:rPr>
        <w:t>设施农用地</w:t>
      </w:r>
      <w:r>
        <w:rPr>
          <w:rFonts w:hint="eastAsia"/>
        </w:rPr>
        <w:fldChar w:fldCharType="end"/>
      </w:r>
      <w:r>
        <w:rPr>
          <w:rFonts w:hint="eastAsia"/>
        </w:rPr>
        <w:t>，按农用地管理，不需办理</w:t>
      </w:r>
      <w:r>
        <w:fldChar w:fldCharType="begin"/>
      </w:r>
      <w:r>
        <w:instrText xml:space="preserve"> HYPERLINK "https://www.tuliu.com/tags/310.html" \t "https://www.tuliu.com/_blank" </w:instrText>
      </w:r>
      <w:r>
        <w:fldChar w:fldCharType="separate"/>
      </w:r>
      <w:r>
        <w:rPr>
          <w:rFonts w:hint="eastAsia"/>
        </w:rPr>
        <w:t>建设用地</w:t>
      </w:r>
      <w:r>
        <w:rPr>
          <w:rFonts w:hint="eastAsia"/>
        </w:rPr>
        <w:fldChar w:fldCharType="end"/>
      </w:r>
      <w:r>
        <w:rPr>
          <w:rFonts w:hint="eastAsia"/>
        </w:rPr>
        <w:t>审批手续；在不占用永久基本农田的前提下，合理安排用地空间，允许生猪养殖用地使用一般耕地，作为养殖用途不需耕地占补平衡。</w:t>
      </w:r>
    </w:p>
    <w:p>
      <w:pPr>
        <w:ind w:firstLine="480"/>
      </w:pPr>
      <w:r>
        <w:rPr>
          <w:rFonts w:hint="eastAsia"/>
        </w:rPr>
        <w:t>二、生猪养殖圈舍、场区内通道及绿化隔离带等生产设施用地，根据养殖规模确定用地规模；增加附属设施用地规模，取消15亩上限规定，保障生猪养殖生产的废弃物处理等设施用地需要。</w:t>
      </w:r>
    </w:p>
    <w:p>
      <w:pPr>
        <w:ind w:firstLine="480"/>
      </w:pPr>
      <w:r>
        <w:rPr>
          <w:rFonts w:hint="eastAsia"/>
        </w:rPr>
        <w:t>三、鼓励利用</w:t>
      </w:r>
      <w:r>
        <w:fldChar w:fldCharType="begin"/>
      </w:r>
      <w:r>
        <w:instrText xml:space="preserve"> HYPERLINK "https://www.tuliu.com/gongying/huangshan/" \t "https://www.tuliu.com/_blank" </w:instrText>
      </w:r>
      <w:r>
        <w:fldChar w:fldCharType="separate"/>
      </w:r>
      <w:r>
        <w:rPr>
          <w:rFonts w:hint="eastAsia"/>
        </w:rPr>
        <w:t>荒山</w:t>
      </w:r>
      <w:r>
        <w:rPr>
          <w:rFonts w:hint="eastAsia"/>
        </w:rPr>
        <w:fldChar w:fldCharType="end"/>
      </w:r>
      <w:r>
        <w:rPr>
          <w:rFonts w:hint="eastAsia"/>
        </w:rPr>
        <w:t>、荒沟、荒丘、荒滩和农村集体建设用地及原有养殖设施用地进行生猪养殖生产，各地可进一步制定鼓励支持政策。</w:t>
      </w:r>
    </w:p>
    <w:p>
      <w:pPr>
        <w:ind w:firstLine="480"/>
      </w:pPr>
      <w:r>
        <w:rPr>
          <w:rFonts w:hint="eastAsia"/>
        </w:rPr>
        <w:t>2019年9月生态环境部、农业农村部联合印发通知，要求进一步规范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国家法律法规和地方法规之外的其他规章和规范性文件不得作为禁养区划定依据。对禁养区内关停需搬迁的</w:t>
      </w:r>
      <w:r>
        <w:fldChar w:fldCharType="begin"/>
      </w:r>
      <w:r>
        <w:instrText xml:space="preserve"> HYPERLINK "https://www.tuliu.com/tags/142.html" \t "https://www.tuliu.com/_blank" </w:instrText>
      </w:r>
      <w:r>
        <w:fldChar w:fldCharType="separate"/>
      </w:r>
      <w:r>
        <w:rPr>
          <w:rFonts w:hint="eastAsia"/>
        </w:rPr>
        <w:t>规模化养殖</w:t>
      </w:r>
      <w:r>
        <w:rPr>
          <w:rFonts w:hint="eastAsia"/>
        </w:rPr>
        <w:fldChar w:fldCharType="end"/>
      </w:r>
      <w:r>
        <w:rPr>
          <w:rFonts w:hint="eastAsia"/>
        </w:rPr>
        <w:t>场户，优先支持异地重建，对符合环保要求的畜禽养殖建设项目，加快环评审批。对确需关闭的养殖场户，给予合理过渡期，严禁采取“一律关停”等简单做法。通知还指出，对违反法律法规限制养猪业发展和压减生猪产能的情况，要立即进行整改。</w:t>
      </w:r>
    </w:p>
    <w:p>
      <w:pPr>
        <w:ind w:firstLine="480"/>
      </w:pPr>
      <w:r>
        <w:rPr>
          <w:rFonts w:hint="eastAsia"/>
        </w:rPr>
        <w:t>综上所述，本项目建设符合国家产业政策及畜禽养殖废弃物资源化利用的相关政策要求。</w:t>
      </w:r>
    </w:p>
    <w:p>
      <w:pPr>
        <w:pStyle w:val="5"/>
        <w:spacing w:before="62" w:after="62"/>
      </w:pPr>
      <w:r>
        <w:rPr>
          <w:rFonts w:hint="eastAsia"/>
        </w:rPr>
        <w:t>8.1.3《畜禽规模养殖场粪污资源化利用设施建设规范（试行）》（农办牧</w:t>
      </w:r>
      <w:r>
        <w:t>[2018]2号</w:t>
      </w:r>
      <w:r>
        <w:rPr>
          <w:rFonts w:hint="eastAsia"/>
        </w:rPr>
        <w:t>)的符合性分析</w:t>
      </w:r>
    </w:p>
    <w:p>
      <w:pPr>
        <w:ind w:firstLine="480"/>
      </w:pPr>
      <w:r>
        <w:rPr>
          <w:rFonts w:hint="eastAsia"/>
        </w:rPr>
        <w:t>畜</w:t>
      </w:r>
      <w:r>
        <w:t>禽粪污资源化利用是指在畜禽粪污处理过程中，通过生产沼气、堆肥、沤肥、沼肥、肥水、商品有机肥、垫料、基质等方式进行合理利用。</w:t>
      </w:r>
    </w:p>
    <w:p>
      <w:pPr>
        <w:pStyle w:val="11"/>
      </w:pPr>
      <w:r>
        <w:t xml:space="preserve">表8.1- </w:t>
      </w:r>
      <w:r>
        <w:fldChar w:fldCharType="begin"/>
      </w:r>
      <w:r>
        <w:instrText xml:space="preserve"> SEQ 表8.1- \* ARABIC </w:instrText>
      </w:r>
      <w:r>
        <w:fldChar w:fldCharType="separate"/>
      </w:r>
      <w:r>
        <w:t>1</w:t>
      </w:r>
      <w:r>
        <w:fldChar w:fldCharType="end"/>
      </w:r>
      <w:r>
        <w:rPr>
          <w:rFonts w:hint="eastAsia"/>
        </w:rPr>
        <w:t xml:space="preserve">  与畜禽规模养殖场粪污资源化利用设施建设规范的符合性分析表</w:t>
      </w:r>
    </w:p>
    <w:tbl>
      <w:tblPr>
        <w:tblStyle w:val="21"/>
        <w:tblW w:w="90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09"/>
        <w:gridCol w:w="3937"/>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 w:hRule="atLeast"/>
          <w:tblHeader/>
          <w:jc w:val="center"/>
        </w:trPr>
        <w:tc>
          <w:tcPr>
            <w:tcW w:w="4109" w:type="dxa"/>
            <w:vAlign w:val="center"/>
          </w:tcPr>
          <w:p>
            <w:pPr>
              <w:pStyle w:val="8"/>
              <w:ind w:firstLine="0" w:firstLineChars="0"/>
            </w:pPr>
            <w:r>
              <w:rPr>
                <w:rFonts w:hint="eastAsia"/>
              </w:rPr>
              <w:t>规范要求</w:t>
            </w:r>
          </w:p>
        </w:tc>
        <w:tc>
          <w:tcPr>
            <w:tcW w:w="3937" w:type="dxa"/>
            <w:vAlign w:val="center"/>
          </w:tcPr>
          <w:p>
            <w:pPr>
              <w:pStyle w:val="8"/>
              <w:ind w:firstLine="0" w:firstLineChars="0"/>
            </w:pPr>
            <w:r>
              <w:rPr>
                <w:rFonts w:hint="eastAsia"/>
              </w:rPr>
              <w:t>本项目情况</w:t>
            </w:r>
          </w:p>
        </w:tc>
        <w:tc>
          <w:tcPr>
            <w:tcW w:w="1015" w:type="dxa"/>
            <w:vAlign w:val="center"/>
          </w:tcPr>
          <w:p>
            <w:pPr>
              <w:pStyle w:val="8"/>
              <w:ind w:firstLine="0" w:firstLineChars="0"/>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7" w:hRule="atLeast"/>
          <w:jc w:val="center"/>
        </w:trPr>
        <w:tc>
          <w:tcPr>
            <w:tcW w:w="4109" w:type="dxa"/>
            <w:vAlign w:val="center"/>
          </w:tcPr>
          <w:p>
            <w:pPr>
              <w:pStyle w:val="8"/>
              <w:ind w:firstLine="0" w:firstLineChars="0"/>
            </w:pPr>
            <w:r>
              <w:rPr>
                <w:rFonts w:hint="eastAsia"/>
              </w:rPr>
              <w:t>畜禽规模养殖场粪污资源化利用应坚持农牧结合、种养平衡，按照资源化、减量化、无害化的原则，对源头减量、过程控制和末端利用各环节进行全程管理，提高粪污综合利用率和设施装备配套率。</w:t>
            </w:r>
          </w:p>
        </w:tc>
        <w:tc>
          <w:tcPr>
            <w:tcW w:w="3937" w:type="dxa"/>
            <w:vAlign w:val="center"/>
          </w:tcPr>
          <w:p>
            <w:pPr>
              <w:pStyle w:val="8"/>
              <w:ind w:firstLine="0" w:firstLineChars="0"/>
            </w:pPr>
            <w:r>
              <w:rPr>
                <w:rFonts w:hint="eastAsia"/>
              </w:rPr>
              <w:t>本项目粪污经发酵床、厌氧发酵处理后用作有机肥</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4109" w:type="dxa"/>
            <w:vAlign w:val="center"/>
          </w:tcPr>
          <w:p>
            <w:pPr>
              <w:pStyle w:val="8"/>
              <w:ind w:firstLine="0" w:firstLineChars="0"/>
            </w:pPr>
            <w:r>
              <w:rPr>
                <w:rFonts w:hint="eastAsia"/>
              </w:rPr>
              <w:t>畜禽规模养殖场应根据养殖污染防治要求，建设与养殖规模相配套的粪污资源化利用设施设备，并确保正常运行。</w:t>
            </w:r>
          </w:p>
        </w:tc>
        <w:tc>
          <w:tcPr>
            <w:tcW w:w="3937" w:type="dxa"/>
            <w:vAlign w:val="center"/>
          </w:tcPr>
          <w:p>
            <w:pPr>
              <w:pStyle w:val="8"/>
              <w:ind w:firstLine="0" w:firstLineChars="0"/>
            </w:pPr>
            <w:r>
              <w:rPr>
                <w:rFonts w:hint="eastAsia"/>
              </w:rPr>
              <w:t>本项目建设了与养殖规模相配套的异位生物发酵床，处理粪污</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4109" w:type="dxa"/>
            <w:vAlign w:val="center"/>
          </w:tcPr>
          <w:p>
            <w:pPr>
              <w:pStyle w:val="8"/>
              <w:ind w:firstLine="0" w:firstLineChars="0"/>
            </w:pPr>
            <w:r>
              <w:rPr>
                <w:rFonts w:hint="eastAsia"/>
              </w:rPr>
              <w:t>畜禽规模养殖场应建设雨污分离设施，污水宜采用暗沟或管道输送。</w:t>
            </w:r>
          </w:p>
        </w:tc>
        <w:tc>
          <w:tcPr>
            <w:tcW w:w="3937" w:type="dxa"/>
            <w:vAlign w:val="center"/>
          </w:tcPr>
          <w:p>
            <w:pPr>
              <w:pStyle w:val="8"/>
              <w:ind w:firstLine="0" w:firstLineChars="0"/>
            </w:pPr>
            <w:r>
              <w:rPr>
                <w:rFonts w:hint="eastAsia"/>
              </w:rPr>
              <w:t>本项目的养殖场实行了雨污分流；项目生活污水与养殖废水进入异位发酵床车间处理后作为有机肥外售给有机肥厂，项目无废水不外排地表水环境。</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4109" w:type="dxa"/>
            <w:vAlign w:val="center"/>
          </w:tcPr>
          <w:p>
            <w:pPr>
              <w:pStyle w:val="8"/>
              <w:ind w:firstLine="0" w:firstLineChars="0"/>
              <w:rPr>
                <w:highlight w:val="yellow"/>
              </w:rPr>
            </w:pPr>
            <w:r>
              <w:rPr>
                <w:rFonts w:hint="eastAsia"/>
              </w:rPr>
              <w:t>液体或全量粪污采用异位发酵床工艺处理的，每头存栏生猪粪污暂存池容积不小于</w:t>
            </w:r>
            <w:r>
              <w:t>0.2 m</w:t>
            </w:r>
            <w:r>
              <w:rPr>
                <w:vertAlign w:val="superscript"/>
              </w:rPr>
              <w:t>3</w:t>
            </w:r>
            <w:r>
              <w:t>，</w:t>
            </w:r>
            <w:r>
              <w:rPr>
                <w:rFonts w:hint="eastAsia"/>
              </w:rPr>
              <w:t>发酵床建设面积不小于</w:t>
            </w:r>
            <w:r>
              <w:t>0.2 m</w:t>
            </w:r>
            <w:r>
              <w:rPr>
                <w:vertAlign w:val="superscript"/>
              </w:rPr>
              <w:t>2</w:t>
            </w:r>
            <w:r>
              <w:t>并有防渗防雨功能，配套搅拌设施。</w:t>
            </w:r>
          </w:p>
        </w:tc>
        <w:tc>
          <w:tcPr>
            <w:tcW w:w="3937" w:type="dxa"/>
            <w:vAlign w:val="center"/>
          </w:tcPr>
          <w:p>
            <w:pPr>
              <w:pStyle w:val="8"/>
              <w:ind w:firstLine="0" w:firstLineChars="0"/>
            </w:pPr>
            <w:r>
              <w:rPr>
                <w:rFonts w:hint="eastAsia"/>
              </w:rPr>
              <w:t>本项目集污池总容积为2500</w:t>
            </w:r>
            <w:r>
              <w:t>m</w:t>
            </w:r>
            <w:r>
              <w:rPr>
                <w:vertAlign w:val="superscript"/>
              </w:rPr>
              <w:t>3</w:t>
            </w:r>
            <w:r>
              <w:rPr>
                <w:rFonts w:hint="eastAsia"/>
              </w:rPr>
              <w:t>，发酵床的面积为1000</w:t>
            </w:r>
            <w:r>
              <w:t>m</w:t>
            </w:r>
            <w:r>
              <w:rPr>
                <w:rFonts w:hint="eastAsia"/>
                <w:vertAlign w:val="superscript"/>
              </w:rPr>
              <w:t>2</w:t>
            </w:r>
            <w:r>
              <w:rPr>
                <w:rFonts w:hint="eastAsia"/>
              </w:rPr>
              <w:t>，项目</w:t>
            </w:r>
            <w:r>
              <w:t>存栏生猪经折算</w:t>
            </w:r>
            <w:r>
              <w:rPr>
                <w:rFonts w:hint="eastAsia"/>
              </w:rPr>
              <w:t>成年猪</w:t>
            </w:r>
            <w:r>
              <w:t>为</w:t>
            </w:r>
            <w:r>
              <w:rPr>
                <w:rFonts w:hint="eastAsia"/>
              </w:rPr>
              <w:t>5000头，集污池折算到每头猪为0.50</w:t>
            </w:r>
            <w:r>
              <w:t>m</w:t>
            </w:r>
            <w:r>
              <w:rPr>
                <w:vertAlign w:val="superscript"/>
              </w:rPr>
              <w:t>3</w:t>
            </w:r>
            <w:r>
              <w:rPr>
                <w:rFonts w:hint="eastAsia"/>
              </w:rPr>
              <w:t>/头，发酵床面积为0.20</w:t>
            </w:r>
            <w:r>
              <w:t>m</w:t>
            </w:r>
            <w:r>
              <w:rPr>
                <w:vertAlign w:val="superscript"/>
              </w:rPr>
              <w:t>2</w:t>
            </w:r>
            <w:r>
              <w:rPr>
                <w:rFonts w:hint="eastAsia"/>
              </w:rPr>
              <w:t>/头.本项目</w:t>
            </w:r>
            <w:r>
              <w:t>并有防渗防雨功能，配套翻耙机等搅拌设施。</w:t>
            </w:r>
          </w:p>
        </w:tc>
        <w:tc>
          <w:tcPr>
            <w:tcW w:w="1015" w:type="dxa"/>
            <w:vAlign w:val="center"/>
          </w:tcPr>
          <w:p>
            <w:pPr>
              <w:pStyle w:val="8"/>
              <w:ind w:firstLine="0" w:firstLineChars="0"/>
            </w:pPr>
            <w:r>
              <w:rPr>
                <w:rFonts w:hint="eastAsia"/>
              </w:rPr>
              <w:t>符合</w:t>
            </w:r>
          </w:p>
        </w:tc>
      </w:tr>
    </w:tbl>
    <w:p>
      <w:pPr>
        <w:ind w:firstLine="480"/>
      </w:pPr>
      <w:r>
        <w:t>根据上表可知，本项目粪污资源化利用设施的建设符合《畜禽规模养殖场粪污资源化利用设施建设规范（试行）》（农办牧[2018]2号)中的相关规定。</w:t>
      </w:r>
    </w:p>
    <w:p>
      <w:pPr>
        <w:pStyle w:val="5"/>
        <w:spacing w:before="62" w:after="62"/>
      </w:pPr>
      <w:r>
        <w:rPr>
          <w:rFonts w:hint="eastAsia"/>
        </w:rPr>
        <w:t>8.1.4与《湖南省畜禽规模养殖污染防治规定》湘政办发（〔</w:t>
      </w:r>
      <w:r>
        <w:t>2017〕29号</w:t>
      </w:r>
      <w:r>
        <w:rPr>
          <w:rFonts w:hint="eastAsia"/>
        </w:rPr>
        <w:t>)的符合性分析</w:t>
      </w:r>
    </w:p>
    <w:p>
      <w:pPr>
        <w:ind w:firstLine="480"/>
      </w:pPr>
      <w:r>
        <w:t>“</w:t>
      </w:r>
      <w:r>
        <w:rPr>
          <w:rFonts w:hint="eastAsia"/>
        </w:rPr>
        <w:t>第一十三条：</w:t>
      </w:r>
      <w:r>
        <w:t>新建、改建、扩建畜禽养殖场、养殖小区要实施雨污分流，建设必要的畜禽养殖废弃物资源化利用和无害化处理设施。</w:t>
      </w:r>
      <w:r>
        <w:rPr>
          <w:rFonts w:hint="eastAsia"/>
        </w:rPr>
        <w:t>第十四条</w:t>
      </w:r>
      <w:r>
        <w:t xml:space="preserve"> 病死畜禽尸体及其排泄物，要严格按照《国务院办公厅关于建立病死畜禽无害化处理机制的意见》（国办发〔2014〕47号）有关规定处理，严禁私自未经任何处理随意抛弃、掩埋等。</w:t>
      </w:r>
      <w:r>
        <w:rPr>
          <w:rFonts w:hint="eastAsia"/>
        </w:rPr>
        <w:t>第十五条</w:t>
      </w:r>
      <w:r>
        <w:t xml:space="preserve"> 畜禽养殖污染治理应按照资源化、减量化、无害化的原则，从源头控制，采取合适的技术对畜禽养殖废弃物进行处理，并通过粪肥还田、制取沼气、制造有机肥等方式提高畜禽养殖废弃物的资源化利用率。”</w:t>
      </w:r>
    </w:p>
    <w:p>
      <w:pPr>
        <w:ind w:firstLine="480"/>
      </w:pPr>
      <w:r>
        <w:rPr>
          <w:rFonts w:hint="eastAsia"/>
        </w:rPr>
        <w:t>本项目实行了</w:t>
      </w:r>
      <w:r>
        <w:t>雨污分流、建设了异位发酵床、对病死畜禽尸及其他病理废物采用冷冻库暂存，再依据市县二级病死畜禽无害化集中处理中心处理等，本项目</w:t>
      </w:r>
      <w:r>
        <w:rPr>
          <w:rFonts w:hint="eastAsia"/>
        </w:rPr>
        <w:t>均较好地执行了上述规定，项目建设符合《湖南省畜禽规模养殖污染防治规定》的要求。</w:t>
      </w:r>
    </w:p>
    <w:p>
      <w:pPr>
        <w:pStyle w:val="5"/>
        <w:spacing w:before="62" w:after="62"/>
      </w:pPr>
      <w:r>
        <w:rPr>
          <w:rFonts w:hint="eastAsia"/>
        </w:rPr>
        <w:t>8.1.5</w:t>
      </w:r>
      <w:r>
        <w:t>与常德市畜牧业发展</w:t>
      </w:r>
      <w:r>
        <w:rPr>
          <w:rFonts w:hint="eastAsia"/>
        </w:rPr>
        <w:t>政策</w:t>
      </w:r>
      <w:r>
        <w:t>的符合性分析</w:t>
      </w:r>
    </w:p>
    <w:p>
      <w:pPr>
        <w:ind w:firstLine="480"/>
      </w:pPr>
      <w:r>
        <w:rPr>
          <w:rFonts w:hint="eastAsia"/>
        </w:rPr>
        <w:t>根据《常德市人民政府关于加强畜禽养殖污染防治促进畜牧业发展的意见》（常政发［2013］4号）：常德市畜禽养殖业工作的重点为：（一）科学划定禁养区。（二）禁养区内畜禽养殖场和养殖小区限期退出养殖。2015年底前，禁养区内的畜禽养殖场和养殖小区全面退出养殖。鼓励禁养区的畜禽养殖场和养殖小区主动退出养殖，在2015年底前主动退出养殖的，由养殖场和养殖小区所在地区县市财政给予一定的奖励，具体奖励办法由各区县市人民政府确定。（三）实现畜禽养殖场排污达标。所有畜禽养殖场应当配套建设畜禽粪便、污水和其他废弃物的贮存设施，并根据污染防治需要配套建设无害化处理和综合利用设施，排放污染物必须达到国家规定的排放标准。畜禽养殖场必须按有关规定依法进行排污申报登记。（四）对新建畜禽养殖场实行严格准入。新建畜禽养殖场要符合当地乡（镇）土地利用总体规划，兴办者应征求当地村（居）委会、乡（镇）人民政府意见，向县级畜牧兽医水产部门备案。新建、扩建、改建畜禽养殖场，必须按建设项目环境保护法律法规的有关规定，进行环境影响评价，办理相关审批手续。涉及农用地转变用途的需到国土资源部门办理土地转用审批手续。畜禽养殖场生产设施与治污设施必须同时设计、同时施工、同时使用。县级畜牧兽医水产部门要严格审查动物防疫条件，对动物防疫条件不合格的养殖场，不得发放动物防疫条件合格证。（五）积极推行标准化生态养殖模式。各地要着力推进畜禽品种良种化、养殖设施化、管理规范化、防疫制度化、粪污处理资源化，不断提高我市科学养殖水平。鼓励和支持通过采取粪肥还田、生产沼气、制造有机肥等方法，对畜禽养殖场粪污进行综合利用。积极推广“养殖—沼气—种植”、生物发酵床、复合生物滤池、三级生物降解池等生态养殖污染治理模式。要在养殖工艺上推广“干湿分离”与“雨污分流”工艺，实现畜禽粪污处理的减量化。（六）加强畜禽养殖场环境日常监管。各地要加大畜禽养殖污染治理力度，加强对养殖场环境日常监督管理。要建立和完善畜禽养殖场（户）信用档案，明确监督管理和包保责任人，确保监管工作覆盖率100％；建立健全畜禽养殖生产制度，完善畜禽养殖生产台帐和记录，不断规范畜禽养殖生产行为。环保部门要加强畜禽养殖场环境监管，规范其排污行为，督促畜禽养殖场按期完成污染减排任务。</w:t>
      </w:r>
    </w:p>
    <w:p>
      <w:pPr>
        <w:ind w:firstLine="480"/>
      </w:pPr>
      <w:r>
        <w:rPr>
          <w:rFonts w:hint="eastAsia"/>
        </w:rPr>
        <w:t>本项目已取得澧县畜牧兽医水产局关于《关于同意对澧县鸣怡牧业有限公司进行备案确认的批复》（澧畜水字[2020]28号）。项目用地符合当地的乡村土地利用总体规划，不在禁养区和限养区内，并得到当地村委会及镇政府及周边公众的大力支持，符合准入条件。本项目属于标准化生态养殖模式，畜禽品种良种化、养殖设施化、管理规范化，对畜禽养殖场粪污进行综合利用。</w:t>
      </w:r>
    </w:p>
    <w:p>
      <w:pPr>
        <w:ind w:firstLine="480"/>
      </w:pPr>
      <w:r>
        <w:rPr>
          <w:rFonts w:hint="eastAsia"/>
        </w:rPr>
        <w:t>综上，本项目建设符合常德市畜牧业发展政策的相关要求。</w:t>
      </w:r>
    </w:p>
    <w:p>
      <w:pPr>
        <w:pStyle w:val="4"/>
        <w:spacing w:before="62" w:after="62"/>
      </w:pPr>
      <w:bookmarkStart w:id="542" w:name="_Toc23973"/>
      <w:r>
        <w:rPr>
          <w:rFonts w:hint="eastAsia"/>
        </w:rPr>
        <w:t>8.2项目选址合理性分析</w:t>
      </w:r>
      <w:bookmarkEnd w:id="542"/>
    </w:p>
    <w:p>
      <w:pPr>
        <w:pStyle w:val="5"/>
        <w:spacing w:before="62" w:after="62"/>
      </w:pPr>
      <w:r>
        <w:rPr>
          <w:rFonts w:hint="eastAsia"/>
        </w:rPr>
        <w:t>8.2.1用地合法性分析</w:t>
      </w:r>
    </w:p>
    <w:p>
      <w:pPr>
        <w:ind w:firstLine="480"/>
        <w:rPr>
          <w:highlight w:val="yellow"/>
        </w:rPr>
      </w:pPr>
      <w:r>
        <w:rPr>
          <w:rFonts w:hint="eastAsia"/>
        </w:rPr>
        <w:t>本项目选址于澧县大堰垱镇石公桥村，项目所占用澧县大堰垱镇石公桥村的集体所有土地，并与澧县大堰垱镇盐井村村委会签订了《土地使用补偿协议》（见附件）。</w:t>
      </w:r>
    </w:p>
    <w:p>
      <w:pPr>
        <w:ind w:firstLine="480"/>
        <w:rPr>
          <w:highlight w:val="yellow"/>
        </w:rPr>
      </w:pPr>
      <w:r>
        <w:rPr>
          <w:rFonts w:hint="eastAsia"/>
        </w:rPr>
        <w:t>综上，项目用地符合当地的乡村土地利用总体规划，征用土地手续齐全、合法。</w:t>
      </w:r>
    </w:p>
    <w:p>
      <w:pPr>
        <w:pStyle w:val="5"/>
        <w:spacing w:before="62" w:after="62"/>
      </w:pPr>
      <w:r>
        <w:rPr>
          <w:rFonts w:hint="eastAsia"/>
        </w:rPr>
        <w:t>8.2.2选址与《畜禽养殖业污染防治技术规范》（</w:t>
      </w:r>
      <w:r>
        <w:t>HJ/T8-2001</w:t>
      </w:r>
      <w:r>
        <w:rPr>
          <w:rFonts w:hint="eastAsia"/>
        </w:rPr>
        <w:t>）相符性分析</w:t>
      </w:r>
    </w:p>
    <w:p>
      <w:pPr>
        <w:ind w:firstLine="480"/>
      </w:pPr>
      <w:r>
        <w:rPr>
          <w:rFonts w:hint="eastAsia"/>
        </w:rPr>
        <w:t>根据《畜禽养殖业污染防治技术规范》，畜禽养殖业选址必须符合下列要求，</w:t>
      </w:r>
    </w:p>
    <w:p>
      <w:pPr>
        <w:ind w:firstLine="480"/>
      </w:pPr>
      <w:r>
        <w:rPr>
          <w:rFonts w:hint="eastAsia"/>
        </w:rPr>
        <w:t>（</w:t>
      </w:r>
      <w:r>
        <w:t>1</w:t>
      </w:r>
      <w:r>
        <w:rPr>
          <w:rFonts w:hint="eastAsia"/>
        </w:rPr>
        <w:t>）禁止在下列区域内建设畜禽养殖场：</w:t>
      </w:r>
    </w:p>
    <w:p>
      <w:pPr>
        <w:ind w:firstLine="480"/>
      </w:pPr>
      <w:r>
        <w:rPr>
          <w:rFonts w:hint="eastAsia"/>
        </w:rPr>
        <w:t>①生活饮用水水源保护区、风景名胜区、自然保护区的核心区及缓冲区；</w:t>
      </w:r>
    </w:p>
    <w:p>
      <w:pPr>
        <w:ind w:firstLine="480"/>
      </w:pPr>
      <w:r>
        <w:rPr>
          <w:rFonts w:hint="eastAsia"/>
        </w:rPr>
        <w:t>②城市和城镇居民区，包括文教科研区、医疗区、商业区、工业区、游览区等人口集中地区；</w:t>
      </w:r>
    </w:p>
    <w:p>
      <w:pPr>
        <w:ind w:firstLine="480"/>
      </w:pPr>
      <w:r>
        <w:rPr>
          <w:rFonts w:hint="eastAsia"/>
        </w:rPr>
        <w:t>③县级人民政府依法划定的禁养区域；</w:t>
      </w:r>
    </w:p>
    <w:p>
      <w:pPr>
        <w:ind w:firstLine="480"/>
      </w:pPr>
      <w:r>
        <w:rPr>
          <w:rFonts w:hint="eastAsia"/>
        </w:rPr>
        <w:t>④国家或地方法律、法规规定需特殊保护的其它区域。</w:t>
      </w:r>
    </w:p>
    <w:p>
      <w:pPr>
        <w:ind w:firstLine="480"/>
      </w:pPr>
      <w:r>
        <w:rPr>
          <w:rFonts w:hint="eastAsia"/>
        </w:rPr>
        <w:t>（</w:t>
      </w:r>
      <w:r>
        <w:t>2</w:t>
      </w:r>
      <w:r>
        <w:rPr>
          <w:rFonts w:hint="eastAsia"/>
        </w:rPr>
        <w:t>）新建、改建、扩建的畜禽养殖场选址应避开（</w:t>
      </w:r>
      <w:r>
        <w:t>1</w:t>
      </w:r>
      <w:r>
        <w:rPr>
          <w:rFonts w:hint="eastAsia"/>
        </w:rPr>
        <w:t>）中规定的禁建区域，在禁建区域附近建设的，应设在（</w:t>
      </w:r>
      <w:r>
        <w:t>1</w:t>
      </w:r>
      <w:r>
        <w:rPr>
          <w:rFonts w:hint="eastAsia"/>
        </w:rPr>
        <w:t>）中规定的禁建区域常年主导风向的下风向或侧风向处，场界与禁建区域边界的最小距离不得小于</w:t>
      </w:r>
      <w:r>
        <w:t>500m</w:t>
      </w:r>
      <w:r>
        <w:rPr>
          <w:rFonts w:hint="eastAsia"/>
        </w:rPr>
        <w:t>。</w:t>
      </w:r>
    </w:p>
    <w:p>
      <w:pPr>
        <w:pStyle w:val="11"/>
      </w:pPr>
      <w:r>
        <w:t xml:space="preserve">表8.2- </w:t>
      </w:r>
      <w:r>
        <w:fldChar w:fldCharType="begin"/>
      </w:r>
      <w:r>
        <w:instrText xml:space="preserve"> SEQ 表8.2- \* ARABIC </w:instrText>
      </w:r>
      <w:r>
        <w:fldChar w:fldCharType="separate"/>
      </w:r>
      <w:r>
        <w:t>1</w:t>
      </w:r>
      <w:r>
        <w:fldChar w:fldCharType="end"/>
      </w:r>
      <w:r>
        <w:rPr>
          <w:rFonts w:hint="eastAsia"/>
        </w:rPr>
        <w:t xml:space="preserve">  本项目场址与选址要求的符合性分析表</w:t>
      </w:r>
    </w:p>
    <w:tbl>
      <w:tblPr>
        <w:tblStyle w:val="21"/>
        <w:tblW w:w="90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99"/>
        <w:gridCol w:w="4747"/>
        <w:gridCol w:w="1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tblHeader/>
          <w:jc w:val="center"/>
        </w:trPr>
        <w:tc>
          <w:tcPr>
            <w:tcW w:w="3299" w:type="dxa"/>
            <w:vAlign w:val="center"/>
          </w:tcPr>
          <w:p>
            <w:pPr>
              <w:pStyle w:val="8"/>
              <w:ind w:firstLine="0" w:firstLineChars="0"/>
            </w:pPr>
            <w:r>
              <w:rPr>
                <w:rFonts w:hint="eastAsia"/>
              </w:rPr>
              <w:t>选址条件</w:t>
            </w:r>
          </w:p>
        </w:tc>
        <w:tc>
          <w:tcPr>
            <w:tcW w:w="4747" w:type="dxa"/>
            <w:vAlign w:val="center"/>
          </w:tcPr>
          <w:p>
            <w:pPr>
              <w:pStyle w:val="8"/>
              <w:ind w:firstLine="0" w:firstLineChars="0"/>
            </w:pPr>
            <w:r>
              <w:rPr>
                <w:rFonts w:hint="eastAsia"/>
              </w:rPr>
              <w:t>本项目情况</w:t>
            </w:r>
          </w:p>
        </w:tc>
        <w:tc>
          <w:tcPr>
            <w:tcW w:w="1015" w:type="dxa"/>
            <w:vAlign w:val="center"/>
          </w:tcPr>
          <w:p>
            <w:pPr>
              <w:pStyle w:val="8"/>
              <w:ind w:firstLine="0" w:firstLineChars="0"/>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jc w:val="center"/>
        </w:trPr>
        <w:tc>
          <w:tcPr>
            <w:tcW w:w="3299" w:type="dxa"/>
            <w:vAlign w:val="center"/>
          </w:tcPr>
          <w:p>
            <w:pPr>
              <w:pStyle w:val="8"/>
              <w:ind w:firstLine="0" w:firstLineChars="0"/>
            </w:pPr>
            <w:r>
              <w:rPr>
                <w:rFonts w:hint="eastAsia"/>
              </w:rPr>
              <w:t>禁止在生活饮用水水源保护区、风景名胜区、自然保护区的核心区及缓冲区建设</w:t>
            </w:r>
          </w:p>
        </w:tc>
        <w:tc>
          <w:tcPr>
            <w:tcW w:w="4747" w:type="dxa"/>
            <w:vAlign w:val="center"/>
          </w:tcPr>
          <w:p>
            <w:pPr>
              <w:pStyle w:val="8"/>
              <w:ind w:firstLine="0" w:firstLineChars="0"/>
            </w:pPr>
            <w:r>
              <w:rPr>
                <w:rFonts w:hint="eastAsia"/>
              </w:rPr>
              <w:t>本项目所在地不是生活饮用水水源保护区、风景名胜区、自然保护区的核心区及缓冲区</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6" w:hRule="atLeast"/>
          <w:jc w:val="center"/>
        </w:trPr>
        <w:tc>
          <w:tcPr>
            <w:tcW w:w="3299" w:type="dxa"/>
            <w:vAlign w:val="center"/>
          </w:tcPr>
          <w:p>
            <w:pPr>
              <w:pStyle w:val="8"/>
              <w:ind w:firstLine="0" w:firstLineChars="0"/>
            </w:pPr>
            <w:r>
              <w:rPr>
                <w:rFonts w:hint="eastAsia"/>
              </w:rPr>
              <w:t>禁止城市和城镇居民区，包括文教科研区、医疗区、商业区、工业区、游览区等人口集中地区建设</w:t>
            </w:r>
          </w:p>
        </w:tc>
        <w:tc>
          <w:tcPr>
            <w:tcW w:w="4747" w:type="dxa"/>
            <w:vAlign w:val="center"/>
          </w:tcPr>
          <w:p>
            <w:pPr>
              <w:pStyle w:val="8"/>
              <w:ind w:firstLine="0" w:firstLineChars="0"/>
            </w:pPr>
            <w:r>
              <w:rPr>
                <w:rFonts w:hint="eastAsia"/>
              </w:rPr>
              <w:t>本项目所在地不位于城市和城镇居民区</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3299" w:type="dxa"/>
            <w:vAlign w:val="center"/>
          </w:tcPr>
          <w:p>
            <w:pPr>
              <w:pStyle w:val="8"/>
              <w:ind w:firstLine="0" w:firstLineChars="0"/>
            </w:pPr>
            <w:r>
              <w:rPr>
                <w:rFonts w:hint="eastAsia"/>
              </w:rPr>
              <w:t>禁止在县级人民政府依法划定的禁养区域建设</w:t>
            </w:r>
          </w:p>
        </w:tc>
        <w:tc>
          <w:tcPr>
            <w:tcW w:w="4747" w:type="dxa"/>
            <w:vAlign w:val="center"/>
          </w:tcPr>
          <w:p>
            <w:pPr>
              <w:pStyle w:val="8"/>
              <w:ind w:firstLine="0" w:firstLineChars="0"/>
            </w:pPr>
            <w:r>
              <w:rPr>
                <w:rFonts w:hint="eastAsia"/>
              </w:rPr>
              <w:t>根据澧县人民政府</w:t>
            </w:r>
            <w:r>
              <w:t>《澧县人民政府关于印发&lt;澧县畜禽养殖禁养区限养区适养区划定方案&gt;的通知》（澧政发〔20</w:t>
            </w:r>
            <w:r>
              <w:rPr>
                <w:rFonts w:hint="eastAsia"/>
              </w:rPr>
              <w:t>20</w:t>
            </w:r>
            <w:r>
              <w:t>〕</w:t>
            </w:r>
            <w:r>
              <w:rPr>
                <w:rFonts w:hint="eastAsia"/>
              </w:rPr>
              <w:t>6</w:t>
            </w:r>
            <w:r>
              <w:t>号）文件</w:t>
            </w:r>
            <w:r>
              <w:rPr>
                <w:rFonts w:hint="eastAsia"/>
              </w:rPr>
              <w:t>，本项目不在限养区、禁养区范围，澧县畜牧水产事务中心已出具不在限养区与禁养区中的证明文件。</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 w:hRule="atLeast"/>
          <w:jc w:val="center"/>
        </w:trPr>
        <w:tc>
          <w:tcPr>
            <w:tcW w:w="3299" w:type="dxa"/>
            <w:vAlign w:val="center"/>
          </w:tcPr>
          <w:p>
            <w:pPr>
              <w:pStyle w:val="8"/>
              <w:ind w:firstLine="0" w:firstLineChars="0"/>
            </w:pPr>
            <w:r>
              <w:rPr>
                <w:rFonts w:hint="eastAsia"/>
              </w:rPr>
              <w:t>禁止在国家或地方法律、法规规定需特殊保护的其它区域建设</w:t>
            </w:r>
          </w:p>
        </w:tc>
        <w:tc>
          <w:tcPr>
            <w:tcW w:w="4747" w:type="dxa"/>
            <w:vAlign w:val="center"/>
          </w:tcPr>
          <w:p>
            <w:pPr>
              <w:pStyle w:val="8"/>
              <w:ind w:firstLine="0" w:firstLineChars="0"/>
            </w:pPr>
            <w:r>
              <w:rPr>
                <w:rFonts w:hint="eastAsia"/>
              </w:rPr>
              <w:t>本项目所在地不属于国家或地方法律、法规规定需特殊保护的其它区域</w:t>
            </w:r>
          </w:p>
        </w:tc>
        <w:tc>
          <w:tcPr>
            <w:tcW w:w="1015" w:type="dxa"/>
            <w:vAlign w:val="center"/>
          </w:tcPr>
          <w:p>
            <w:pPr>
              <w:pStyle w:val="8"/>
              <w:ind w:firstLine="0" w:firstLineChars="0"/>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3299" w:type="dxa"/>
            <w:vAlign w:val="center"/>
          </w:tcPr>
          <w:p>
            <w:pPr>
              <w:pStyle w:val="8"/>
              <w:ind w:firstLine="0" w:firstLineChars="0"/>
            </w:pPr>
            <w:r>
              <w:rPr>
                <w:rFonts w:hint="eastAsia"/>
              </w:rPr>
              <w:t>场界与禁建区域边界的最小距离不得小于</w:t>
            </w:r>
            <w:r>
              <w:t>500m</w:t>
            </w:r>
          </w:p>
        </w:tc>
        <w:tc>
          <w:tcPr>
            <w:tcW w:w="4747" w:type="dxa"/>
            <w:vAlign w:val="center"/>
          </w:tcPr>
          <w:p>
            <w:pPr>
              <w:pStyle w:val="8"/>
              <w:ind w:firstLine="0" w:firstLineChars="0"/>
            </w:pPr>
            <w:r>
              <w:rPr>
                <w:rFonts w:hint="eastAsia"/>
              </w:rPr>
              <w:t>项目养殖区离石公桥水库饮用水源保护区最近距离超过500m，且不属于石公桥水库饮用水源保护区的集雨范围。</w:t>
            </w:r>
          </w:p>
        </w:tc>
        <w:tc>
          <w:tcPr>
            <w:tcW w:w="1015" w:type="dxa"/>
            <w:vAlign w:val="center"/>
          </w:tcPr>
          <w:p>
            <w:pPr>
              <w:pStyle w:val="8"/>
              <w:ind w:firstLine="0" w:firstLineChars="0"/>
            </w:pPr>
            <w:r>
              <w:rPr>
                <w:rFonts w:hint="eastAsia"/>
              </w:rPr>
              <w:t>符合</w:t>
            </w:r>
          </w:p>
        </w:tc>
      </w:tr>
    </w:tbl>
    <w:p>
      <w:pPr>
        <w:spacing w:before="156" w:beforeLines="50"/>
        <w:ind w:firstLine="480"/>
      </w:pPr>
      <w:r>
        <w:rPr>
          <w:rFonts w:hint="eastAsia"/>
        </w:rPr>
        <w:t>根据表8.2-1可知，本项目选址符合《畜禽养殖业污染防治技术规范》（</w:t>
      </w:r>
      <w:r>
        <w:t>HJ/T8-2001</w:t>
      </w:r>
      <w:r>
        <w:rPr>
          <w:rFonts w:hint="eastAsia"/>
        </w:rPr>
        <w:t>）中选址要求。</w:t>
      </w:r>
    </w:p>
    <w:p>
      <w:pPr>
        <w:pStyle w:val="5"/>
        <w:spacing w:before="62" w:after="62"/>
      </w:pPr>
      <w:r>
        <w:rPr>
          <w:rFonts w:hint="eastAsia"/>
        </w:rPr>
        <w:t>8.2.3项目选址与《湖南省生态保护红线》（湘政发[2018]20号）的符合性</w:t>
      </w:r>
    </w:p>
    <w:p>
      <w:pPr>
        <w:ind w:firstLine="480"/>
      </w:pPr>
      <w:r>
        <w:rPr>
          <w:rFonts w:hint="eastAsia"/>
        </w:rPr>
        <w:t>为深入贯彻落实党中央、国务院关于生态保护红线划定工作的总体要求，优化湖南省国土空间格局，维护和改善生态功能，保障国家和区域生态安全，依据《中华人民共和国环境保护法》《中华人民共和国国家安全法》《中共中央办公厅国务院办公厅关于划定并严守生态保护红线的若干意见》等法律法规和文件规定，结合实际，省人民政府组织划定了湖南省生态保护红线。</w:t>
      </w:r>
    </w:p>
    <w:p>
      <w:pPr>
        <w:ind w:firstLine="480"/>
      </w:pPr>
      <w:r>
        <w:t>总体划定情况。湖南省生态保护红线划定面积为4.28万平方公里，占全省国土面积的20.23%。全省生态保护红线空间格局为“一湖三山四水”：“一湖”为洞庭湖(主要包括东洞庭湖、南洞庭湖、横岭湖、西洞庭湖等自然保护区和长江岸线)，主要生态功能为生物多样性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w:t>
      </w:r>
      <w:r>
        <w:rPr>
          <w:rFonts w:hint="eastAsia"/>
        </w:rPr>
        <w:t>带的重要组成部分。“四水”为湘资沅澧</w:t>
      </w:r>
      <w:r>
        <w:t>(湘江、资水、沅江、澧水)的源头区及重要水域。</w:t>
      </w:r>
    </w:p>
    <w:p>
      <w:pPr>
        <w:ind w:firstLine="480"/>
      </w:pPr>
      <w:r>
        <w:t>本项目均不在上述区域内。同时根据澧县自然资源局出具的证明文件</w:t>
      </w:r>
      <w:r>
        <w:rPr>
          <w:rFonts w:hint="eastAsia"/>
        </w:rPr>
        <w:t>，</w:t>
      </w:r>
      <w:r>
        <w:t>本项目也不在澧县的生态红线范围内</w:t>
      </w:r>
      <w:r>
        <w:rPr>
          <w:rFonts w:hint="eastAsia"/>
        </w:rPr>
        <w:t>（证明文件见附件）。</w:t>
      </w:r>
    </w:p>
    <w:p>
      <w:pPr>
        <w:pStyle w:val="5"/>
        <w:spacing w:before="62" w:after="62"/>
      </w:pPr>
      <w:r>
        <w:rPr>
          <w:rFonts w:hint="eastAsia"/>
        </w:rPr>
        <w:t>8.2.4项目选址与</w:t>
      </w:r>
      <w:r>
        <w:t>《《澧县人民政府关于印发&lt;澧县畜禽养殖禁养区限养区适养区划定方案&gt;的通知》（澧政发〔20</w:t>
      </w:r>
      <w:r>
        <w:rPr>
          <w:rFonts w:hint="eastAsia"/>
        </w:rPr>
        <w:t>20</w:t>
      </w:r>
      <w:r>
        <w:t>〕</w:t>
      </w:r>
      <w:r>
        <w:rPr>
          <w:rFonts w:hint="eastAsia"/>
        </w:rPr>
        <w:t>6</w:t>
      </w:r>
      <w:r>
        <w:t>号）文件</w:t>
      </w:r>
      <w:r>
        <w:rPr>
          <w:rFonts w:hint="eastAsia"/>
        </w:rPr>
        <w:t>的符合性分析</w:t>
      </w:r>
    </w:p>
    <w:p>
      <w:pPr>
        <w:ind w:firstLine="480"/>
      </w:pPr>
      <w:r>
        <w:t>根据《澧县人民政府关于印发&lt;澧县畜禽养殖禁养区限养区适养区划定方案&gt;的通知》（澧政发〔20</w:t>
      </w:r>
      <w:r>
        <w:rPr>
          <w:rFonts w:hint="eastAsia"/>
        </w:rPr>
        <w:t>20</w:t>
      </w:r>
      <w:r>
        <w:t>〕</w:t>
      </w:r>
      <w:r>
        <w:rPr>
          <w:rFonts w:hint="eastAsia"/>
        </w:rPr>
        <w:t>6</w:t>
      </w:r>
      <w:r>
        <w:t>号，20</w:t>
      </w:r>
      <w:r>
        <w:rPr>
          <w:rFonts w:hint="eastAsia"/>
        </w:rPr>
        <w:t>20.4.17</w:t>
      </w:r>
      <w:r>
        <w:t>）文件可知，常德市</w:t>
      </w:r>
      <w:r>
        <w:rPr>
          <w:rFonts w:hint="eastAsia"/>
        </w:rPr>
        <w:t>澧县</w:t>
      </w:r>
      <w:r>
        <w:t>畜禽规模养殖区域划分为禁养区和</w:t>
      </w:r>
      <w:r>
        <w:rPr>
          <w:rFonts w:hint="eastAsia"/>
        </w:rPr>
        <w:t>非</w:t>
      </w:r>
      <w:r>
        <w:t>禁养区两类。</w:t>
      </w:r>
      <w:r>
        <w:rPr>
          <w:rFonts w:hint="eastAsia"/>
        </w:rPr>
        <w:t>澧县</w:t>
      </w:r>
      <w:r>
        <w:t>畜禽规模养殖区域</w:t>
      </w:r>
      <w:r>
        <w:rPr>
          <w:rFonts w:hint="eastAsia"/>
        </w:rPr>
        <w:t>具体</w:t>
      </w:r>
      <w:r>
        <w:t>划分</w:t>
      </w:r>
      <w:r>
        <w:rPr>
          <w:rFonts w:hint="eastAsia"/>
        </w:rPr>
        <w:t>及本项目情况见下表。</w:t>
      </w:r>
    </w:p>
    <w:p>
      <w:pPr>
        <w:pStyle w:val="11"/>
      </w:pPr>
    </w:p>
    <w:p>
      <w:pPr>
        <w:pStyle w:val="11"/>
      </w:pPr>
    </w:p>
    <w:p>
      <w:pPr>
        <w:pStyle w:val="11"/>
      </w:pPr>
      <w:r>
        <w:t xml:space="preserve">表8.2- </w:t>
      </w:r>
      <w:r>
        <w:fldChar w:fldCharType="begin"/>
      </w:r>
      <w:r>
        <w:instrText xml:space="preserve"> SEQ 表8.2- \* ARABIC </w:instrText>
      </w:r>
      <w:r>
        <w:fldChar w:fldCharType="separate"/>
      </w:r>
      <w:r>
        <w:t>2</w:t>
      </w:r>
      <w:r>
        <w:fldChar w:fldCharType="end"/>
      </w:r>
      <w:r>
        <w:rPr>
          <w:rFonts w:hint="eastAsia"/>
        </w:rPr>
        <w:t xml:space="preserve">  澧县</w:t>
      </w:r>
      <w:r>
        <w:t>畜禽规模养殖区域划分及项目情况一览表</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2"/>
        <w:gridCol w:w="5116"/>
        <w:gridCol w:w="2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ind w:firstLine="0" w:firstLineChars="0"/>
            </w:pPr>
            <w:r>
              <w:t>养殖区域划分</w:t>
            </w:r>
          </w:p>
        </w:tc>
        <w:tc>
          <w:tcPr>
            <w:tcW w:w="5116" w:type="dxa"/>
            <w:vAlign w:val="center"/>
          </w:tcPr>
          <w:p>
            <w:pPr>
              <w:pStyle w:val="8"/>
              <w:ind w:firstLine="0" w:firstLineChars="0"/>
            </w:pPr>
            <w:r>
              <w:t>区域范围</w:t>
            </w:r>
          </w:p>
        </w:tc>
        <w:tc>
          <w:tcPr>
            <w:tcW w:w="2683" w:type="dxa"/>
            <w:vAlign w:val="center"/>
          </w:tcPr>
          <w:p>
            <w:pPr>
              <w:pStyle w:val="8"/>
              <w:ind w:firstLine="0" w:firstLineChars="0"/>
            </w:pPr>
            <w:r>
              <w:t>本项目情况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Merge w:val="restart"/>
            <w:vAlign w:val="center"/>
          </w:tcPr>
          <w:p>
            <w:pPr>
              <w:pStyle w:val="8"/>
              <w:ind w:firstLine="0" w:firstLineChars="0"/>
            </w:pPr>
            <w:r>
              <w:t>禁养区</w:t>
            </w:r>
          </w:p>
        </w:tc>
        <w:tc>
          <w:tcPr>
            <w:tcW w:w="5116" w:type="dxa"/>
            <w:vAlign w:val="center"/>
          </w:tcPr>
          <w:p>
            <w:pPr>
              <w:pStyle w:val="8"/>
              <w:ind w:firstLine="0" w:firstLineChars="0"/>
            </w:pPr>
            <w:r>
              <w:rPr>
                <w:rFonts w:hint="eastAsia"/>
              </w:rPr>
              <w:t>（1）饮用水水源保护区范围：划定禁养区47处239.11平方公里。其中，依法划定为饮用水水源保护区一级保护区、二级保护区范围的禁养区38处218.65平方公里（一级保护区13.85平方公里，二级保护区204.80平方公里），未划定为饮用水水源保护区的饮用水水源地保护区范围的禁养区9处20.46平方公里。</w:t>
            </w:r>
          </w:p>
        </w:tc>
        <w:tc>
          <w:tcPr>
            <w:tcW w:w="2683" w:type="dxa"/>
            <w:vAlign w:val="center"/>
          </w:tcPr>
          <w:p>
            <w:pPr>
              <w:pStyle w:val="8"/>
              <w:ind w:firstLine="0" w:firstLineChars="0"/>
            </w:pPr>
            <w:r>
              <w:t>本项目不属于此</w:t>
            </w:r>
            <w:r>
              <w:rPr>
                <w:rFonts w:hint="eastAsia"/>
              </w:rPr>
              <w:t>禁</w:t>
            </w:r>
            <w:r>
              <w:t>养</w:t>
            </w:r>
            <w:r>
              <w:rPr>
                <w:rFonts w:hint="eastAsia"/>
              </w:rPr>
              <w:t>区</w:t>
            </w:r>
            <w:r>
              <w:t>范围内的区域。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Merge w:val="continue"/>
            <w:vAlign w:val="center"/>
          </w:tcPr>
          <w:p>
            <w:pPr>
              <w:pStyle w:val="8"/>
              <w:ind w:firstLine="0" w:firstLineChars="0"/>
            </w:pPr>
          </w:p>
        </w:tc>
        <w:tc>
          <w:tcPr>
            <w:tcW w:w="5116" w:type="dxa"/>
            <w:vAlign w:val="center"/>
          </w:tcPr>
          <w:p>
            <w:pPr>
              <w:pStyle w:val="8"/>
              <w:ind w:firstLine="0" w:firstLineChars="0"/>
            </w:pPr>
            <w:r>
              <w:rPr>
                <w:rFonts w:hint="eastAsia"/>
              </w:rPr>
              <w:t>（2）自然保护区范围：划定禁养区1处33.35平方公里，即北民湖湿地自然保护区的核心区和缓冲区，其中核心区19.96平方公里，缓冲区13.39平方公里。</w:t>
            </w:r>
          </w:p>
        </w:tc>
        <w:tc>
          <w:tcPr>
            <w:tcW w:w="2683" w:type="dxa"/>
            <w:vAlign w:val="center"/>
          </w:tcPr>
          <w:p>
            <w:pPr>
              <w:pStyle w:val="8"/>
              <w:ind w:firstLine="0" w:firstLineChars="0"/>
            </w:pPr>
            <w:r>
              <w:t>本项目不属于此范围内的区域。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Merge w:val="continue"/>
            <w:vAlign w:val="center"/>
          </w:tcPr>
          <w:p>
            <w:pPr>
              <w:pStyle w:val="8"/>
              <w:ind w:firstLine="0" w:firstLineChars="0"/>
            </w:pPr>
          </w:p>
        </w:tc>
        <w:tc>
          <w:tcPr>
            <w:tcW w:w="5116" w:type="dxa"/>
            <w:vAlign w:val="center"/>
          </w:tcPr>
          <w:p>
            <w:pPr>
              <w:pStyle w:val="8"/>
              <w:ind w:firstLine="0" w:firstLineChars="0"/>
            </w:pPr>
            <w:r>
              <w:rPr>
                <w:rFonts w:hint="eastAsia"/>
              </w:rPr>
              <w:t>（三）城镇居民区和文化教育科学研究区等人口集中区范围。划定禁养区16处31.94平方公里，主要包括县城建成区和15个镇建成区范围。</w:t>
            </w:r>
          </w:p>
        </w:tc>
        <w:tc>
          <w:tcPr>
            <w:tcW w:w="2683" w:type="dxa"/>
            <w:vAlign w:val="center"/>
          </w:tcPr>
          <w:p>
            <w:pPr>
              <w:pStyle w:val="8"/>
              <w:ind w:firstLine="0" w:firstLineChars="0"/>
            </w:pPr>
            <w:r>
              <w:t>本</w:t>
            </w:r>
            <w:r>
              <w:rPr>
                <w:rFonts w:hint="eastAsia"/>
              </w:rPr>
              <w:t>项目</w:t>
            </w:r>
            <w:r>
              <w:t>不属于此范围内的区域。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5" w:hRule="atLeast"/>
          <w:jc w:val="center"/>
        </w:trPr>
        <w:tc>
          <w:tcPr>
            <w:tcW w:w="932" w:type="dxa"/>
            <w:vMerge w:val="restart"/>
            <w:vAlign w:val="center"/>
          </w:tcPr>
          <w:p>
            <w:pPr>
              <w:pStyle w:val="8"/>
              <w:ind w:firstLine="0" w:firstLineChars="0"/>
            </w:pPr>
            <w:r>
              <w:t>非禁养区</w:t>
            </w:r>
          </w:p>
        </w:tc>
        <w:tc>
          <w:tcPr>
            <w:tcW w:w="5116" w:type="dxa"/>
            <w:vAlign w:val="center"/>
          </w:tcPr>
          <w:p>
            <w:pPr>
              <w:pStyle w:val="8"/>
              <w:ind w:firstLine="0" w:firstLineChars="0"/>
            </w:pPr>
            <w:r>
              <w:t>（1）</w:t>
            </w:r>
            <w:r>
              <w:rPr>
                <w:rFonts w:hint="eastAsia"/>
              </w:rPr>
              <w:t>选址必须符合城乡发展规划和镇土地利用总体规划，并按有关要求在规划、自然资源、生态环保、林业、水利、畜牧、发改等部门办理相关手续；</w:t>
            </w:r>
          </w:p>
        </w:tc>
        <w:tc>
          <w:tcPr>
            <w:tcW w:w="2683" w:type="dxa"/>
            <w:vAlign w:val="center"/>
          </w:tcPr>
          <w:p>
            <w:pPr>
              <w:pStyle w:val="8"/>
              <w:ind w:firstLine="0" w:firstLineChars="0"/>
            </w:pPr>
            <w:r>
              <w:t>本项目</w:t>
            </w: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5" w:hRule="atLeast"/>
          <w:jc w:val="center"/>
        </w:trPr>
        <w:tc>
          <w:tcPr>
            <w:tcW w:w="932" w:type="dxa"/>
            <w:vMerge w:val="continue"/>
            <w:vAlign w:val="center"/>
          </w:tcPr>
          <w:p>
            <w:pPr>
              <w:pStyle w:val="8"/>
              <w:ind w:firstLine="0" w:firstLineChars="0"/>
            </w:pPr>
          </w:p>
        </w:tc>
        <w:tc>
          <w:tcPr>
            <w:tcW w:w="5116" w:type="dxa"/>
            <w:vAlign w:val="center"/>
          </w:tcPr>
          <w:p>
            <w:pPr>
              <w:pStyle w:val="8"/>
              <w:ind w:firstLine="0" w:firstLineChars="0"/>
            </w:pPr>
            <w:r>
              <w:t>（2）</w:t>
            </w:r>
            <w:r>
              <w:rPr>
                <w:rFonts w:hint="eastAsia"/>
              </w:rPr>
              <w:t>选址必须符合当地畜禽养殖规划布局，配套足够的粪污消纳面积；</w:t>
            </w:r>
          </w:p>
        </w:tc>
        <w:tc>
          <w:tcPr>
            <w:tcW w:w="2683" w:type="dxa"/>
            <w:vAlign w:val="center"/>
          </w:tcPr>
          <w:p>
            <w:pPr>
              <w:pStyle w:val="8"/>
              <w:ind w:firstLine="0" w:firstLineChars="0"/>
            </w:pPr>
            <w:r>
              <w:rPr>
                <w:rFonts w:hint="eastAsia"/>
              </w:rPr>
              <w:t>项目</w:t>
            </w:r>
            <w:r>
              <w:t>养殖粪便和污水</w:t>
            </w:r>
            <w:r>
              <w:rPr>
                <w:rFonts w:hint="eastAsia"/>
              </w:rPr>
              <w:t>进入异位发酵床车间处理后作为有机肥外售给有机肥厂，项目无废水不外排地表水环境。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5" w:hRule="atLeast"/>
          <w:jc w:val="center"/>
        </w:trPr>
        <w:tc>
          <w:tcPr>
            <w:tcW w:w="932" w:type="dxa"/>
            <w:vMerge w:val="continue"/>
            <w:vAlign w:val="center"/>
          </w:tcPr>
          <w:p>
            <w:pPr>
              <w:pStyle w:val="8"/>
              <w:ind w:firstLine="0" w:firstLineChars="0"/>
              <w:rPr>
                <w:highlight w:val="yellow"/>
              </w:rPr>
            </w:pPr>
          </w:p>
        </w:tc>
        <w:tc>
          <w:tcPr>
            <w:tcW w:w="5116" w:type="dxa"/>
            <w:vAlign w:val="center"/>
          </w:tcPr>
          <w:p>
            <w:pPr>
              <w:pStyle w:val="8"/>
              <w:ind w:firstLine="0" w:firstLineChars="0"/>
            </w:pPr>
            <w:r>
              <w:t>（3）</w:t>
            </w:r>
            <w:r>
              <w:rPr>
                <w:rFonts w:hint="eastAsia"/>
              </w:rPr>
              <w:t>建设必须符合环境保护条件，具备畜禽粪污和病死畜禽处理的设施设备和手段，并办理相关环境影响审批手续，大中型畜禽规模养殖场必须进行环境影响评价，并做到环保设施建设“三同时</w:t>
            </w:r>
          </w:p>
        </w:tc>
        <w:tc>
          <w:tcPr>
            <w:tcW w:w="2683" w:type="dxa"/>
            <w:vAlign w:val="center"/>
          </w:tcPr>
          <w:p>
            <w:pPr>
              <w:pStyle w:val="8"/>
              <w:ind w:firstLine="0" w:firstLineChars="0"/>
            </w:pPr>
            <w:r>
              <w:t>本项目</w:t>
            </w:r>
            <w:r>
              <w:rPr>
                <w:rFonts w:hint="eastAsia"/>
              </w:rPr>
              <w:t>符合，按要求进行了环境影响评价，正在办理审批手续。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9" w:hRule="atLeast"/>
          <w:jc w:val="center"/>
        </w:trPr>
        <w:tc>
          <w:tcPr>
            <w:tcW w:w="932" w:type="dxa"/>
            <w:vMerge w:val="continue"/>
            <w:vAlign w:val="center"/>
          </w:tcPr>
          <w:p>
            <w:pPr>
              <w:pStyle w:val="8"/>
              <w:ind w:firstLine="0" w:firstLineChars="0"/>
              <w:rPr>
                <w:highlight w:val="yellow"/>
              </w:rPr>
            </w:pPr>
          </w:p>
        </w:tc>
        <w:tc>
          <w:tcPr>
            <w:tcW w:w="5116" w:type="dxa"/>
            <w:vAlign w:val="center"/>
          </w:tcPr>
          <w:p>
            <w:pPr>
              <w:pStyle w:val="8"/>
              <w:ind w:firstLine="0" w:firstLineChars="0"/>
            </w:pPr>
            <w:r>
              <w:t>（4）</w:t>
            </w:r>
            <w:r>
              <w:rPr>
                <w:rFonts w:hint="eastAsia"/>
              </w:rPr>
              <w:t>生产经营必须符合动物防疫条件，并依法取得《动物防疫条件合格证》</w:t>
            </w:r>
          </w:p>
        </w:tc>
        <w:tc>
          <w:tcPr>
            <w:tcW w:w="2683" w:type="dxa"/>
            <w:vAlign w:val="center"/>
          </w:tcPr>
          <w:p>
            <w:pPr>
              <w:pStyle w:val="8"/>
              <w:ind w:firstLine="0" w:firstLineChars="0"/>
            </w:pPr>
            <w:r>
              <w:rPr>
                <w:rFonts w:hint="eastAsia"/>
              </w:rPr>
              <w:t>正在办理中</w:t>
            </w:r>
          </w:p>
        </w:tc>
      </w:tr>
    </w:tbl>
    <w:p>
      <w:pPr>
        <w:ind w:firstLine="480"/>
      </w:pPr>
      <w:r>
        <w:t>由上表可知，项目不属于《澧县人民政府关于印发&lt;澧县畜禽养殖禁养区限养区适养区划定方案&gt;的通知》（澧政发〔20</w:t>
      </w:r>
      <w:r>
        <w:rPr>
          <w:rFonts w:hint="eastAsia"/>
        </w:rPr>
        <w:t>20</w:t>
      </w:r>
      <w:r>
        <w:t>〕</w:t>
      </w:r>
      <w:r>
        <w:rPr>
          <w:rFonts w:hint="eastAsia"/>
        </w:rPr>
        <w:t>6</w:t>
      </w:r>
      <w:r>
        <w:t>号）文件</w:t>
      </w:r>
      <w:r>
        <w:rPr>
          <w:rFonts w:hint="eastAsia"/>
        </w:rPr>
        <w:t>中</w:t>
      </w:r>
      <w:r>
        <w:t>，规定的禁养区及限养区，</w:t>
      </w:r>
      <w:r>
        <w:rPr>
          <w:rFonts w:hint="eastAsia"/>
        </w:rPr>
        <w:t>因此，本项目</w:t>
      </w:r>
      <w:r>
        <w:t>不在禁养区内，本项目位于</w:t>
      </w:r>
      <w:r>
        <w:rPr>
          <w:rFonts w:hint="eastAsia"/>
        </w:rPr>
        <w:t>非禁养区</w:t>
      </w:r>
      <w:r>
        <w:t>，选址符合要求</w:t>
      </w:r>
      <w:r>
        <w:rPr>
          <w:rFonts w:hint="eastAsia"/>
        </w:rPr>
        <w:t>。</w:t>
      </w:r>
    </w:p>
    <w:p>
      <w:pPr>
        <w:ind w:firstLine="480"/>
      </w:pPr>
      <w:r>
        <w:rPr>
          <w:rFonts w:hint="eastAsia"/>
        </w:rPr>
        <w:t>同时根据2019年9月生态环境部、农业农村部联合印发《关于进一步规范</w:t>
      </w:r>
      <w:r>
        <w:fldChar w:fldCharType="begin"/>
      </w:r>
      <w:r>
        <w:instrText xml:space="preserve"> HYPERLINK "https://www.tuliu.com/tags/80.html" \t "https://www.tuliu.com/_blank" </w:instrText>
      </w:r>
      <w:r>
        <w:fldChar w:fldCharType="separate"/>
      </w:r>
      <w:r>
        <w:rPr>
          <w:rFonts w:hint="eastAsia"/>
        </w:rPr>
        <w:t>畜禽养殖</w:t>
      </w:r>
      <w:r>
        <w:rPr>
          <w:rFonts w:hint="eastAsia"/>
        </w:rPr>
        <w:fldChar w:fldCharType="end"/>
      </w:r>
      <w:r>
        <w:rPr>
          <w:rFonts w:hint="eastAsia"/>
        </w:rPr>
        <w:t>禁养区划定和管理通知》指出，除饮用水水源保护区，风景名胜区，自然保护区的核心区和缓冲区，城镇居民区、文化教育科学研究区等人口集中区域及法律法规规定的其他禁止养殖区域之外，不得划定禁养区。因此，本项目更加符合规定要求，选址合理。</w:t>
      </w:r>
    </w:p>
    <w:p>
      <w:pPr>
        <w:pStyle w:val="5"/>
        <w:spacing w:before="62" w:after="62"/>
      </w:pPr>
      <w:r>
        <w:rPr>
          <w:rFonts w:hint="eastAsia"/>
        </w:rPr>
        <w:t>8.2.5</w:t>
      </w:r>
      <w:r>
        <w:t>防护距离</w:t>
      </w:r>
      <w:r>
        <w:rPr>
          <w:rFonts w:hint="eastAsia"/>
        </w:rPr>
        <w:t>角度</w:t>
      </w:r>
      <w:r>
        <w:t>的选址合理分析</w:t>
      </w:r>
    </w:p>
    <w:p>
      <w:pPr>
        <w:ind w:firstLine="480"/>
      </w:pPr>
      <w:r>
        <w:rPr>
          <w:rFonts w:hint="eastAsia"/>
        </w:rPr>
        <w:t>经预测可知，本项目无组织排放的废气无超标点存在，无需设置大气防护距离。</w:t>
      </w:r>
    </w:p>
    <w:p>
      <w:pPr>
        <w:ind w:firstLine="480"/>
      </w:pPr>
      <w:r>
        <w:t>本</w:t>
      </w:r>
      <w:r>
        <w:rPr>
          <w:rFonts w:hint="eastAsia"/>
        </w:rPr>
        <w:t>项目养殖区的</w:t>
      </w:r>
      <w:r>
        <w:t>卫生防护距离为200m。</w:t>
      </w:r>
    </w:p>
    <w:p>
      <w:pPr>
        <w:ind w:firstLine="480"/>
      </w:pPr>
      <w:r>
        <w:rPr>
          <w:rFonts w:hint="eastAsia"/>
        </w:rPr>
        <w:t>根据对现场的调查，项目的防护距离范围内暂有居民居住，建设单位拟将全部居民房屋租赁作为项目的</w:t>
      </w:r>
      <w:bookmarkStart w:id="587" w:name="_GoBack"/>
      <w:bookmarkEnd w:id="587"/>
      <w:r>
        <w:rPr>
          <w:rFonts w:hint="eastAsia"/>
        </w:rPr>
        <w:t>办公室及员工宿舍。今后，在大气环境防护区域范围内禁止新建居民等环境敏感目标，</w:t>
      </w:r>
      <w:r>
        <w:t>同时，在此防护距离范围内应严格土地利用审批，禁止建设旅游风景区、别墅住宅区、学校、医院等环境保护敏感点。</w:t>
      </w:r>
    </w:p>
    <w:p>
      <w:pPr>
        <w:ind w:firstLine="480"/>
      </w:pPr>
      <w:r>
        <w:t>综上所述，本项目选址符合土地利用规划，符合《畜禽养殖业污染防治技术规范》（HJ/T81-2001）及《畜禽养殖产地环境评价规范》（HJ568-2010）相关选址要求，</w:t>
      </w:r>
      <w:r>
        <w:rPr>
          <w:rFonts w:hint="eastAsia"/>
        </w:rPr>
        <w:t>符合</w:t>
      </w:r>
      <w:r>
        <w:t>《澧县人民政府关于印发&lt;澧县畜禽养殖禁养区限养区适养区划定方案&gt;的通知》（澧政发〔20</w:t>
      </w:r>
      <w:r>
        <w:rPr>
          <w:rFonts w:hint="eastAsia"/>
        </w:rPr>
        <w:t>20</w:t>
      </w:r>
      <w:r>
        <w:t>〕</w:t>
      </w:r>
      <w:r>
        <w:rPr>
          <w:rFonts w:hint="eastAsia"/>
        </w:rPr>
        <w:t>6</w:t>
      </w:r>
      <w:r>
        <w:t>号）文件</w:t>
      </w:r>
      <w:r>
        <w:rPr>
          <w:rFonts w:hint="eastAsia"/>
        </w:rPr>
        <w:t>要求，</w:t>
      </w:r>
      <w:r>
        <w:t>项目卫生防护距离范围内无居民、学校等环境敏感点，区域交通、</w:t>
      </w:r>
      <w:r>
        <w:rPr>
          <w:rFonts w:hint="eastAsia"/>
        </w:rPr>
        <w:t>水、</w:t>
      </w:r>
      <w:r>
        <w:t>电设施完善，项目选址可行</w:t>
      </w:r>
      <w:r>
        <w:rPr>
          <w:rFonts w:hint="eastAsia"/>
        </w:rPr>
        <w:t>。</w:t>
      </w:r>
    </w:p>
    <w:p>
      <w:pPr>
        <w:pStyle w:val="4"/>
        <w:spacing w:before="62" w:after="62"/>
      </w:pPr>
      <w:bookmarkStart w:id="543" w:name="_Toc24739"/>
      <w:r>
        <w:rPr>
          <w:rFonts w:hint="eastAsia"/>
        </w:rPr>
        <w:t>8.3</w:t>
      </w:r>
      <w:r>
        <w:t>总平面布置可行性分析</w:t>
      </w:r>
      <w:bookmarkEnd w:id="543"/>
    </w:p>
    <w:p>
      <w:pPr>
        <w:ind w:firstLine="480"/>
      </w:pPr>
      <w:r>
        <w:t>本项目按照工艺流程，在保证提高工作效率的前提下，以地势、风向和有利于疫病预防要求为原则，结合《畜禽养殖业污染防治技术规范》（HJ/T81—2001）中的相关要求，进行科学合理的总平面布置。</w:t>
      </w:r>
    </w:p>
    <w:p>
      <w:pPr>
        <w:ind w:firstLine="480"/>
      </w:pPr>
      <w:r>
        <w:t>（1）本项目养殖场生产区、生活办公区相互分开，项目总体布置符合《畜禽养殖业污染防治技术规范》（HJ/T81-2001）的规定。</w:t>
      </w:r>
    </w:p>
    <w:p>
      <w:pPr>
        <w:ind w:firstLine="480"/>
      </w:pPr>
      <w:r>
        <w:t>（2）本项目按照饲养的操作流程布置，做到功能分区明确合理，保证养殖小区内物料运输距离短捷顺畅，干净道和污染道尽量不交叉，搞好绿化工作，使养殖场内部环境优美，空气清新，有利于人畜生活。</w:t>
      </w:r>
    </w:p>
    <w:p>
      <w:pPr>
        <w:ind w:firstLine="480"/>
      </w:pPr>
      <w:r>
        <w:t>（3）畜禽养殖需要较高的卫生条件，所以场区内绿化、美化环境显得尤为重要。该项目应在建设过程中加强场内的绿化建设和卫生要求。在道路两侧种植行道树，选择大树冠的树种，场区内树种应高低搭配，多种植乔木与灌木，尽量为场区营造一个空气清新，利于牲畜生长的生态环境。</w:t>
      </w:r>
    </w:p>
    <w:p>
      <w:pPr>
        <w:ind w:firstLine="480"/>
      </w:pPr>
      <w:r>
        <w:t>（4）本项目排水系统实行雨污分流，在场区内设置封闭排污管道。符合《畜禽养殖业污染防治技术规范》（HJ/T81-2001）的规定。</w:t>
      </w:r>
    </w:p>
    <w:p>
      <w:pPr>
        <w:ind w:firstLine="480"/>
      </w:pPr>
      <w:r>
        <w:t>综上所述，本工程总平面布置充分利用现有地势，按照功能和工艺流程布置，生活区和生产区分开。从整体布局和环境影响上看，工程总平面布置基本合理。</w:t>
      </w:r>
    </w:p>
    <w:p>
      <w:pPr>
        <w:pStyle w:val="4"/>
        <w:spacing w:before="62" w:after="62"/>
      </w:pPr>
      <w:bookmarkStart w:id="544" w:name="_Toc27224"/>
      <w:r>
        <w:rPr>
          <w:rFonts w:hint="eastAsia"/>
        </w:rPr>
        <w:t>8.4污染物排放总量控制分析</w:t>
      </w:r>
      <w:bookmarkEnd w:id="544"/>
      <w:bookmarkStart w:id="545" w:name="_Toc360007727"/>
      <w:bookmarkStart w:id="546" w:name="_Toc235612859"/>
      <w:bookmarkStart w:id="547" w:name="_Toc361212526"/>
      <w:bookmarkStart w:id="548" w:name="_Toc168308834"/>
      <w:bookmarkStart w:id="549" w:name="_Toc369165608"/>
    </w:p>
    <w:p>
      <w:pPr>
        <w:pStyle w:val="5"/>
        <w:spacing w:before="62" w:after="62"/>
      </w:pPr>
      <w:r>
        <w:rPr>
          <w:rFonts w:hint="eastAsia"/>
        </w:rPr>
        <w:t>8.4.1</w:t>
      </w:r>
      <w:r>
        <w:t>总量控制因子</w:t>
      </w:r>
      <w:bookmarkEnd w:id="545"/>
      <w:bookmarkEnd w:id="546"/>
      <w:bookmarkEnd w:id="547"/>
      <w:bookmarkEnd w:id="548"/>
      <w:bookmarkEnd w:id="549"/>
    </w:p>
    <w:p>
      <w:pPr>
        <w:ind w:firstLine="480"/>
      </w:pPr>
      <w:bookmarkStart w:id="550" w:name="_Toc360007728"/>
      <w:bookmarkStart w:id="551" w:name="_Toc361212527"/>
      <w:bookmarkStart w:id="552" w:name="_Toc369165609"/>
      <w:bookmarkStart w:id="553" w:name="_Toc168308835"/>
      <w:r>
        <w:t>在“十一五”期间国家将化学需氧量（COD）和二氧化硫（SO</w:t>
      </w:r>
      <w:r>
        <w:rPr>
          <w:vertAlign w:val="subscript"/>
        </w:rPr>
        <w:t>2</w:t>
      </w:r>
      <w:r>
        <w:t>）两项主要污染物纳入总量控制指标体系，“十二五”期间国家在前述两项指标的甚而上，将氨氮和氮氧化物（NOx）纳入总量控制指标体系，“十三五”期间在前述四项指标的基础上又拟将VOC</w:t>
      </w:r>
      <w:r>
        <w:rPr>
          <w:rFonts w:hint="eastAsia"/>
        </w:rPr>
        <w:t>s</w:t>
      </w:r>
      <w:r>
        <w:t>纳入总量控制指标体系，对上述五项主要污染物实施国家总量控制，统一要求、统一考核。</w:t>
      </w:r>
    </w:p>
    <w:p>
      <w:pPr>
        <w:ind w:firstLine="480"/>
        <w:rPr>
          <w:highlight w:val="yellow"/>
        </w:rPr>
      </w:pPr>
      <w:r>
        <w:rPr>
          <w:rFonts w:hint="eastAsia"/>
        </w:rPr>
        <w:t>结合本项目实际，本项目产生的养殖废水与粪便进入发酵床进行处理，不外排地表水环境，</w:t>
      </w:r>
      <w:r>
        <w:t>因此，本项目将</w:t>
      </w:r>
      <w:r>
        <w:rPr>
          <w:rFonts w:hint="eastAsia"/>
        </w:rPr>
        <w:t>不考虑废水污染物的总量指标；本项目不配备的沼气发电系统，不考虑废气污染物的总量指标</w:t>
      </w:r>
      <w:r>
        <w:t>。</w:t>
      </w:r>
    </w:p>
    <w:p>
      <w:pPr>
        <w:pStyle w:val="5"/>
        <w:spacing w:before="62" w:after="62"/>
      </w:pPr>
      <w:r>
        <w:rPr>
          <w:rFonts w:hint="eastAsia"/>
        </w:rPr>
        <w:t>8.4.2</w:t>
      </w:r>
      <w:r>
        <w:t>总量指标核算</w:t>
      </w:r>
      <w:bookmarkEnd w:id="550"/>
      <w:bookmarkEnd w:id="551"/>
      <w:bookmarkEnd w:id="552"/>
    </w:p>
    <w:p>
      <w:pPr>
        <w:ind w:firstLine="480"/>
      </w:pPr>
      <w:r>
        <w:t>根据工程分析结果，</w:t>
      </w:r>
      <w:r>
        <w:rPr>
          <w:rFonts w:hint="eastAsia"/>
        </w:rPr>
        <w:t>本工程不需</w:t>
      </w:r>
      <w:bookmarkEnd w:id="553"/>
      <w:r>
        <w:t>购买总量控制指标。</w:t>
      </w:r>
    </w:p>
    <w:p>
      <w:pPr>
        <w:pStyle w:val="4"/>
        <w:spacing w:before="62" w:after="62"/>
      </w:pPr>
      <w:bookmarkStart w:id="554" w:name="_Toc22432"/>
      <w:r>
        <w:rPr>
          <w:rFonts w:hint="eastAsia"/>
        </w:rPr>
        <w:t>8.5项目环评文件不予审批情况判断</w:t>
      </w:r>
      <w:bookmarkEnd w:id="554"/>
    </w:p>
    <w:p>
      <w:pPr>
        <w:ind w:firstLine="480"/>
      </w:pPr>
      <w:r>
        <w:rPr>
          <w:rFonts w:hint="eastAsia"/>
        </w:rPr>
        <w:t>根据《建设项目环境保护管理条例》（国务院令682号）第十一条，项目环评文件不予审批的情况。</w:t>
      </w:r>
    </w:p>
    <w:p>
      <w:pPr>
        <w:pStyle w:val="11"/>
      </w:pPr>
      <w:r>
        <w:t xml:space="preserve">表8.5- </w:t>
      </w:r>
      <w:r>
        <w:fldChar w:fldCharType="begin"/>
      </w:r>
      <w:r>
        <w:instrText xml:space="preserve"> SEQ 表8.5- \* ARABIC </w:instrText>
      </w:r>
      <w:r>
        <w:fldChar w:fldCharType="separate"/>
      </w:r>
      <w:r>
        <w:t>1</w:t>
      </w:r>
      <w:r>
        <w:fldChar w:fldCharType="end"/>
      </w:r>
      <w:r>
        <w:rPr>
          <w:rFonts w:hint="eastAsia"/>
        </w:rPr>
        <w:t xml:space="preserve">  澧县</w:t>
      </w:r>
      <w:r>
        <w:t>畜禽规模养殖区域划分及项目情况一览表</w:t>
      </w:r>
    </w:p>
    <w:tbl>
      <w:tblPr>
        <w:tblStyle w:val="21"/>
        <w:tblW w:w="87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2"/>
        <w:gridCol w:w="4342"/>
        <w:gridCol w:w="3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ind w:firstLine="0" w:firstLineChars="0"/>
            </w:pPr>
            <w:r>
              <w:t>序号</w:t>
            </w:r>
          </w:p>
        </w:tc>
        <w:tc>
          <w:tcPr>
            <w:tcW w:w="4342" w:type="dxa"/>
            <w:vAlign w:val="center"/>
          </w:tcPr>
          <w:p>
            <w:pPr>
              <w:pStyle w:val="8"/>
              <w:ind w:firstLine="0" w:firstLineChars="0"/>
            </w:pPr>
            <w:r>
              <w:t>不予审批情况</w:t>
            </w:r>
          </w:p>
        </w:tc>
        <w:tc>
          <w:tcPr>
            <w:tcW w:w="3457" w:type="dxa"/>
            <w:vAlign w:val="center"/>
          </w:tcPr>
          <w:p>
            <w:pPr>
              <w:pStyle w:val="8"/>
              <w:ind w:firstLine="0" w:firstLineChars="0"/>
            </w:pPr>
            <w:r>
              <w:t>本项目情况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ind w:firstLine="0" w:firstLineChars="0"/>
            </w:pPr>
            <w:r>
              <w:rPr>
                <w:rFonts w:hint="eastAsia"/>
              </w:rPr>
              <w:t>1</w:t>
            </w:r>
          </w:p>
        </w:tc>
        <w:tc>
          <w:tcPr>
            <w:tcW w:w="4342" w:type="dxa"/>
            <w:vAlign w:val="center"/>
          </w:tcPr>
          <w:p>
            <w:pPr>
              <w:pStyle w:val="8"/>
              <w:ind w:firstLine="0" w:firstLineChars="0"/>
            </w:pPr>
            <w:r>
              <w:rPr>
                <w:rFonts w:hint="eastAsia"/>
              </w:rPr>
              <w:t>建设项目类型及其选址、布局、规模等不符合环境保护法律法规和相关法定规划；</w:t>
            </w:r>
          </w:p>
        </w:tc>
        <w:tc>
          <w:tcPr>
            <w:tcW w:w="3457" w:type="dxa"/>
            <w:vAlign w:val="center"/>
          </w:tcPr>
          <w:p>
            <w:pPr>
              <w:pStyle w:val="8"/>
              <w:ind w:firstLine="0" w:firstLineChars="0"/>
            </w:pPr>
            <w:r>
              <w:rPr>
                <w:rFonts w:hint="eastAsia"/>
              </w:rPr>
              <w:t>本项目为畜禽养殖项目，其养殖规模符合澧县畜牧业发展相关规划。项目选址位于适养区，平面布局基本合理</w:t>
            </w:r>
            <w:r>
              <w:t>。均符合</w:t>
            </w:r>
            <w:r>
              <w:rPr>
                <w:rFonts w:hint="eastAsia"/>
              </w:rPr>
              <w:t>环境保护法律法规和相关法定规划。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ind w:firstLine="0" w:firstLineChars="0"/>
            </w:pPr>
            <w:r>
              <w:rPr>
                <w:rFonts w:hint="eastAsia"/>
              </w:rPr>
              <w:t>2</w:t>
            </w:r>
          </w:p>
        </w:tc>
        <w:tc>
          <w:tcPr>
            <w:tcW w:w="4342" w:type="dxa"/>
            <w:vAlign w:val="center"/>
          </w:tcPr>
          <w:p>
            <w:pPr>
              <w:pStyle w:val="8"/>
              <w:ind w:firstLine="0" w:firstLineChars="0"/>
            </w:pPr>
            <w:r>
              <w:rPr>
                <w:rFonts w:hint="eastAsia"/>
              </w:rPr>
              <w:t>所在区域环境质量未达到国家或者地方环境质量标准，且建设项目拟采取的措施不能满足区域环境质量改善目标管理要求</w:t>
            </w:r>
          </w:p>
        </w:tc>
        <w:tc>
          <w:tcPr>
            <w:tcW w:w="3457" w:type="dxa"/>
            <w:vAlign w:val="center"/>
          </w:tcPr>
          <w:p>
            <w:pPr>
              <w:pStyle w:val="8"/>
              <w:ind w:firstLine="0" w:firstLineChars="0"/>
            </w:pPr>
            <w:r>
              <w:rPr>
                <w:rFonts w:hint="eastAsia"/>
              </w:rPr>
              <w:t>项目所在区域环境质量达到国家或者地方环境质量标准。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ind w:firstLine="0" w:firstLineChars="0"/>
            </w:pPr>
            <w:r>
              <w:rPr>
                <w:rFonts w:hint="eastAsia"/>
              </w:rPr>
              <w:t>3</w:t>
            </w:r>
          </w:p>
        </w:tc>
        <w:tc>
          <w:tcPr>
            <w:tcW w:w="4342" w:type="dxa"/>
            <w:vAlign w:val="center"/>
          </w:tcPr>
          <w:p>
            <w:pPr>
              <w:pStyle w:val="8"/>
              <w:ind w:firstLine="0" w:firstLineChars="0"/>
            </w:pPr>
            <w:r>
              <w:rPr>
                <w:rFonts w:hint="eastAsia"/>
              </w:rPr>
              <w:t>建设项目采取的污染防治措施无法确保污染物排放达到国家和地方排放标准，或者未采取必要措施预防和控制生态破坏；</w:t>
            </w:r>
          </w:p>
        </w:tc>
        <w:tc>
          <w:tcPr>
            <w:tcW w:w="3457" w:type="dxa"/>
            <w:vAlign w:val="center"/>
          </w:tcPr>
          <w:p>
            <w:pPr>
              <w:pStyle w:val="8"/>
              <w:ind w:firstLine="0" w:firstLineChars="0"/>
            </w:pPr>
            <w:r>
              <w:rPr>
                <w:rFonts w:hint="eastAsia"/>
              </w:rPr>
              <w:t>本项目采取的各种污染防治措施能确保污染物排放达标，固废能得到妥善与安全处理。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ind w:firstLine="0" w:firstLineChars="0"/>
            </w:pPr>
            <w:r>
              <w:rPr>
                <w:rFonts w:hint="eastAsia"/>
              </w:rPr>
              <w:t>4</w:t>
            </w:r>
          </w:p>
        </w:tc>
        <w:tc>
          <w:tcPr>
            <w:tcW w:w="4342" w:type="dxa"/>
            <w:vAlign w:val="center"/>
          </w:tcPr>
          <w:p>
            <w:pPr>
              <w:pStyle w:val="8"/>
              <w:ind w:firstLine="0" w:firstLineChars="0"/>
            </w:pPr>
            <w:r>
              <w:rPr>
                <w:rFonts w:hint="eastAsia"/>
              </w:rPr>
              <w:t>改建、扩建和技术改造项目，未针对项目原有环境污染和生态破坏提出有效防治措施；</w:t>
            </w:r>
          </w:p>
        </w:tc>
        <w:tc>
          <w:tcPr>
            <w:tcW w:w="3457" w:type="dxa"/>
            <w:vAlign w:val="center"/>
          </w:tcPr>
          <w:p>
            <w:pPr>
              <w:pStyle w:val="8"/>
              <w:ind w:firstLine="0" w:firstLineChars="0"/>
            </w:pPr>
            <w:r>
              <w:rPr>
                <w:rFonts w:hint="eastAsia"/>
              </w:rPr>
              <w:t>本项目为新建项目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32" w:type="dxa"/>
            <w:vAlign w:val="center"/>
          </w:tcPr>
          <w:p>
            <w:pPr>
              <w:pStyle w:val="8"/>
              <w:ind w:firstLine="0" w:firstLineChars="0"/>
            </w:pPr>
            <w:r>
              <w:rPr>
                <w:rFonts w:hint="eastAsia"/>
              </w:rPr>
              <w:t>5</w:t>
            </w:r>
          </w:p>
        </w:tc>
        <w:tc>
          <w:tcPr>
            <w:tcW w:w="4342" w:type="dxa"/>
            <w:vAlign w:val="center"/>
          </w:tcPr>
          <w:p>
            <w:pPr>
              <w:pStyle w:val="8"/>
              <w:ind w:firstLine="0" w:firstLineChars="0"/>
            </w:pPr>
            <w:r>
              <w:rPr>
                <w:rFonts w:hint="eastAsia"/>
              </w:rPr>
              <w:t>建设项目的环境影响报告书、环境影响报告表的基础资料数据明显不实，内容存在重大缺陷、遗漏，或者环境影响评价结论不明确、不合理。</w:t>
            </w:r>
          </w:p>
        </w:tc>
        <w:tc>
          <w:tcPr>
            <w:tcW w:w="3457" w:type="dxa"/>
            <w:vAlign w:val="center"/>
          </w:tcPr>
          <w:p>
            <w:pPr>
              <w:pStyle w:val="8"/>
              <w:ind w:firstLine="0" w:firstLineChars="0"/>
            </w:pPr>
            <w:r>
              <w:rPr>
                <w:rFonts w:hint="eastAsia"/>
              </w:rPr>
              <w:t>本报告的基础资料数据参照相关技术、规范及公开发表的文献等，来源均有据可；监测数据委托有监测资质单位实测。环境影响结论明确、合理。</w:t>
            </w:r>
          </w:p>
        </w:tc>
      </w:tr>
    </w:tbl>
    <w:p>
      <w:pPr>
        <w:ind w:firstLine="480"/>
        <w:rPr>
          <w:highlight w:val="yellow"/>
        </w:rPr>
        <w:sectPr>
          <w:pgSz w:w="11850" w:h="16783"/>
          <w:pgMar w:top="1440" w:right="1800" w:bottom="1440" w:left="1800" w:header="851" w:footer="1134" w:gutter="0"/>
          <w:cols w:space="720" w:num="1"/>
          <w:docGrid w:type="lines" w:linePitch="312" w:charSpace="0"/>
        </w:sectPr>
      </w:pPr>
      <w:r>
        <w:rPr>
          <w:rFonts w:hint="eastAsia"/>
        </w:rPr>
        <w:t>综上所述，本项目不存在环境影响报告书不予以审批的情形。从环境保护角度，本项目不存在明显环境制约条件，项目建设可行。</w:t>
      </w:r>
    </w:p>
    <w:p>
      <w:pPr>
        <w:pStyle w:val="2"/>
      </w:pPr>
      <w:bookmarkStart w:id="555" w:name="_Toc26948"/>
      <w:r>
        <w:t>第九章</w:t>
      </w:r>
      <w:r>
        <w:rPr>
          <w:rFonts w:hint="eastAsia"/>
        </w:rPr>
        <w:t xml:space="preserve">  </w:t>
      </w:r>
      <w:r>
        <w:t>结论与建议</w:t>
      </w:r>
      <w:bookmarkEnd w:id="555"/>
    </w:p>
    <w:bookmarkEnd w:id="538"/>
    <w:p>
      <w:pPr>
        <w:pStyle w:val="4"/>
        <w:spacing w:before="62" w:after="62"/>
      </w:pPr>
      <w:bookmarkStart w:id="556" w:name="_Toc32211"/>
      <w:bookmarkStart w:id="557" w:name="_Toc468689313"/>
      <w:r>
        <w:rPr>
          <w:rFonts w:hint="eastAsia"/>
        </w:rPr>
        <w:t>9.1</w:t>
      </w:r>
      <w:r>
        <w:t>建设项目概况</w:t>
      </w:r>
      <w:bookmarkEnd w:id="539"/>
      <w:bookmarkEnd w:id="556"/>
      <w:bookmarkEnd w:id="557"/>
    </w:p>
    <w:p>
      <w:pPr>
        <w:ind w:firstLine="480"/>
      </w:pPr>
      <w:bookmarkStart w:id="558" w:name="_Toc468689314"/>
      <w:bookmarkStart w:id="559" w:name="_Toc289344628"/>
      <w:r>
        <w:rPr>
          <w:rFonts w:hint="eastAsia"/>
        </w:rPr>
        <w:t>项目名称：澧县鸣怡牧业有限公司建设项目</w:t>
      </w:r>
    </w:p>
    <w:p>
      <w:pPr>
        <w:ind w:firstLine="480"/>
      </w:pPr>
      <w:r>
        <w:rPr>
          <w:rFonts w:hint="eastAsia"/>
        </w:rPr>
        <w:t>建设性质：新建</w:t>
      </w:r>
    </w:p>
    <w:p>
      <w:pPr>
        <w:ind w:firstLine="480"/>
        <w:rPr>
          <w:highlight w:val="yellow"/>
        </w:rPr>
      </w:pPr>
      <w:r>
        <w:rPr>
          <w:rFonts w:hint="eastAsia"/>
        </w:rPr>
        <w:t>建设规模：项目占地14595.47m</w:t>
      </w:r>
      <w:r>
        <w:rPr>
          <w:rFonts w:hint="eastAsia"/>
          <w:vertAlign w:val="superscript"/>
        </w:rPr>
        <w:t>2</w:t>
      </w:r>
      <w:r>
        <w:rPr>
          <w:rFonts w:hint="eastAsia"/>
        </w:rPr>
        <w:t>（合21.89亩），年出栏生猪10000头。</w:t>
      </w:r>
    </w:p>
    <w:p>
      <w:pPr>
        <w:ind w:firstLine="480"/>
      </w:pPr>
      <w:r>
        <w:rPr>
          <w:rFonts w:hint="eastAsia"/>
        </w:rPr>
        <w:t>建设地点：澧县大堰垱镇石公桥村</w:t>
      </w:r>
    </w:p>
    <w:p>
      <w:pPr>
        <w:ind w:firstLine="480"/>
      </w:pPr>
      <w:r>
        <w:rPr>
          <w:rFonts w:hint="eastAsia"/>
        </w:rPr>
        <w:t>建设单位：澧县鸣怡牧业有限公司</w:t>
      </w:r>
    </w:p>
    <w:p>
      <w:pPr>
        <w:ind w:firstLine="480"/>
      </w:pPr>
      <w:r>
        <w:rPr>
          <w:rFonts w:hint="eastAsia"/>
        </w:rPr>
        <w:t>资金及来源：总投资600万元，全部由企业自筹</w:t>
      </w:r>
    </w:p>
    <w:p>
      <w:pPr>
        <w:ind w:firstLine="480"/>
        <w:rPr>
          <w:highlight w:val="yellow"/>
        </w:rPr>
      </w:pPr>
      <w:r>
        <w:rPr>
          <w:rFonts w:hint="eastAsia"/>
        </w:rPr>
        <w:t>建设进度：项目计划于</w:t>
      </w:r>
      <w:r>
        <w:t>20</w:t>
      </w:r>
      <w:r>
        <w:rPr>
          <w:rFonts w:hint="eastAsia"/>
        </w:rPr>
        <w:t>20年11月动工建设，</w:t>
      </w:r>
      <w:r>
        <w:t>20</w:t>
      </w:r>
      <w:r>
        <w:rPr>
          <w:rFonts w:hint="eastAsia"/>
        </w:rPr>
        <w:t>21年8月底基本建成。</w:t>
      </w:r>
    </w:p>
    <w:p>
      <w:pPr>
        <w:ind w:firstLine="480"/>
      </w:pPr>
      <w:r>
        <w:rPr>
          <w:rFonts w:hint="eastAsia"/>
        </w:rPr>
        <w:t>项目工程用地通过征用澧县大堰垱镇石公桥村集体用地21.89亩</w:t>
      </w:r>
      <w:r>
        <w:t>及流转的形式</w:t>
      </w:r>
      <w:r>
        <w:rPr>
          <w:rFonts w:hint="eastAsia"/>
        </w:rPr>
        <w:t>，建设了年出栏生猪10000头的养殖基地。主要建设内容包括：育肥舍3栋、生活房、冷冻库、门卫以及供水、供电、供热、道路等相关配套设施。发酵床垫料作为有机肥外售有机肥厂。</w:t>
      </w:r>
    </w:p>
    <w:p>
      <w:pPr>
        <w:ind w:firstLine="480"/>
      </w:pPr>
      <w:r>
        <w:rPr>
          <w:rFonts w:hint="eastAsia"/>
        </w:rPr>
        <w:t>项目工程符合国家的产业政策，符合相关的环境保护法律法规及技术规定，选址合理，符合所在区域乡村土地利用总体规划，符合区域畜牧业发展规划。</w:t>
      </w:r>
    </w:p>
    <w:p>
      <w:pPr>
        <w:pStyle w:val="4"/>
        <w:spacing w:before="62" w:after="62"/>
      </w:pPr>
      <w:bookmarkStart w:id="560" w:name="_Toc8680"/>
      <w:r>
        <w:rPr>
          <w:rFonts w:hint="eastAsia"/>
        </w:rPr>
        <w:t>9.2环境质量现状评价结论</w:t>
      </w:r>
      <w:bookmarkEnd w:id="558"/>
      <w:bookmarkEnd w:id="559"/>
      <w:bookmarkEnd w:id="560"/>
    </w:p>
    <w:p>
      <w:pPr>
        <w:ind w:firstLine="480"/>
      </w:pPr>
      <w:r>
        <w:rPr>
          <w:rFonts w:hint="eastAsia"/>
        </w:rPr>
        <w:t>（</w:t>
      </w:r>
      <w:r>
        <w:t>1</w:t>
      </w:r>
      <w:r>
        <w:rPr>
          <w:rFonts w:hint="eastAsia"/>
        </w:rPr>
        <w:t>）地表水环境</w:t>
      </w:r>
    </w:p>
    <w:p>
      <w:pPr>
        <w:ind w:firstLine="480"/>
      </w:pPr>
      <w:r>
        <w:rPr>
          <w:rFonts w:hint="eastAsia"/>
        </w:rPr>
        <w:t>由监测结果可知，</w:t>
      </w:r>
      <w:bookmarkStart w:id="561" w:name="_Toc468689316"/>
      <w:r>
        <w:rPr>
          <w:rFonts w:hint="eastAsia"/>
        </w:rPr>
        <w:t>南面水塘各监测因子均可达到《农田灌溉水质标准》（GB5084-2005）水作、旱作类标准中最严格限值；东南面农灌渠各监测因子均可达到《地表水环境质量标准》（GB3838-2002）III类标准。</w:t>
      </w:r>
    </w:p>
    <w:p>
      <w:pPr>
        <w:ind w:firstLine="480"/>
      </w:pPr>
      <w:r>
        <w:rPr>
          <w:rFonts w:hint="eastAsia"/>
        </w:rPr>
        <w:t>（2）地下水环境</w:t>
      </w:r>
    </w:p>
    <w:p>
      <w:pPr>
        <w:ind w:firstLine="480"/>
      </w:pPr>
      <w:r>
        <w:rPr>
          <w:rFonts w:hint="eastAsia"/>
        </w:rPr>
        <w:t>由监测结果可知，所在区域</w:t>
      </w:r>
      <w:r>
        <w:t>地下水中</w:t>
      </w:r>
      <w:r>
        <w:rPr>
          <w:rFonts w:hint="eastAsia"/>
        </w:rPr>
        <w:t>各监测指标均符合《地下水质量标准》（GB/T14848-2017）中III类水质要求，区域地下水环境质量较好</w:t>
      </w:r>
      <w:r>
        <w:t>。</w:t>
      </w:r>
    </w:p>
    <w:p>
      <w:pPr>
        <w:ind w:firstLine="480"/>
      </w:pPr>
      <w:r>
        <w:rPr>
          <w:rFonts w:hint="eastAsia"/>
        </w:rPr>
        <w:t>（3）环境空气</w:t>
      </w:r>
      <w:bookmarkEnd w:id="561"/>
    </w:p>
    <w:p>
      <w:pPr>
        <w:ind w:firstLine="480"/>
        <w:rPr>
          <w:highlight w:val="yellow"/>
        </w:rPr>
      </w:pPr>
      <w:r>
        <w:rPr>
          <w:rFonts w:hint="eastAsia"/>
          <w:color w:val="000000"/>
        </w:rPr>
        <w:t>澧县</w:t>
      </w:r>
      <w:r>
        <w:rPr>
          <w:color w:val="000000"/>
        </w:rPr>
        <w:t>环保局常规监测</w:t>
      </w:r>
      <w:r>
        <w:rPr>
          <w:rFonts w:hint="eastAsia"/>
          <w:color w:val="000000"/>
        </w:rPr>
        <w:t>点位</w:t>
      </w:r>
      <w:r>
        <w:rPr>
          <w:color w:val="000000"/>
          <w:kern w:val="0"/>
        </w:rPr>
        <w:t>的环境空气污染物SO</w:t>
      </w:r>
      <w:r>
        <w:rPr>
          <w:color w:val="000000"/>
          <w:kern w:val="0"/>
          <w:vertAlign w:val="subscript"/>
        </w:rPr>
        <w:t>2</w:t>
      </w:r>
      <w:r>
        <w:rPr>
          <w:color w:val="000000"/>
          <w:kern w:val="0"/>
        </w:rPr>
        <w:t>、NO</w:t>
      </w:r>
      <w:r>
        <w:rPr>
          <w:color w:val="000000"/>
          <w:kern w:val="0"/>
          <w:vertAlign w:val="subscript"/>
        </w:rPr>
        <w:t>2</w:t>
      </w:r>
      <w:r>
        <w:rPr>
          <w:color w:val="000000"/>
          <w:kern w:val="0"/>
        </w:rPr>
        <w:t>、</w:t>
      </w:r>
      <w:r>
        <w:rPr>
          <w:color w:val="000000"/>
          <w:lang w:bidi="ar"/>
        </w:rPr>
        <w:t>PM</w:t>
      </w:r>
      <w:r>
        <w:rPr>
          <w:color w:val="000000"/>
          <w:vertAlign w:val="subscript"/>
          <w:lang w:bidi="ar"/>
        </w:rPr>
        <w:t>10</w:t>
      </w:r>
      <w:r>
        <w:rPr>
          <w:color w:val="000000"/>
          <w:kern w:val="0"/>
        </w:rPr>
        <w:t>、</w:t>
      </w:r>
      <w:r>
        <w:rPr>
          <w:rFonts w:hint="eastAsia" w:cs="宋体"/>
          <w:color w:val="000000"/>
          <w:lang w:bidi="ar"/>
        </w:rPr>
        <w:t>CO、O</w:t>
      </w:r>
      <w:r>
        <w:rPr>
          <w:rFonts w:hint="eastAsia" w:cs="宋体"/>
          <w:color w:val="000000"/>
          <w:vertAlign w:val="subscript"/>
          <w:lang w:bidi="ar"/>
        </w:rPr>
        <w:t>3</w:t>
      </w:r>
      <w:r>
        <w:rPr>
          <w:color w:val="000000"/>
          <w:kern w:val="0"/>
        </w:rPr>
        <w:t>年均浓度值均低于《环境空气质量标准》（GB3095-2012）中二级标准的要求，</w:t>
      </w:r>
      <w:r>
        <w:rPr>
          <w:color w:val="000000"/>
          <w:lang w:bidi="ar"/>
        </w:rPr>
        <w:t>PM</w:t>
      </w:r>
      <w:r>
        <w:rPr>
          <w:color w:val="000000"/>
          <w:vertAlign w:val="subscript"/>
          <w:lang w:bidi="ar"/>
        </w:rPr>
        <w:t>2.5</w:t>
      </w:r>
      <w:r>
        <w:rPr>
          <w:rFonts w:hint="eastAsia" w:cs="宋体"/>
          <w:color w:val="000000"/>
          <w:lang w:bidi="ar"/>
        </w:rPr>
        <w:t>的年平均值为0.042</w:t>
      </w:r>
      <w:r>
        <w:rPr>
          <w:color w:val="000000"/>
          <w:lang w:bidi="ar"/>
        </w:rPr>
        <w:t>mg/m</w:t>
      </w:r>
      <w:r>
        <w:rPr>
          <w:color w:val="000000"/>
          <w:vertAlign w:val="superscript"/>
          <w:lang w:bidi="ar"/>
        </w:rPr>
        <w:t>3</w:t>
      </w:r>
      <w:r>
        <w:rPr>
          <w:rFonts w:hint="eastAsia" w:cs="宋体"/>
          <w:color w:val="000000"/>
          <w:lang w:bidi="ar"/>
        </w:rPr>
        <w:t>，</w:t>
      </w:r>
      <w:r>
        <w:rPr>
          <w:rFonts w:hint="eastAsia"/>
          <w:color w:val="000000"/>
          <w:kern w:val="0"/>
        </w:rPr>
        <w:t>未能达到</w:t>
      </w:r>
      <w:r>
        <w:rPr>
          <w:color w:val="000000"/>
          <w:kern w:val="0"/>
        </w:rPr>
        <w:t>《环境空气质量标准》（GB3095-2012）中二级标准的要求</w:t>
      </w:r>
      <w:r>
        <w:rPr>
          <w:rFonts w:hint="eastAsia"/>
          <w:color w:val="000000"/>
          <w:kern w:val="0"/>
        </w:rPr>
        <w:t>。</w:t>
      </w:r>
      <w:r>
        <w:rPr>
          <w:rFonts w:hint="eastAsia" w:cs="宋体"/>
          <w:color w:val="000000"/>
          <w:spacing w:val="-4"/>
          <w:szCs w:val="21"/>
          <w:lang w:bidi="ar"/>
        </w:rPr>
        <w:t>项目所在区域为不达标区。因此区域要求有限期达标规划；</w:t>
      </w:r>
      <w:r>
        <w:rPr>
          <w:rFonts w:hint="eastAsia"/>
        </w:rPr>
        <w:t>特征污染物</w:t>
      </w:r>
      <w:r>
        <w:t>NH</w:t>
      </w:r>
      <w:r>
        <w:rPr>
          <w:vertAlign w:val="subscript"/>
        </w:rPr>
        <w:t>3</w:t>
      </w:r>
      <w:r>
        <w:rPr>
          <w:rFonts w:hint="eastAsia"/>
        </w:rPr>
        <w:t>、</w:t>
      </w:r>
      <w:r>
        <w:t>H</w:t>
      </w:r>
      <w:r>
        <w:rPr>
          <w:vertAlign w:val="subscript"/>
        </w:rPr>
        <w:t>2</w:t>
      </w:r>
      <w:r>
        <w:t>S</w:t>
      </w:r>
      <w:r>
        <w:rPr>
          <w:rFonts w:hint="eastAsia"/>
        </w:rPr>
        <w:t>可满足《环境影响评价技术导则 大气环境》（HJ2.2-2018）附录D1“其他污染物空气质量参考限值”。</w:t>
      </w:r>
    </w:p>
    <w:p>
      <w:pPr>
        <w:ind w:firstLine="480"/>
      </w:pPr>
      <w:bookmarkStart w:id="562" w:name="_Toc468689317"/>
      <w:r>
        <w:rPr>
          <w:rFonts w:hint="eastAsia"/>
        </w:rPr>
        <w:t>（4）声环境</w:t>
      </w:r>
      <w:bookmarkEnd w:id="562"/>
    </w:p>
    <w:p>
      <w:pPr>
        <w:ind w:firstLine="480"/>
      </w:pPr>
      <w:r>
        <w:rPr>
          <w:rFonts w:hint="eastAsia"/>
        </w:rPr>
        <w:t>从监测结果可知，项目周边声环境均满足《声环境质量标准》(</w:t>
      </w:r>
      <w:r>
        <w:t>GB3095-2008</w:t>
      </w:r>
      <w:r>
        <w:rPr>
          <w:rFonts w:hint="eastAsia"/>
        </w:rPr>
        <w:t>)中</w:t>
      </w:r>
      <w:r>
        <w:t>2</w:t>
      </w:r>
      <w:r>
        <w:rPr>
          <w:rFonts w:hint="eastAsia"/>
        </w:rPr>
        <w:t>类标准要求。项目所在区域声环境质量良好。</w:t>
      </w:r>
    </w:p>
    <w:p>
      <w:pPr>
        <w:pStyle w:val="4"/>
        <w:spacing w:before="62" w:after="62"/>
      </w:pPr>
      <w:bookmarkStart w:id="563" w:name="_Toc468689320"/>
      <w:bookmarkStart w:id="564" w:name="_Toc289344630"/>
      <w:bookmarkStart w:id="565" w:name="_Toc5583"/>
      <w:r>
        <w:rPr>
          <w:rFonts w:hint="eastAsia"/>
        </w:rPr>
        <w:t>9.3环境影响预测与评价结论</w:t>
      </w:r>
      <w:bookmarkEnd w:id="563"/>
      <w:bookmarkEnd w:id="564"/>
      <w:bookmarkEnd w:id="565"/>
    </w:p>
    <w:p>
      <w:pPr>
        <w:pStyle w:val="5"/>
        <w:spacing w:before="62" w:after="62"/>
      </w:pPr>
      <w:bookmarkStart w:id="566" w:name="_Toc468689323"/>
      <w:r>
        <w:rPr>
          <w:rFonts w:hint="eastAsia"/>
        </w:rPr>
        <w:t>9.3.1</w:t>
      </w:r>
      <w:r>
        <w:t>施工期环境影响评价结论</w:t>
      </w:r>
    </w:p>
    <w:p>
      <w:pPr>
        <w:ind w:firstLine="480"/>
      </w:pPr>
      <w:r>
        <w:t>在本项目建设施工过程中将会对周围环境造成一定的污染影响。施工期环境影响因素主要有水土流失、施工废气、施工噪声、施工废水和施工固体废物，由于项目施工时间短，对环境影响有限，且各污染物通过采取环评报告提出的污染防治措施后均能达标排放，项目施工期对环境影响较小。</w:t>
      </w:r>
    </w:p>
    <w:p>
      <w:pPr>
        <w:pStyle w:val="5"/>
        <w:spacing w:before="62" w:after="62"/>
      </w:pPr>
      <w:r>
        <w:rPr>
          <w:rFonts w:hint="eastAsia"/>
        </w:rPr>
        <w:t>9.3.2</w:t>
      </w:r>
      <w:r>
        <w:t>运营期环境影响评价结论</w:t>
      </w:r>
    </w:p>
    <w:p>
      <w:pPr>
        <w:ind w:firstLine="480"/>
      </w:pPr>
      <w:r>
        <w:rPr>
          <w:rFonts w:hint="eastAsia"/>
        </w:rPr>
        <w:t>（</w:t>
      </w:r>
      <w:r>
        <w:t>1</w:t>
      </w:r>
      <w:r>
        <w:rPr>
          <w:rFonts w:hint="eastAsia"/>
        </w:rPr>
        <w:t>）地表水环境影响分析结论</w:t>
      </w:r>
      <w:bookmarkEnd w:id="566"/>
    </w:p>
    <w:p>
      <w:pPr>
        <w:ind w:firstLine="480"/>
      </w:pPr>
      <w:bookmarkStart w:id="567" w:name="_Toc468689324"/>
      <w:r>
        <w:rPr>
          <w:rFonts w:hint="eastAsia"/>
        </w:rPr>
        <w:t>本项目养殖场均实施了雨污分流，项目猪粪尿均进入微生物异位发酵床处理车间处理，经过发酵、分解、挥发损失后，无废水外排。</w:t>
      </w:r>
    </w:p>
    <w:p>
      <w:pPr>
        <w:ind w:firstLine="480"/>
      </w:pPr>
      <w:r>
        <w:rPr>
          <w:rFonts w:hint="eastAsia"/>
        </w:rPr>
        <w:t xml:space="preserve">评价人员对周边的走访调查也发现，项目周边均为低山丘陵，地表水系不发达，没有明显的表面径流。项目不在饮用水源保护区范围内。 </w:t>
      </w:r>
    </w:p>
    <w:p>
      <w:pPr>
        <w:ind w:firstLine="480"/>
      </w:pPr>
      <w:r>
        <w:rPr>
          <w:rFonts w:hint="eastAsia"/>
        </w:rPr>
        <w:t>因此，本项目养殖污水对周边地表水体水质影响很小。</w:t>
      </w:r>
    </w:p>
    <w:p>
      <w:pPr>
        <w:ind w:firstLine="480"/>
      </w:pPr>
      <w:r>
        <w:rPr>
          <w:rFonts w:hint="eastAsia"/>
        </w:rPr>
        <w:t>（</w:t>
      </w:r>
      <w:r>
        <w:t>2</w:t>
      </w:r>
      <w:r>
        <w:rPr>
          <w:rFonts w:hint="eastAsia"/>
        </w:rPr>
        <w:t>）地下水环境影响分析结论</w:t>
      </w:r>
      <w:bookmarkEnd w:id="567"/>
    </w:p>
    <w:p>
      <w:pPr>
        <w:ind w:firstLine="480"/>
      </w:pPr>
      <w:r>
        <w:rPr>
          <w:rFonts w:hint="eastAsia"/>
        </w:rPr>
        <w:t>项目粪污处理区、猪舍等按规定进行了防渗处理，可以有效防止污水渗入地下，场区污水渗入地下的可能性较小。</w:t>
      </w:r>
    </w:p>
    <w:p>
      <w:pPr>
        <w:ind w:firstLine="480"/>
      </w:pPr>
      <w:r>
        <w:rPr>
          <w:rFonts w:hint="eastAsia"/>
        </w:rPr>
        <w:t>因此，必须加强养殖区污水处理、收集、排放设施和固废处理设施的防渗，通过强有力的防渗措施可使地下水的影响控制在可接受的范围内。通过调查，评价区域地下水属于上部水量丰富、下部水量中等的双层孔隙承压水的区域，受地表水影响较小。故项目建成后加强养殖区和污水、固废收集处理设施的防渗，对区域地下水环境影响不大。</w:t>
      </w:r>
    </w:p>
    <w:p>
      <w:pPr>
        <w:ind w:firstLine="480"/>
      </w:pPr>
      <w:r>
        <w:rPr>
          <w:rFonts w:hint="eastAsia"/>
        </w:rPr>
        <w:t>项目周边无地下水井，所在区域居民也不饮用地下水，地下水环境不敏感，因而项目运营对地下水影响较小。</w:t>
      </w:r>
    </w:p>
    <w:p>
      <w:pPr>
        <w:ind w:firstLine="480"/>
      </w:pPr>
      <w:r>
        <w:rPr>
          <w:rFonts w:hint="eastAsia"/>
        </w:rPr>
        <w:t>（</w:t>
      </w:r>
      <w:r>
        <w:t>3</w:t>
      </w:r>
      <w:r>
        <w:rPr>
          <w:rFonts w:hint="eastAsia"/>
        </w:rPr>
        <w:t>）大气环境影响分析结论</w:t>
      </w:r>
    </w:p>
    <w:p>
      <w:pPr>
        <w:ind w:firstLine="480"/>
      </w:pPr>
      <w:r>
        <w:rPr>
          <w:rFonts w:hint="eastAsia"/>
        </w:rPr>
        <w:t>本项目运营后，废气排放源主要有猪舍化粪池、发酵床产生的恶臭气体，备用发电机产生的烟气以及食堂产生的油烟等废气。</w:t>
      </w:r>
    </w:p>
    <w:p>
      <w:pPr>
        <w:ind w:firstLine="480"/>
      </w:pPr>
      <w:r>
        <w:rPr>
          <w:rFonts w:hint="eastAsia"/>
        </w:rPr>
        <w:t>①恶臭气体</w:t>
      </w:r>
    </w:p>
    <w:p>
      <w:pPr>
        <w:ind w:firstLine="480"/>
      </w:pPr>
      <w:r>
        <w:rPr>
          <w:rFonts w:hint="eastAsia"/>
        </w:rPr>
        <w:t>本项目大气污染物主要是养殖场猪舍、集污池、异位发酵床等产生的恶臭气体。</w:t>
      </w:r>
    </w:p>
    <w:p>
      <w:pPr>
        <w:ind w:firstLine="480"/>
      </w:pPr>
      <w:r>
        <w:rPr>
          <w:rFonts w:hint="eastAsia"/>
        </w:rPr>
        <w:t>预测结果表明：养殖区面源无组织排放的废气中，</w:t>
      </w:r>
      <w:r>
        <w:t>NH</w:t>
      </w:r>
      <w:r>
        <w:rPr>
          <w:vertAlign w:val="subscript"/>
        </w:rPr>
        <w:t>3</w:t>
      </w:r>
      <w:r>
        <w:t>最大占标率Pmax为</w:t>
      </w:r>
      <w:r>
        <w:rPr>
          <w:rFonts w:hint="eastAsia"/>
        </w:rPr>
        <w:t>0.97</w:t>
      </w:r>
      <w:r>
        <w:t>%，H</w:t>
      </w:r>
      <w:r>
        <w:rPr>
          <w:vertAlign w:val="subscript"/>
        </w:rPr>
        <w:t>2</w:t>
      </w:r>
      <w:r>
        <w:t>S最大占标率Pmax为</w:t>
      </w:r>
      <w:r>
        <w:rPr>
          <w:rFonts w:hint="eastAsia"/>
        </w:rPr>
        <w:t>1.59</w:t>
      </w:r>
      <w:r>
        <w:t>%，离源距离为</w:t>
      </w:r>
      <w:r>
        <w:rPr>
          <w:rFonts w:hint="eastAsia"/>
        </w:rPr>
        <w:t>136</w:t>
      </w:r>
      <w:r>
        <w:t>m，占标率＜10%。本项目大气评价等级为二级。</w:t>
      </w:r>
    </w:p>
    <w:p>
      <w:pPr>
        <w:ind w:firstLine="480"/>
      </w:pPr>
      <w:r>
        <w:rPr>
          <w:rFonts w:hint="eastAsia"/>
        </w:rPr>
        <w:t>本环评通过计算，项目养殖区均不需设置大气环境防护距离。</w:t>
      </w:r>
    </w:p>
    <w:p>
      <w:pPr>
        <w:ind w:firstLine="480"/>
      </w:pPr>
      <w:r>
        <w:rPr>
          <w:rFonts w:hint="eastAsia"/>
        </w:rPr>
        <w:t>本环评通过计算，并结合规范相关要求，最终确定项目养殖区需设置</w:t>
      </w:r>
      <w:r>
        <w:t>200m</w:t>
      </w:r>
      <w:r>
        <w:rPr>
          <w:rFonts w:hint="eastAsia"/>
        </w:rPr>
        <w:t>的卫生防护距离。根据对现场的调查，项目养殖区的防护距离范围内暂有居民居住，建设单位已租用作为办公室和员工宿舍。今后，在卫生防护区域范围内禁止新建居民等环境敏感目标。</w:t>
      </w:r>
    </w:p>
    <w:p>
      <w:pPr>
        <w:ind w:firstLine="480"/>
      </w:pPr>
      <w:bookmarkStart w:id="568" w:name="_Toc468689326"/>
      <w:r>
        <w:rPr>
          <w:rFonts w:hint="eastAsia"/>
        </w:rPr>
        <w:t>②</w:t>
      </w:r>
      <w:r>
        <w:t>备用柴油发电机尾气</w:t>
      </w:r>
    </w:p>
    <w:p>
      <w:pPr>
        <w:ind w:firstLine="480"/>
      </w:pPr>
      <w:r>
        <w:t>备用柴油发电机使用时间少，环评要求项目使用0＃柴油，0＃柴油属清洁能源，其燃烧产生的废气污染物较少，经屋顶排放，对周围环境的影响较小。</w:t>
      </w:r>
    </w:p>
    <w:p>
      <w:pPr>
        <w:ind w:firstLine="480"/>
      </w:pPr>
      <w:r>
        <w:rPr>
          <w:rFonts w:hint="eastAsia"/>
        </w:rPr>
        <w:t>③油烟废气</w:t>
      </w:r>
    </w:p>
    <w:p>
      <w:pPr>
        <w:ind w:firstLine="480"/>
      </w:pPr>
      <w:r>
        <w:rPr>
          <w:rFonts w:hint="eastAsia"/>
        </w:rPr>
        <w:t>食堂设有油烟净化器，设计除烟效率</w:t>
      </w:r>
      <w:r>
        <w:t>≥85%</w:t>
      </w:r>
      <w:r>
        <w:rPr>
          <w:rFonts w:hint="eastAsia"/>
        </w:rPr>
        <w:t>，经其处理后油烟排放量很小，油烟废气经油烟净化器处理后引至屋顶高于主体建筑排气筒排放，对周边环境影响小。</w:t>
      </w:r>
    </w:p>
    <w:p>
      <w:pPr>
        <w:ind w:firstLine="480"/>
      </w:pPr>
      <w:r>
        <w:rPr>
          <w:rFonts w:hint="eastAsia"/>
        </w:rPr>
        <w:t>（4）声环境影响分析结论</w:t>
      </w:r>
      <w:bookmarkEnd w:id="568"/>
    </w:p>
    <w:p>
      <w:pPr>
        <w:ind w:firstLine="480"/>
      </w:pPr>
      <w:bookmarkStart w:id="569" w:name="_Toc468689327"/>
      <w:r>
        <w:rPr>
          <w:rFonts w:hint="eastAsia"/>
        </w:rPr>
        <w:t>通过工程分析，本项目猪舍噪声主要来自猪群叫声和猪舍排气扇产生的噪声。猪舍内猪只特别是猪仔发出的叫声基本上属于偶发性噪声，随机性较大，一般噪声在</w:t>
      </w:r>
      <w:r>
        <w:t>70</w:t>
      </w:r>
      <w:r>
        <w:rPr>
          <w:rFonts w:hint="eastAsia"/>
        </w:rPr>
        <w:t>～</w:t>
      </w:r>
      <w:r>
        <w:t>80dB(A)</w:t>
      </w:r>
      <w:r>
        <w:rPr>
          <w:rFonts w:hint="eastAsia"/>
        </w:rPr>
        <w:t>左右，猪舍排气扇在猪舍需要通风换气时连续运转产生机械噪声，一般噪声在</w:t>
      </w:r>
      <w:r>
        <w:t>75</w:t>
      </w:r>
      <w:r>
        <w:rPr>
          <w:rFonts w:hint="eastAsia"/>
        </w:rPr>
        <w:t>～</w:t>
      </w:r>
      <w:r>
        <w:t>85dB(A)</w:t>
      </w:r>
      <w:r>
        <w:rPr>
          <w:rFonts w:hint="eastAsia"/>
        </w:rPr>
        <w:t>左右。猪的叫声由于无法人为控制，猪叫时会在猪群之间相互产生一些影响，同时排气扇在运转时也会产生一些噪声，影响附近猪群。为了减少猪叫声对操作工人及猪群的影响，尽可能满足猪只饮食需要，避免因饥饿或口渴而发出叫声；播放轻音乐，同时应减少外界噪声等对猪舍的干扰，避免因惊吓而产生不安，使猪只保持安定平和的气氛，以缓解猪只的不安情绪；禁止夜间装车等。</w:t>
      </w:r>
    </w:p>
    <w:p>
      <w:pPr>
        <w:ind w:firstLine="480"/>
      </w:pPr>
      <w:r>
        <w:rPr>
          <w:rFonts w:hint="eastAsia"/>
        </w:rPr>
        <w:t>项目养殖区周边200</w:t>
      </w:r>
      <w:r>
        <w:t xml:space="preserve"> m</w:t>
      </w:r>
      <w:r>
        <w:rPr>
          <w:rFonts w:hint="eastAsia"/>
        </w:rPr>
        <w:t>范围内没有居民，养殖区噪声对周边声环境影响较小。</w:t>
      </w:r>
    </w:p>
    <w:p>
      <w:pPr>
        <w:ind w:firstLine="480"/>
      </w:pPr>
      <w:r>
        <w:rPr>
          <w:rFonts w:hint="eastAsia"/>
        </w:rPr>
        <w:t>（5）固体废物环境影响分析结论</w:t>
      </w:r>
      <w:bookmarkEnd w:id="569"/>
    </w:p>
    <w:p>
      <w:pPr>
        <w:ind w:firstLine="480"/>
        <w:rPr>
          <w:highlight w:val="yellow"/>
        </w:rPr>
      </w:pPr>
      <w:r>
        <w:rPr>
          <w:rFonts w:hint="eastAsia"/>
        </w:rPr>
        <w:t>病死牲畜等采用冷冻库暂存，再依托市县二级病死畜禽无害化集中处理中心进行无害化处理；医疗废物委托有资质的单位处理；粪污经发酵床处理后，与废弃发酵床垫料混合物是优质的有机肥，直接外售施用于种植基地进行资源化利用；生活垃圾委托环卫统一处理。</w:t>
      </w:r>
    </w:p>
    <w:p>
      <w:pPr>
        <w:ind w:firstLine="480"/>
      </w:pPr>
      <w:bookmarkStart w:id="570" w:name="_Toc468689328"/>
      <w:r>
        <w:rPr>
          <w:rFonts w:hint="eastAsia"/>
        </w:rPr>
        <w:t>建设项目产生的固体废物均得到了妥善处置和综合利用，符合《畜禽养殖业污染防治技术规范》的要求，不向环境排放，所以本工程固体废物对环境的影响可以接受。</w:t>
      </w:r>
    </w:p>
    <w:bookmarkEnd w:id="570"/>
    <w:p>
      <w:pPr>
        <w:pStyle w:val="5"/>
        <w:spacing w:before="62" w:after="62"/>
      </w:pPr>
      <w:bookmarkStart w:id="571" w:name="_Toc468689331"/>
      <w:bookmarkStart w:id="572" w:name="_Toc289344631"/>
      <w:r>
        <w:rPr>
          <w:rFonts w:hint="eastAsia"/>
        </w:rPr>
        <w:t>9.3.3污染防治措施结论</w:t>
      </w:r>
      <w:bookmarkEnd w:id="571"/>
      <w:bookmarkEnd w:id="572"/>
    </w:p>
    <w:p>
      <w:pPr>
        <w:ind w:firstLine="480"/>
      </w:pPr>
      <w:r>
        <w:rPr>
          <w:rFonts w:hint="eastAsia"/>
        </w:rPr>
        <w:t>本项目采用微生物异位发酵床技术，对养殖粪尿进行微生物发酵处理，更换发酵床垫料</w:t>
      </w:r>
      <w:r>
        <w:t>作为有机农肥</w:t>
      </w:r>
      <w:r>
        <w:rPr>
          <w:rFonts w:hint="eastAsia"/>
        </w:rPr>
        <w:t>外售农机合作社综合利用，可实现足够消纳项目所产生的粪。</w:t>
      </w:r>
    </w:p>
    <w:p>
      <w:pPr>
        <w:ind w:firstLine="480"/>
      </w:pPr>
      <w:r>
        <w:rPr>
          <w:rFonts w:hint="eastAsia"/>
        </w:rPr>
        <w:t>此外，为有效防止项目运营对区域大气环境造成影响，项目对产生的恶臭气体采取水帘通风除臭、选用氨基酸平衡的低蛋白的饲料和合理使用饲料添加剂、喷洒除臭剂等综合措施减少恶臭气体排放。</w:t>
      </w:r>
    </w:p>
    <w:p>
      <w:pPr>
        <w:ind w:firstLine="480"/>
      </w:pPr>
      <w:r>
        <w:rPr>
          <w:rFonts w:hint="eastAsia"/>
        </w:rPr>
        <w:t>综合分析，本项目所采取的各项污染防治措施从技术经济角度分析均具有可行性。</w:t>
      </w:r>
    </w:p>
    <w:p>
      <w:pPr>
        <w:pStyle w:val="4"/>
        <w:spacing w:before="62" w:after="62"/>
      </w:pPr>
      <w:bookmarkStart w:id="573" w:name="_Toc18770"/>
      <w:bookmarkStart w:id="574" w:name="_Toc289344632"/>
      <w:bookmarkStart w:id="575" w:name="_Toc468689338"/>
      <w:r>
        <w:rPr>
          <w:rFonts w:hint="eastAsia"/>
        </w:rPr>
        <w:t>9.4</w:t>
      </w:r>
      <w:r>
        <w:t>项目建设可行性评价结论</w:t>
      </w:r>
      <w:bookmarkEnd w:id="573"/>
      <w:bookmarkEnd w:id="574"/>
      <w:bookmarkEnd w:id="575"/>
    </w:p>
    <w:p>
      <w:pPr>
        <w:ind w:firstLine="480"/>
      </w:pPr>
      <w:r>
        <w:rPr>
          <w:rFonts w:hint="eastAsia"/>
        </w:rPr>
        <w:t>（</w:t>
      </w:r>
      <w:r>
        <w:t>1</w:t>
      </w:r>
      <w:r>
        <w:rPr>
          <w:rFonts w:hint="eastAsia"/>
        </w:rPr>
        <w:t>）项目建设符合产业政策分析性结论</w:t>
      </w:r>
    </w:p>
    <w:p>
      <w:pPr>
        <w:ind w:firstLine="480"/>
      </w:pPr>
      <w:r>
        <w:rPr>
          <w:rFonts w:hint="eastAsia"/>
        </w:rPr>
        <w:t>本项目属于《国民经济行业分类》分类中的</w:t>
      </w:r>
      <w:r>
        <w:t>“A0320</w:t>
      </w:r>
      <w:r>
        <w:rPr>
          <w:rFonts w:hint="eastAsia"/>
        </w:rPr>
        <w:t>猪的养殖</w:t>
      </w:r>
      <w:r>
        <w:t>”</w:t>
      </w:r>
      <w:r>
        <w:rPr>
          <w:rFonts w:hint="eastAsia"/>
        </w:rPr>
        <w:t>，根据《产业结构调整指导目录》（</w:t>
      </w:r>
      <w:r>
        <w:t>20</w:t>
      </w:r>
      <w:r>
        <w:rPr>
          <w:rFonts w:hint="eastAsia"/>
        </w:rPr>
        <w:t>19年），不属于限制类和淘汰类的产业，场区未使用淘汰类设备；符合近年来中共中央、国务院颁布的</w:t>
      </w:r>
      <w:r>
        <w:t>1</w:t>
      </w:r>
      <w:r>
        <w:rPr>
          <w:rFonts w:hint="eastAsia"/>
        </w:rPr>
        <w:t>号文件加强畜牧业生产的精神。因此，本项目建设符合国家的产业政策。</w:t>
      </w:r>
    </w:p>
    <w:p>
      <w:pPr>
        <w:ind w:firstLine="480"/>
      </w:pPr>
      <w:bookmarkStart w:id="576" w:name="_Toc468689339"/>
      <w:r>
        <w:rPr>
          <w:rFonts w:hint="eastAsia"/>
        </w:rPr>
        <w:t>（</w:t>
      </w:r>
      <w:r>
        <w:t>2</w:t>
      </w:r>
      <w:r>
        <w:rPr>
          <w:rFonts w:hint="eastAsia"/>
        </w:rPr>
        <w:t>）项目选址合理性结论</w:t>
      </w:r>
      <w:bookmarkEnd w:id="576"/>
    </w:p>
    <w:p>
      <w:pPr>
        <w:ind w:firstLine="480"/>
      </w:pPr>
      <w:r>
        <w:rPr>
          <w:rFonts w:hint="eastAsia"/>
        </w:rPr>
        <w:t>本项目选址符合当地的乡村土地利用总体规划，符合《畜禽养殖业污染防治技术规范》基本要求，符合《湖南省生态保护红线》（湘政发</w:t>
      </w:r>
      <w:r>
        <w:t>[2018]20号）的相关要求，</w:t>
      </w:r>
      <w:r>
        <w:rPr>
          <w:rFonts w:hint="eastAsia"/>
        </w:rPr>
        <w:t>符合澧县畜牧养殖业发展规划，位于《</w:t>
      </w:r>
      <w:r>
        <w:t>澧县畜禽养殖禁养区限养区适养区划定方案》</w:t>
      </w:r>
      <w:r>
        <w:rPr>
          <w:rFonts w:hint="eastAsia"/>
        </w:rPr>
        <w:t>中的适养区，项目选址基本合理。</w:t>
      </w:r>
    </w:p>
    <w:p>
      <w:pPr>
        <w:ind w:firstLine="480"/>
      </w:pPr>
      <w:bookmarkStart w:id="577" w:name="_Toc468689340"/>
      <w:r>
        <w:rPr>
          <w:rFonts w:hint="eastAsia"/>
        </w:rPr>
        <w:t>（</w:t>
      </w:r>
      <w:r>
        <w:t>3</w:t>
      </w:r>
      <w:r>
        <w:rPr>
          <w:rFonts w:hint="eastAsia"/>
        </w:rPr>
        <w:t>）总图布置合理性分析</w:t>
      </w:r>
      <w:bookmarkEnd w:id="577"/>
    </w:p>
    <w:p>
      <w:pPr>
        <w:ind w:firstLine="480"/>
      </w:pPr>
      <w:r>
        <w:rPr>
          <w:rFonts w:hint="eastAsia"/>
        </w:rPr>
        <w:t>该项目在平面布置上生产区和非生产区功能分区布置相对独立，通过合理组织功能分区，合理布置工艺车间，合理组织交通运输使物料运输方便快捷；保证生产工艺流程畅通。场界四周及生产区四周种植高大乔木，尽可能减轻恶臭气体对居民的影响因素。保证场区平面布置符合环境保护、安全生产、卫生防疫、绿化与工业企业卫生要求。</w:t>
      </w:r>
    </w:p>
    <w:p>
      <w:pPr>
        <w:ind w:firstLine="480"/>
      </w:pPr>
      <w:r>
        <w:rPr>
          <w:rFonts w:hint="eastAsia"/>
        </w:rPr>
        <w:t>（4）本项目无明显环境制约因素。</w:t>
      </w:r>
    </w:p>
    <w:p>
      <w:pPr>
        <w:pStyle w:val="4"/>
        <w:spacing w:before="62" w:after="62"/>
      </w:pPr>
      <w:bookmarkStart w:id="578" w:name="_Toc12820"/>
      <w:r>
        <w:rPr>
          <w:rFonts w:hint="eastAsia"/>
        </w:rPr>
        <w:t>9.5公众参与结论</w:t>
      </w:r>
      <w:bookmarkEnd w:id="578"/>
    </w:p>
    <w:p>
      <w:pPr>
        <w:ind w:firstLine="480"/>
      </w:pPr>
      <w:r>
        <w:rPr>
          <w:rFonts w:hint="eastAsia"/>
        </w:rPr>
        <w:t>项目建设单位在环评期间开展了公示，于2020年9月29日在澧县科协网进行了首次公示</w:t>
      </w:r>
      <w:r>
        <w:rPr>
          <w:rFonts w:hint="eastAsia"/>
          <w:lang w:val="en"/>
        </w:rPr>
        <w:t>；又</w:t>
      </w:r>
      <w:r>
        <w:rPr>
          <w:lang w:val="en"/>
        </w:rPr>
        <w:t>于20</w:t>
      </w:r>
      <w:r>
        <w:rPr>
          <w:rFonts w:hint="eastAsia"/>
        </w:rPr>
        <w:t>20</w:t>
      </w:r>
      <w:r>
        <w:rPr>
          <w:lang w:val="en"/>
        </w:rPr>
        <w:t>年</w:t>
      </w:r>
      <w:r>
        <w:rPr>
          <w:rFonts w:hint="eastAsia"/>
        </w:rPr>
        <w:t>10</w:t>
      </w:r>
      <w:r>
        <w:rPr>
          <w:lang w:val="en"/>
        </w:rPr>
        <w:t>月</w:t>
      </w:r>
      <w:r>
        <w:rPr>
          <w:rFonts w:hint="eastAsia"/>
        </w:rPr>
        <w:t>10</w:t>
      </w:r>
      <w:r>
        <w:rPr>
          <w:lang w:val="en"/>
        </w:rPr>
        <w:t>日进行了本工程环境影响报告书征求意见稿公示，公示网络媒体为</w:t>
      </w:r>
      <w:r>
        <w:rPr>
          <w:rFonts w:hint="eastAsia"/>
        </w:rPr>
        <w:t>澧县科协网</w:t>
      </w:r>
      <w:r>
        <w:rPr>
          <w:rFonts w:hint="eastAsia"/>
          <w:lang w:val="en"/>
        </w:rPr>
        <w:t>，该网络公示期间，建设单位</w:t>
      </w:r>
      <w:r>
        <w:rPr>
          <w:color w:val="000000"/>
          <w:kern w:val="0"/>
          <w:lang w:val="en"/>
        </w:rPr>
        <w:t>于20</w:t>
      </w:r>
      <w:r>
        <w:rPr>
          <w:rFonts w:hint="eastAsia"/>
          <w:color w:val="000000"/>
          <w:kern w:val="0"/>
        </w:rPr>
        <w:t>20</w:t>
      </w:r>
      <w:r>
        <w:rPr>
          <w:color w:val="000000"/>
          <w:kern w:val="0"/>
          <w:lang w:val="en"/>
        </w:rPr>
        <w:t>年</w:t>
      </w:r>
      <w:r>
        <w:rPr>
          <w:rFonts w:hint="eastAsia"/>
          <w:color w:val="000000"/>
          <w:kern w:val="0"/>
        </w:rPr>
        <w:t>10</w:t>
      </w:r>
      <w:r>
        <w:rPr>
          <w:color w:val="000000"/>
          <w:kern w:val="0"/>
          <w:lang w:val="en"/>
        </w:rPr>
        <w:t>月</w:t>
      </w:r>
      <w:r>
        <w:rPr>
          <w:rFonts w:hint="eastAsia"/>
          <w:color w:val="000000"/>
          <w:kern w:val="0"/>
        </w:rPr>
        <w:t>13</w:t>
      </w:r>
      <w:r>
        <w:rPr>
          <w:color w:val="000000"/>
          <w:kern w:val="0"/>
          <w:lang w:val="en"/>
        </w:rPr>
        <w:t>日</w:t>
      </w:r>
      <w:r>
        <w:rPr>
          <w:color w:val="000000"/>
          <w:kern w:val="0"/>
        </w:rPr>
        <w:t>和20</w:t>
      </w:r>
      <w:r>
        <w:rPr>
          <w:rFonts w:hint="eastAsia"/>
          <w:color w:val="000000"/>
          <w:kern w:val="0"/>
        </w:rPr>
        <w:t>20</w:t>
      </w:r>
      <w:r>
        <w:rPr>
          <w:color w:val="000000"/>
          <w:kern w:val="0"/>
        </w:rPr>
        <w:t>年</w:t>
      </w:r>
      <w:r>
        <w:rPr>
          <w:rFonts w:hint="eastAsia"/>
          <w:color w:val="000000"/>
          <w:kern w:val="0"/>
        </w:rPr>
        <w:t>10</w:t>
      </w:r>
      <w:r>
        <w:rPr>
          <w:color w:val="000000"/>
          <w:kern w:val="0"/>
        </w:rPr>
        <w:t>月</w:t>
      </w:r>
      <w:r>
        <w:rPr>
          <w:rFonts w:hint="eastAsia"/>
          <w:color w:val="000000"/>
          <w:kern w:val="0"/>
        </w:rPr>
        <w:t>16</w:t>
      </w:r>
      <w:r>
        <w:rPr>
          <w:color w:val="000000"/>
          <w:kern w:val="0"/>
        </w:rPr>
        <w:t>日</w:t>
      </w:r>
      <w:r>
        <w:rPr>
          <w:color w:val="000000"/>
          <w:kern w:val="0"/>
          <w:lang w:val="en"/>
        </w:rPr>
        <w:t>通过</w:t>
      </w:r>
      <w:r>
        <w:rPr>
          <w:color w:val="000000"/>
          <w:kern w:val="0"/>
        </w:rPr>
        <w:t>报纸</w:t>
      </w:r>
      <w:r>
        <w:rPr>
          <w:color w:val="000000"/>
          <w:kern w:val="0"/>
          <w:lang w:val="en"/>
        </w:rPr>
        <w:t>公示的方式进行</w:t>
      </w:r>
      <w:r>
        <w:rPr>
          <w:color w:val="000000"/>
          <w:kern w:val="0"/>
        </w:rPr>
        <w:t>两次</w:t>
      </w:r>
      <w:r>
        <w:rPr>
          <w:color w:val="000000"/>
          <w:kern w:val="0"/>
          <w:lang w:val="en"/>
        </w:rPr>
        <w:t>了本工程</w:t>
      </w:r>
      <w:r>
        <w:rPr>
          <w:bCs/>
        </w:rPr>
        <w:t>环境影响</w:t>
      </w:r>
      <w:r>
        <w:rPr>
          <w:kern w:val="0"/>
        </w:rPr>
        <w:t>报告书</w:t>
      </w:r>
      <w:r>
        <w:rPr>
          <w:color w:val="000000"/>
          <w:kern w:val="0"/>
          <w:lang w:val="en"/>
        </w:rPr>
        <w:t>征求意见稿公示，</w:t>
      </w:r>
      <w:r>
        <w:rPr>
          <w:color w:val="000000"/>
          <w:kern w:val="0"/>
        </w:rPr>
        <w:t>公示报纸为</w:t>
      </w:r>
      <w:r>
        <w:rPr>
          <w:rFonts w:hint="eastAsia"/>
          <w:color w:val="000000"/>
          <w:kern w:val="0"/>
        </w:rPr>
        <w:t>常德日报</w:t>
      </w:r>
      <w:r>
        <w:rPr>
          <w:color w:val="000000"/>
          <w:kern w:val="0"/>
          <w:lang w:val="en"/>
        </w:rPr>
        <w:t>20</w:t>
      </w:r>
      <w:r>
        <w:rPr>
          <w:rFonts w:hint="eastAsia"/>
          <w:color w:val="000000"/>
          <w:kern w:val="0"/>
        </w:rPr>
        <w:t>20</w:t>
      </w:r>
      <w:r>
        <w:rPr>
          <w:color w:val="000000"/>
          <w:kern w:val="0"/>
          <w:lang w:val="en"/>
        </w:rPr>
        <w:t>年</w:t>
      </w:r>
      <w:r>
        <w:rPr>
          <w:rFonts w:hint="eastAsia"/>
          <w:color w:val="000000"/>
          <w:kern w:val="0"/>
        </w:rPr>
        <w:t>10</w:t>
      </w:r>
      <w:r>
        <w:rPr>
          <w:color w:val="000000"/>
          <w:kern w:val="0"/>
          <w:lang w:val="en"/>
        </w:rPr>
        <w:t>月</w:t>
      </w:r>
      <w:r>
        <w:rPr>
          <w:rFonts w:hint="eastAsia"/>
          <w:color w:val="000000"/>
          <w:kern w:val="0"/>
        </w:rPr>
        <w:t>13</w:t>
      </w:r>
      <w:r>
        <w:rPr>
          <w:color w:val="000000"/>
          <w:kern w:val="0"/>
          <w:lang w:val="en"/>
        </w:rPr>
        <w:t>日</w:t>
      </w:r>
      <w:r>
        <w:rPr>
          <w:rFonts w:hint="eastAsia"/>
          <w:color w:val="000000"/>
          <w:kern w:val="0"/>
        </w:rPr>
        <w:t>第10432期和</w:t>
      </w:r>
      <w:r>
        <w:rPr>
          <w:color w:val="000000"/>
          <w:kern w:val="0"/>
        </w:rPr>
        <w:t>20</w:t>
      </w:r>
      <w:r>
        <w:rPr>
          <w:rFonts w:hint="eastAsia"/>
          <w:color w:val="000000"/>
          <w:kern w:val="0"/>
        </w:rPr>
        <w:t>20</w:t>
      </w:r>
      <w:r>
        <w:rPr>
          <w:color w:val="000000"/>
          <w:kern w:val="0"/>
        </w:rPr>
        <w:t>年</w:t>
      </w:r>
      <w:r>
        <w:rPr>
          <w:rFonts w:hint="eastAsia"/>
          <w:color w:val="000000"/>
          <w:kern w:val="0"/>
        </w:rPr>
        <w:t>10</w:t>
      </w:r>
      <w:r>
        <w:rPr>
          <w:color w:val="000000"/>
          <w:kern w:val="0"/>
        </w:rPr>
        <w:t>月</w:t>
      </w:r>
      <w:r>
        <w:rPr>
          <w:rFonts w:hint="eastAsia"/>
          <w:color w:val="000000"/>
          <w:kern w:val="0"/>
        </w:rPr>
        <w:t>16</w:t>
      </w:r>
      <w:r>
        <w:rPr>
          <w:color w:val="000000"/>
          <w:kern w:val="0"/>
        </w:rPr>
        <w:t>日</w:t>
      </w:r>
      <w:r>
        <w:rPr>
          <w:rFonts w:hint="eastAsia"/>
          <w:color w:val="000000"/>
          <w:kern w:val="0"/>
        </w:rPr>
        <w:t>第10435期。同时</w:t>
      </w:r>
      <w:r>
        <w:rPr>
          <w:color w:val="000000"/>
          <w:kern w:val="0"/>
        </w:rPr>
        <w:t>20</w:t>
      </w:r>
      <w:r>
        <w:rPr>
          <w:rFonts w:hint="eastAsia"/>
          <w:color w:val="000000"/>
          <w:kern w:val="0"/>
        </w:rPr>
        <w:t>20</w:t>
      </w:r>
      <w:r>
        <w:rPr>
          <w:color w:val="000000"/>
          <w:kern w:val="0"/>
        </w:rPr>
        <w:t>年</w:t>
      </w:r>
      <w:r>
        <w:rPr>
          <w:rFonts w:hint="eastAsia"/>
          <w:color w:val="000000"/>
          <w:kern w:val="0"/>
        </w:rPr>
        <w:t>10</w:t>
      </w:r>
      <w:r>
        <w:rPr>
          <w:color w:val="000000"/>
          <w:kern w:val="0"/>
        </w:rPr>
        <w:t>月</w:t>
      </w:r>
      <w:r>
        <w:rPr>
          <w:rFonts w:hint="eastAsia"/>
          <w:color w:val="000000"/>
          <w:kern w:val="0"/>
        </w:rPr>
        <w:t>12</w:t>
      </w:r>
      <w:r>
        <w:rPr>
          <w:color w:val="000000"/>
          <w:kern w:val="0"/>
        </w:rPr>
        <w:t>日，</w:t>
      </w:r>
      <w:r>
        <w:rPr>
          <w:rFonts w:hint="eastAsia"/>
          <w:color w:val="000000"/>
          <w:kern w:val="0"/>
        </w:rPr>
        <w:t>建设单位</w:t>
      </w:r>
      <w:r>
        <w:rPr>
          <w:color w:val="000000"/>
          <w:kern w:val="0"/>
        </w:rPr>
        <w:t>进行了现场公示，公示地点为</w:t>
      </w:r>
      <w:r>
        <w:rPr>
          <w:rFonts w:hint="eastAsia"/>
          <w:color w:val="000000"/>
          <w:kern w:val="0"/>
        </w:rPr>
        <w:t>项目周边居民点</w:t>
      </w:r>
      <w:r>
        <w:rPr>
          <w:color w:val="000000"/>
          <w:kern w:val="0"/>
        </w:rPr>
        <w:t>，公示时间为10个工作日</w:t>
      </w:r>
      <w:r>
        <w:rPr>
          <w:rFonts w:hint="eastAsia"/>
          <w:color w:val="000000"/>
          <w:kern w:val="0"/>
        </w:rPr>
        <w:t>，</w:t>
      </w:r>
      <w:r>
        <w:rPr>
          <w:rFonts w:hint="eastAsia"/>
        </w:rPr>
        <w:t>公众均</w:t>
      </w:r>
      <w:r>
        <w:t>100%</w:t>
      </w:r>
      <w:r>
        <w:rPr>
          <w:rFonts w:hint="eastAsia"/>
        </w:rPr>
        <w:t>赞成本项目建设，认为本项目建设对地区经济发展及居民个体长远利益均有积极的推动作用，说明该项目得到了较大的群众支持。</w:t>
      </w:r>
    </w:p>
    <w:p>
      <w:pPr>
        <w:pStyle w:val="4"/>
        <w:spacing w:before="62" w:after="62"/>
      </w:pPr>
      <w:bookmarkStart w:id="579" w:name="_Toc6944"/>
      <w:bookmarkStart w:id="580" w:name="_Toc289344636"/>
      <w:bookmarkStart w:id="581" w:name="_Toc468689343"/>
      <w:r>
        <w:rPr>
          <w:rFonts w:hint="eastAsia"/>
        </w:rPr>
        <w:t>9.6综合结论</w:t>
      </w:r>
      <w:bookmarkEnd w:id="579"/>
      <w:bookmarkEnd w:id="580"/>
      <w:bookmarkEnd w:id="581"/>
    </w:p>
    <w:p>
      <w:pPr>
        <w:ind w:firstLine="480"/>
      </w:pPr>
      <w:bookmarkStart w:id="582" w:name="_Toc468689344"/>
      <w:bookmarkStart w:id="583" w:name="_Toc213226908"/>
      <w:bookmarkStart w:id="584" w:name="_Toc289344637"/>
      <w:bookmarkStart w:id="585" w:name="_Toc211660900"/>
      <w:r>
        <w:rPr>
          <w:rFonts w:hint="eastAsia"/>
        </w:rPr>
        <w:t>本项目采用微生物异位发酵床技术，对养殖粪尿进行微生物发酵处理，更换发酵床垫料</w:t>
      </w:r>
      <w:r>
        <w:t>作为有机农肥</w:t>
      </w:r>
      <w:r>
        <w:rPr>
          <w:rFonts w:hint="eastAsia"/>
        </w:rPr>
        <w:t>外售农机合作社综合利用，符合产业政策要求，社会经济效益明显。项目采用微生物异位发酵床生态养殖技术，将猪粪尿进行微生物发酵处理，没有粪污排出猪舍，废弃发酵床垫料作为有机肥料进行综合利用，符合《国务院办公厅关于加快推进畜禽养殖废弃物资源化利用的意见》的相关要求，项目可实现粪污完全消纳，不外排，对环境的影响较小，在环境可承受的范围内。因此，只要建设单位认真贯彻执行国家和地方的环境保护法律法规，切实落实本评价提出的各项污染防治措施及风险防范措施，进一步加强日常环境管理和风险防控，可做到废气和噪声达标排放、粪污液渣全部综合利用，从环境保护技术角度而言，本项目的建设是可行的。</w:t>
      </w:r>
    </w:p>
    <w:p>
      <w:pPr>
        <w:pStyle w:val="4"/>
        <w:spacing w:before="62" w:after="62"/>
      </w:pPr>
      <w:bookmarkStart w:id="586" w:name="_Toc11891"/>
      <w:r>
        <w:rPr>
          <w:rFonts w:hint="eastAsia"/>
        </w:rPr>
        <w:t>9.7</w:t>
      </w:r>
      <w:r>
        <w:t>建议</w:t>
      </w:r>
      <w:bookmarkEnd w:id="582"/>
      <w:bookmarkEnd w:id="583"/>
      <w:bookmarkEnd w:id="584"/>
      <w:bookmarkEnd w:id="585"/>
      <w:bookmarkEnd w:id="586"/>
    </w:p>
    <w:p>
      <w:pPr>
        <w:ind w:firstLine="480"/>
      </w:pPr>
      <w:r>
        <w:rPr>
          <w:rFonts w:hint="eastAsia"/>
        </w:rPr>
        <w:t>（</w:t>
      </w:r>
      <w:r>
        <w:t>1</w:t>
      </w:r>
      <w:r>
        <w:rPr>
          <w:rFonts w:hint="eastAsia"/>
        </w:rPr>
        <w:t>）要保证足够的环保资金，落实本环评提出的各项治理措施。</w:t>
      </w:r>
    </w:p>
    <w:p>
      <w:pPr>
        <w:ind w:firstLine="480"/>
      </w:pPr>
      <w:r>
        <w:rPr>
          <w:rFonts w:hint="eastAsia"/>
        </w:rPr>
        <w:t>（</w:t>
      </w:r>
      <w:r>
        <w:t>2</w:t>
      </w:r>
      <w:r>
        <w:rPr>
          <w:rFonts w:hint="eastAsia"/>
        </w:rPr>
        <w:t>）公司应进一步加强环境管理，建立健全的环境管理机构，负责全场环境管理工作，保证环保设施正常运行。</w:t>
      </w:r>
    </w:p>
    <w:p>
      <w:pPr>
        <w:ind w:firstLine="480"/>
      </w:pPr>
      <w:r>
        <w:rPr>
          <w:rFonts w:hint="eastAsia"/>
        </w:rPr>
        <w:t>（</w:t>
      </w:r>
      <w:r>
        <w:t>3</w:t>
      </w:r>
      <w:r>
        <w:rPr>
          <w:rFonts w:hint="eastAsia"/>
        </w:rPr>
        <w:t>）生活区、养殖区之间设立隔离带，并实行严格消毒。</w:t>
      </w:r>
    </w:p>
    <w:p>
      <w:pPr>
        <w:ind w:firstLine="480"/>
      </w:pPr>
      <w:r>
        <w:rPr>
          <w:rFonts w:hint="eastAsia"/>
        </w:rPr>
        <w:t>（4）做好雨污分流，防止多余的水分流进化粪池，给后方处理带来压力。</w:t>
      </w:r>
    </w:p>
    <w:p>
      <w:pPr>
        <w:ind w:firstLine="480"/>
      </w:pPr>
      <w:r>
        <w:rPr>
          <w:rFonts w:hint="eastAsia"/>
        </w:rPr>
        <w:t>（5）加强对发酵床的管理，定期添加生物菌，维持垫料中的纳豆菌等菌群的高温降解作用。发酵床有沉降迹象时，需添加垫料，以保证粪污里有充足的有机质供菌种繁殖。如果猪粪不够，可添加玉米粉、米糠等进行能量的补充。保证微生物发酵所需的温度与湿度条件，保证粪污高效分解与转化，对环境无害。</w:t>
      </w:r>
    </w:p>
    <w:p>
      <w:pPr>
        <w:ind w:firstLine="480"/>
      </w:pPr>
      <w:r>
        <w:rPr>
          <w:rFonts w:hint="eastAsia"/>
        </w:rPr>
        <w:t>（5）在今后的运营过程中，如周边种植区面积减少导致不能种养平衡时，应及时减少养殖规模。</w:t>
      </w:r>
    </w:p>
    <w:p>
      <w:pPr>
        <w:ind w:firstLine="480"/>
        <w:rPr>
          <w:highlight w:val="yellow"/>
        </w:rPr>
      </w:pPr>
    </w:p>
    <w:p>
      <w:pPr>
        <w:ind w:firstLine="480"/>
        <w:rPr>
          <w:highlight w:val="yellow"/>
        </w:rPr>
      </w:pPr>
    </w:p>
    <w:p>
      <w:pPr>
        <w:ind w:firstLine="480"/>
        <w:rPr>
          <w:highlight w:val="yellow"/>
        </w:rPr>
      </w:pPr>
    </w:p>
    <w:sectPr>
      <w:footerReference r:id="rId21"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pStyle w:val="1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480"/>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400685" cy="196850"/>
              <wp:effectExtent l="0" t="0" r="12065" b="6350"/>
              <wp:wrapNone/>
              <wp:docPr id="44" name="文本框 44"/>
              <wp:cNvGraphicFramePr/>
              <a:graphic xmlns:a="http://schemas.openxmlformats.org/drawingml/2006/main">
                <a:graphicData uri="http://schemas.microsoft.com/office/word/2010/wordprocessingShape">
                  <wps:wsp>
                    <wps:cNvSpPr txBox="1"/>
                    <wps:spPr>
                      <a:xfrm>
                        <a:off x="0" y="0"/>
                        <a:ext cx="400685" cy="196850"/>
                      </a:xfrm>
                      <a:prstGeom prst="rect">
                        <a:avLst/>
                      </a:prstGeom>
                      <a:noFill/>
                      <a:ln w="6350">
                        <a:noFill/>
                      </a:ln>
                    </wps:spPr>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129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31.55pt;mso-position-horizontal:center;mso-position-horizontal-relative:margin;mso-wrap-style:none;z-index:251687936;mso-width-relative:page;mso-height-relative:page;" filled="f" stroked="f" coordsize="21600,21600" o:gfxdata="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An1ONIAAAADAQAADwAAAAAAAAABACAAAAAiAAAAZHJzL2Rvd25yZXYueG1sUEsBAhQAFAAA&#10;AAgAh07iQDKiEDUuAgAAVQQAAA4AAAAAAAAAAQAgAAAAIQEAAGRycy9lMm9Eb2MueG1sUEsFBgAA&#10;AAAGAAYAWQEAAMEFA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129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349250" cy="196850"/>
              <wp:effectExtent l="0" t="0" r="12700" b="6350"/>
              <wp:wrapNone/>
              <wp:docPr id="366" name="文本框 366"/>
              <wp:cNvGraphicFramePr/>
              <a:graphic xmlns:a="http://schemas.openxmlformats.org/drawingml/2006/main">
                <a:graphicData uri="http://schemas.microsoft.com/office/word/2010/wordprocessingShape">
                  <wps:wsp>
                    <wps:cNvSpPr txBox="1"/>
                    <wps:spPr>
                      <a:xfrm>
                        <a:off x="0" y="0"/>
                        <a:ext cx="349250" cy="196850"/>
                      </a:xfrm>
                      <a:prstGeom prst="rect">
                        <a:avLst/>
                      </a:prstGeom>
                      <a:noFill/>
                      <a:ln w="6350">
                        <a:noFill/>
                      </a:ln>
                    </wps:spPr>
                    <wps:txbx>
                      <w:txbxContent>
                        <w:p>
                          <w:pPr>
                            <w:pStyle w:val="15"/>
                            <w:ind w:firstLine="360"/>
                            <w:jc w:val="center"/>
                          </w:pPr>
                          <w:r>
                            <w:fldChar w:fldCharType="begin"/>
                          </w:r>
                          <w:r>
                            <w:instrText xml:space="preserve">PAGE   \* MERGEFORMAT</w:instrText>
                          </w:r>
                          <w:r>
                            <w:fldChar w:fldCharType="separate"/>
                          </w:r>
                          <w:r>
                            <w:rPr>
                              <w:lang w:val="zh-CN"/>
                            </w:rPr>
                            <w:t>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27.5pt;mso-position-horizontal:center;mso-position-horizontal-relative:margin;mso-wrap-style:none;z-index:251689984;mso-width-relative:page;mso-height-relative:page;" filled="f" stroked="f" coordsize="21600,21600" o:gfxdata="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3fN9tEAAAADAQAADwAAAAAAAAABACAAAAAiAAAAZHJzL2Rvd25yZXYueG1sUEsBAhQAFAAA&#10;AAgAh07iQKR/9A4vAgAAVwQAAA4AAAAAAAAAAQAgAAAAIAEAAGRycy9lMm9Eb2MueG1sUEsFBgAA&#10;AAAGAAYAWQEAAMEFAAAAAA==&#10;">
              <v:fill on="f" focussize="0,0"/>
              <v:stroke on="f" weight="0.5pt"/>
              <v:imagedata o:title=""/>
              <o:lock v:ext="edit" aspectratio="f"/>
              <v:textbox inset="0mm,0mm,0mm,0mm" style="mso-fit-shape-to-text:t;">
                <w:txbxContent>
                  <w:p>
                    <w:pPr>
                      <w:pStyle w:val="15"/>
                      <w:ind w:firstLine="360"/>
                      <w:jc w:val="center"/>
                    </w:pPr>
                    <w:r>
                      <w:fldChar w:fldCharType="begin"/>
                    </w:r>
                    <w:r>
                      <w:instrText xml:space="preserve">PAGE   \* MERGEFORMAT</w:instrText>
                    </w:r>
                    <w:r>
                      <w:fldChar w:fldCharType="separate"/>
                    </w:r>
                    <w:r>
                      <w:rPr>
                        <w:lang w:val="zh-CN"/>
                      </w:rPr>
                      <w:t>IV</w:t>
                    </w:r>
                    <w:r>
                      <w:fldChar w:fldCharType="end"/>
                    </w:r>
                  </w:p>
                </w:txbxContent>
              </v:textbox>
            </v:shape>
          </w:pict>
        </mc:Fallback>
      </mc:AlternateContent>
    </w:r>
  </w:p>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343535" cy="196850"/>
              <wp:effectExtent l="0" t="0" r="12065" b="6350"/>
              <wp:wrapNone/>
              <wp:docPr id="363" name="文本框 363"/>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w="6350">
                        <a:noFill/>
                      </a:ln>
                    </wps:spPr>
                    <wps:txbx>
                      <w:txbxContent>
                        <w:p>
                          <w:pPr>
                            <w:pStyle w:val="15"/>
                            <w:ind w:firstLine="360"/>
                            <w:jc w:val="center"/>
                          </w:pPr>
                          <w:r>
                            <w:fldChar w:fldCharType="begin"/>
                          </w:r>
                          <w:r>
                            <w:instrText xml:space="preserve">PAGE   \* MERGEFORMAT</w:instrText>
                          </w:r>
                          <w:r>
                            <w:fldChar w:fldCharType="separate"/>
                          </w:r>
                          <w:r>
                            <w:rPr>
                              <w:lang w:val="zh-CN"/>
                            </w:rP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27.05pt;mso-position-horizontal:center;mso-position-horizontal-relative:margin;mso-wrap-style:none;z-index:251688960;mso-width-relative:page;mso-height-relative:page;" filled="f" stroked="f" coordsize="21600,21600" o:gfxdata="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5H0mdEAAAADAQAADwAAAAAAAAABACAAAAAiAAAAZHJzL2Rvd25yZXYueG1sUEsBAhQA&#10;FAAAAAgAh07iQMk7ASkyAgAAVwQAAA4AAAAAAAAAAQAgAAAAIAEAAGRycy9lMm9Eb2MueG1sUEsF&#10;BgAAAAAGAAYAWQEAAMQFAAAAAA==&#10;">
              <v:fill on="f" focussize="0,0"/>
              <v:stroke on="f" weight="0.5pt"/>
              <v:imagedata o:title=""/>
              <o:lock v:ext="edit" aspectratio="f"/>
              <v:textbox inset="0mm,0mm,0mm,0mm" style="mso-fit-shape-to-text:t;">
                <w:txbxContent>
                  <w:p>
                    <w:pPr>
                      <w:pStyle w:val="15"/>
                      <w:ind w:firstLine="360"/>
                      <w:jc w:val="center"/>
                    </w:pPr>
                    <w:r>
                      <w:fldChar w:fldCharType="begin"/>
                    </w:r>
                    <w:r>
                      <w:instrText xml:space="preserve">PAGE   \* MERGEFORMAT</w:instrText>
                    </w:r>
                    <w:r>
                      <w:fldChar w:fldCharType="separate"/>
                    </w:r>
                    <w:r>
                      <w:rPr>
                        <w:lang w:val="zh-CN"/>
                      </w:rPr>
                      <w:t>85</w:t>
                    </w:r>
                    <w:r>
                      <w:fldChar w:fldCharType="end"/>
                    </w:r>
                  </w:p>
                </w:txbxContent>
              </v:textbox>
            </v:shape>
          </w:pict>
        </mc:Fallback>
      </mc:AlternateContent>
    </w:r>
  </w:p>
  <w:p>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286385" cy="196850"/>
              <wp:effectExtent l="0" t="0" r="12065" b="6350"/>
              <wp:wrapNone/>
              <wp:docPr id="364" name="文本框 364"/>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w="6350">
                        <a:noFill/>
                      </a:ln>
                    </wps:spPr>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5.5pt;width:22.55pt;mso-position-horizontal:center;mso-position-horizontal-relative:margin;mso-wrap-style:none;z-index:251688960;mso-width-relative:page;mso-height-relative:page;" filled="f" stroked="f" coordsize="21600,21600" o:gfxdata="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rVG+9EAAAADAQAADwAAAAAAAAABACAAAAAiAAAAZHJzL2Rvd25yZXYueG1sUEsBAhQA&#10;FAAAAAgAh07iQCRuw4cyAgAAVwQAAA4AAAAAAAAAAQAgAAAAIAEAAGRycy9lMm9Eb2MueG1sUEsF&#10;BgAAAAAGAAYAWQEAAMQFA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131445</wp:posOffset>
              </wp:positionV>
              <wp:extent cx="504190" cy="186055"/>
              <wp:effectExtent l="0" t="0" r="0" b="4445"/>
              <wp:wrapNone/>
              <wp:docPr id="359"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04190" cy="186055"/>
                      </a:xfrm>
                      <a:prstGeom prst="rect">
                        <a:avLst/>
                      </a:prstGeom>
                      <a:solidFill>
                        <a:srgbClr val="FFFFFF"/>
                      </a:solidFill>
                      <a:ln>
                        <a:noFill/>
                      </a:ln>
                      <a:effectLst/>
                    </wps:spPr>
                    <wps:txbx>
                      <w:txbxContent>
                        <w:p>
                          <w:pPr>
                            <w:snapToGrid w:val="0"/>
                            <w:ind w:firstLine="360"/>
                          </w:pPr>
                          <w:r>
                            <w:rPr>
                              <w:sz w:val="18"/>
                            </w:rPr>
                            <w:fldChar w:fldCharType="begin"/>
                          </w:r>
                          <w:r>
                            <w:rPr>
                              <w:sz w:val="18"/>
                            </w:rPr>
                            <w:instrText xml:space="preserve"> PAGE </w:instrText>
                          </w:r>
                          <w:r>
                            <w:rPr>
                              <w:sz w:val="18"/>
                            </w:rPr>
                            <w:fldChar w:fldCharType="separate"/>
                          </w:r>
                          <w:r>
                            <w:rPr>
                              <w:sz w:val="18"/>
                            </w:rPr>
                            <w:t>123</w:t>
                          </w:r>
                          <w:r>
                            <w:rPr>
                              <w:sz w:val="18"/>
                            </w:rPr>
                            <w:fldChar w:fldCharType="end"/>
                          </w:r>
                        </w:p>
                      </w:txbxContent>
                    </wps:txbx>
                    <wps:bodyPr rot="0" vert="horz" wrap="square" lIns="635" tIns="635" rIns="635" bIns="635" anchor="t" anchorCtr="0" upright="1">
                      <a:noAutofit/>
                    </wps:bodyPr>
                  </wps:wsp>
                </a:graphicData>
              </a:graphic>
            </wp:anchor>
          </w:drawing>
        </mc:Choice>
        <mc:Fallback>
          <w:pict>
            <v:shape id="文本框 3" o:spid="_x0000_s1026" o:spt="202" type="#_x0000_t202" style="position:absolute;left:0pt;margin-top:10.35pt;height:14.65pt;width:39.7pt;mso-position-horizontal:center;mso-position-horizontal-relative:margin;z-index:251686912;mso-width-relative:page;mso-height-relative:page;" fillcolor="#FFFFFF" filled="t" stroked="f" coordsize="21600,21600" o:gfxdata="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3kuru1AAAAAUBAAAPAAAAAAAAAAEAIAAAACIAAABkcnMvZG93bnJldi54bWxQSwECFAAUAAAA&#10;CACHTuJAcZ/6mCsCAABFBAAADgAAAAAAAAABACAAAAAjAQAAZHJzL2Uyb0RvYy54bWxQSwUGAAAA&#10;AAYABgBZAQAAwAUAAAAA&#10;">
              <v:fill on="t" focussize="0,0"/>
              <v:stroke on="f"/>
              <v:imagedata o:title=""/>
              <o:lock v:ext="edit" aspectratio="f"/>
              <v:textbox inset="0.05pt,0.05pt,0.05pt,0.05pt">
                <w:txbxContent>
                  <w:p>
                    <w:pPr>
                      <w:snapToGrid w:val="0"/>
                      <w:ind w:firstLine="360"/>
                    </w:pPr>
                    <w:r>
                      <w:rPr>
                        <w:sz w:val="18"/>
                      </w:rPr>
                      <w:fldChar w:fldCharType="begin"/>
                    </w:r>
                    <w:r>
                      <w:rPr>
                        <w:sz w:val="18"/>
                      </w:rPr>
                      <w:instrText xml:space="preserve"> PAGE </w:instrText>
                    </w:r>
                    <w:r>
                      <w:rPr>
                        <w:sz w:val="18"/>
                      </w:rPr>
                      <w:fldChar w:fldCharType="separate"/>
                    </w:r>
                    <w:r>
                      <w:rPr>
                        <w:sz w:val="18"/>
                      </w:rPr>
                      <w:t>123</w:t>
                    </w:r>
                    <w:r>
                      <w:rPr>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attachedTemplate r:id="rId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kY2IxY2U3NzVjM2I5YTZkNWI5MmM0OGU0MjY1YmIifQ=="/>
    <w:docVar w:name="KSO_WPS_MARK_KEY" w:val="dfe98034-5a7d-4b2d-99ff-22bfb977be3c"/>
  </w:docVars>
  <w:rsids>
    <w:rsidRoot w:val="00E9128D"/>
    <w:rsid w:val="00011A1F"/>
    <w:rsid w:val="000321CC"/>
    <w:rsid w:val="00036BF6"/>
    <w:rsid w:val="00042937"/>
    <w:rsid w:val="00045CE6"/>
    <w:rsid w:val="00050736"/>
    <w:rsid w:val="000509C3"/>
    <w:rsid w:val="00062E3D"/>
    <w:rsid w:val="000855A1"/>
    <w:rsid w:val="0008580B"/>
    <w:rsid w:val="000A48C6"/>
    <w:rsid w:val="000A5DE1"/>
    <w:rsid w:val="000D36F1"/>
    <w:rsid w:val="000D492A"/>
    <w:rsid w:val="000E41A1"/>
    <w:rsid w:val="000E7F41"/>
    <w:rsid w:val="00111A35"/>
    <w:rsid w:val="001302A3"/>
    <w:rsid w:val="001450AF"/>
    <w:rsid w:val="00153796"/>
    <w:rsid w:val="001623AD"/>
    <w:rsid w:val="00181142"/>
    <w:rsid w:val="001B511D"/>
    <w:rsid w:val="001D7276"/>
    <w:rsid w:val="001E022A"/>
    <w:rsid w:val="001E06BC"/>
    <w:rsid w:val="001E677A"/>
    <w:rsid w:val="001F1524"/>
    <w:rsid w:val="001F33FC"/>
    <w:rsid w:val="001F4BE5"/>
    <w:rsid w:val="00204B8C"/>
    <w:rsid w:val="002262E9"/>
    <w:rsid w:val="00235657"/>
    <w:rsid w:val="00260F27"/>
    <w:rsid w:val="00262EFF"/>
    <w:rsid w:val="00277D27"/>
    <w:rsid w:val="00284CBC"/>
    <w:rsid w:val="0028792E"/>
    <w:rsid w:val="00291CF2"/>
    <w:rsid w:val="00292AE7"/>
    <w:rsid w:val="00293D2F"/>
    <w:rsid w:val="002A72B9"/>
    <w:rsid w:val="002C6500"/>
    <w:rsid w:val="002D2D3B"/>
    <w:rsid w:val="002D4749"/>
    <w:rsid w:val="002F43C8"/>
    <w:rsid w:val="00300CA8"/>
    <w:rsid w:val="00303379"/>
    <w:rsid w:val="00304A96"/>
    <w:rsid w:val="0031545C"/>
    <w:rsid w:val="003449BB"/>
    <w:rsid w:val="0037648B"/>
    <w:rsid w:val="003773F5"/>
    <w:rsid w:val="0039257F"/>
    <w:rsid w:val="003B4117"/>
    <w:rsid w:val="003C3FE7"/>
    <w:rsid w:val="003C65E4"/>
    <w:rsid w:val="003D2731"/>
    <w:rsid w:val="003D5125"/>
    <w:rsid w:val="003D5396"/>
    <w:rsid w:val="003E0BF7"/>
    <w:rsid w:val="003E277B"/>
    <w:rsid w:val="00401A29"/>
    <w:rsid w:val="00411695"/>
    <w:rsid w:val="00414C00"/>
    <w:rsid w:val="00417DB8"/>
    <w:rsid w:val="004223AE"/>
    <w:rsid w:val="00430056"/>
    <w:rsid w:val="00433AFE"/>
    <w:rsid w:val="0043788D"/>
    <w:rsid w:val="0045018F"/>
    <w:rsid w:val="00453E92"/>
    <w:rsid w:val="00470F68"/>
    <w:rsid w:val="004764E8"/>
    <w:rsid w:val="00486FBF"/>
    <w:rsid w:val="004A14C2"/>
    <w:rsid w:val="004A1644"/>
    <w:rsid w:val="004A5EBF"/>
    <w:rsid w:val="004C0F53"/>
    <w:rsid w:val="004D66C0"/>
    <w:rsid w:val="004E37A9"/>
    <w:rsid w:val="004F0901"/>
    <w:rsid w:val="004F6D7D"/>
    <w:rsid w:val="00502E50"/>
    <w:rsid w:val="00513D76"/>
    <w:rsid w:val="0051520A"/>
    <w:rsid w:val="00545BE6"/>
    <w:rsid w:val="00553FB1"/>
    <w:rsid w:val="0055689C"/>
    <w:rsid w:val="00564097"/>
    <w:rsid w:val="005670B9"/>
    <w:rsid w:val="005767CE"/>
    <w:rsid w:val="00595CF0"/>
    <w:rsid w:val="005B633A"/>
    <w:rsid w:val="005C6E77"/>
    <w:rsid w:val="00604937"/>
    <w:rsid w:val="00604BD7"/>
    <w:rsid w:val="00630642"/>
    <w:rsid w:val="006451C8"/>
    <w:rsid w:val="006465CD"/>
    <w:rsid w:val="006466C2"/>
    <w:rsid w:val="00662EF6"/>
    <w:rsid w:val="006630EC"/>
    <w:rsid w:val="00673A04"/>
    <w:rsid w:val="00675098"/>
    <w:rsid w:val="0069522A"/>
    <w:rsid w:val="006B6A97"/>
    <w:rsid w:val="006B7DD8"/>
    <w:rsid w:val="006D38F0"/>
    <w:rsid w:val="006E7401"/>
    <w:rsid w:val="006F1743"/>
    <w:rsid w:val="006F3FFF"/>
    <w:rsid w:val="00706B53"/>
    <w:rsid w:val="00706EE0"/>
    <w:rsid w:val="00715324"/>
    <w:rsid w:val="00732A89"/>
    <w:rsid w:val="0074192B"/>
    <w:rsid w:val="00746EE3"/>
    <w:rsid w:val="00760E0B"/>
    <w:rsid w:val="00763ED4"/>
    <w:rsid w:val="00765C47"/>
    <w:rsid w:val="007730E6"/>
    <w:rsid w:val="007822FD"/>
    <w:rsid w:val="00782ECF"/>
    <w:rsid w:val="007925E6"/>
    <w:rsid w:val="007A1F15"/>
    <w:rsid w:val="007A5BCC"/>
    <w:rsid w:val="007A6167"/>
    <w:rsid w:val="007C1882"/>
    <w:rsid w:val="007E38E1"/>
    <w:rsid w:val="007E5447"/>
    <w:rsid w:val="007F4B6D"/>
    <w:rsid w:val="007F715F"/>
    <w:rsid w:val="00804699"/>
    <w:rsid w:val="00815D04"/>
    <w:rsid w:val="00815DA0"/>
    <w:rsid w:val="00827575"/>
    <w:rsid w:val="0086456C"/>
    <w:rsid w:val="00866D25"/>
    <w:rsid w:val="008723F8"/>
    <w:rsid w:val="00884286"/>
    <w:rsid w:val="008A054D"/>
    <w:rsid w:val="008A532B"/>
    <w:rsid w:val="008A5370"/>
    <w:rsid w:val="008A773A"/>
    <w:rsid w:val="008B0E79"/>
    <w:rsid w:val="008B2419"/>
    <w:rsid w:val="008B6949"/>
    <w:rsid w:val="008C456E"/>
    <w:rsid w:val="008D2527"/>
    <w:rsid w:val="008D79B6"/>
    <w:rsid w:val="008E371D"/>
    <w:rsid w:val="008F2709"/>
    <w:rsid w:val="008F382C"/>
    <w:rsid w:val="008F4B23"/>
    <w:rsid w:val="008F564B"/>
    <w:rsid w:val="008F69B0"/>
    <w:rsid w:val="00902289"/>
    <w:rsid w:val="00930455"/>
    <w:rsid w:val="00935F25"/>
    <w:rsid w:val="00942FFA"/>
    <w:rsid w:val="00947405"/>
    <w:rsid w:val="00954B0A"/>
    <w:rsid w:val="009619F5"/>
    <w:rsid w:val="00976C7D"/>
    <w:rsid w:val="00983B86"/>
    <w:rsid w:val="009871A9"/>
    <w:rsid w:val="009A0BC2"/>
    <w:rsid w:val="009A3713"/>
    <w:rsid w:val="009A49DD"/>
    <w:rsid w:val="009E29AA"/>
    <w:rsid w:val="00A120E7"/>
    <w:rsid w:val="00A22A30"/>
    <w:rsid w:val="00A23B9D"/>
    <w:rsid w:val="00A33D7F"/>
    <w:rsid w:val="00A473C5"/>
    <w:rsid w:val="00A47B5F"/>
    <w:rsid w:val="00A61CAA"/>
    <w:rsid w:val="00A778BF"/>
    <w:rsid w:val="00A91474"/>
    <w:rsid w:val="00A92DB3"/>
    <w:rsid w:val="00AA43B1"/>
    <w:rsid w:val="00AB1D96"/>
    <w:rsid w:val="00AD03E2"/>
    <w:rsid w:val="00AD0DD8"/>
    <w:rsid w:val="00AD2267"/>
    <w:rsid w:val="00AE2096"/>
    <w:rsid w:val="00AF06C8"/>
    <w:rsid w:val="00AF1560"/>
    <w:rsid w:val="00B116B9"/>
    <w:rsid w:val="00B264F9"/>
    <w:rsid w:val="00B34037"/>
    <w:rsid w:val="00B363C4"/>
    <w:rsid w:val="00B4151A"/>
    <w:rsid w:val="00B517CE"/>
    <w:rsid w:val="00B675F4"/>
    <w:rsid w:val="00B74F22"/>
    <w:rsid w:val="00B77F0C"/>
    <w:rsid w:val="00B97F0C"/>
    <w:rsid w:val="00BA0C77"/>
    <w:rsid w:val="00BA6677"/>
    <w:rsid w:val="00BB2A89"/>
    <w:rsid w:val="00BB6365"/>
    <w:rsid w:val="00BC4A6E"/>
    <w:rsid w:val="00BC5680"/>
    <w:rsid w:val="00BF7777"/>
    <w:rsid w:val="00C00E3D"/>
    <w:rsid w:val="00C10F99"/>
    <w:rsid w:val="00C136FB"/>
    <w:rsid w:val="00C178FE"/>
    <w:rsid w:val="00C505D9"/>
    <w:rsid w:val="00C63898"/>
    <w:rsid w:val="00CA0D69"/>
    <w:rsid w:val="00CA3CBF"/>
    <w:rsid w:val="00CB188A"/>
    <w:rsid w:val="00CC242C"/>
    <w:rsid w:val="00CC3B22"/>
    <w:rsid w:val="00CC69DA"/>
    <w:rsid w:val="00CD14EF"/>
    <w:rsid w:val="00CD164D"/>
    <w:rsid w:val="00CD2585"/>
    <w:rsid w:val="00CD4A09"/>
    <w:rsid w:val="00CF5E33"/>
    <w:rsid w:val="00D24E8F"/>
    <w:rsid w:val="00D434B4"/>
    <w:rsid w:val="00D5382C"/>
    <w:rsid w:val="00D5583D"/>
    <w:rsid w:val="00D77552"/>
    <w:rsid w:val="00D824F0"/>
    <w:rsid w:val="00D94730"/>
    <w:rsid w:val="00DA1656"/>
    <w:rsid w:val="00DF16A6"/>
    <w:rsid w:val="00DF7819"/>
    <w:rsid w:val="00E03AA7"/>
    <w:rsid w:val="00E11425"/>
    <w:rsid w:val="00E50E9D"/>
    <w:rsid w:val="00E574C1"/>
    <w:rsid w:val="00E62F1B"/>
    <w:rsid w:val="00E6407C"/>
    <w:rsid w:val="00E725FB"/>
    <w:rsid w:val="00E755FF"/>
    <w:rsid w:val="00E81F7F"/>
    <w:rsid w:val="00E86F6B"/>
    <w:rsid w:val="00E9128D"/>
    <w:rsid w:val="00EA67BD"/>
    <w:rsid w:val="00EB02BA"/>
    <w:rsid w:val="00EB1B33"/>
    <w:rsid w:val="00EC7E35"/>
    <w:rsid w:val="00ED311A"/>
    <w:rsid w:val="00EE0F51"/>
    <w:rsid w:val="00EE3A0F"/>
    <w:rsid w:val="00EE778B"/>
    <w:rsid w:val="00EF2773"/>
    <w:rsid w:val="00F06321"/>
    <w:rsid w:val="00F10E98"/>
    <w:rsid w:val="00F11BCA"/>
    <w:rsid w:val="00F15367"/>
    <w:rsid w:val="00F33ACF"/>
    <w:rsid w:val="00F577E2"/>
    <w:rsid w:val="00F61E4A"/>
    <w:rsid w:val="00F73CC3"/>
    <w:rsid w:val="00F8325F"/>
    <w:rsid w:val="00F837E2"/>
    <w:rsid w:val="00F9405A"/>
    <w:rsid w:val="00F9651D"/>
    <w:rsid w:val="00FA2D35"/>
    <w:rsid w:val="00FA2E39"/>
    <w:rsid w:val="00FD6974"/>
    <w:rsid w:val="00FE4568"/>
    <w:rsid w:val="00FE5EB8"/>
    <w:rsid w:val="00FE6CEE"/>
    <w:rsid w:val="00FF0CD5"/>
    <w:rsid w:val="00FF1F78"/>
    <w:rsid w:val="015976B7"/>
    <w:rsid w:val="01AF6873"/>
    <w:rsid w:val="01CD2CBF"/>
    <w:rsid w:val="01D9350D"/>
    <w:rsid w:val="025E123E"/>
    <w:rsid w:val="02D14471"/>
    <w:rsid w:val="030D5083"/>
    <w:rsid w:val="036E32CF"/>
    <w:rsid w:val="04750E69"/>
    <w:rsid w:val="04C66A47"/>
    <w:rsid w:val="04C85D20"/>
    <w:rsid w:val="050226BA"/>
    <w:rsid w:val="05300CC7"/>
    <w:rsid w:val="053640A8"/>
    <w:rsid w:val="05776D80"/>
    <w:rsid w:val="05A951CD"/>
    <w:rsid w:val="05D745AE"/>
    <w:rsid w:val="06B65861"/>
    <w:rsid w:val="06E563D4"/>
    <w:rsid w:val="070D61CC"/>
    <w:rsid w:val="07190724"/>
    <w:rsid w:val="079E6670"/>
    <w:rsid w:val="079F7FE8"/>
    <w:rsid w:val="07AD1E3E"/>
    <w:rsid w:val="07CB7F71"/>
    <w:rsid w:val="07DF2E97"/>
    <w:rsid w:val="07EE2B3E"/>
    <w:rsid w:val="0864729B"/>
    <w:rsid w:val="086537DB"/>
    <w:rsid w:val="088F1D51"/>
    <w:rsid w:val="08CE6EF9"/>
    <w:rsid w:val="08E40363"/>
    <w:rsid w:val="094B26B8"/>
    <w:rsid w:val="096400FB"/>
    <w:rsid w:val="09834F8B"/>
    <w:rsid w:val="09C47AA4"/>
    <w:rsid w:val="09F4745D"/>
    <w:rsid w:val="0AA76CB8"/>
    <w:rsid w:val="0AD1060E"/>
    <w:rsid w:val="0ADE77DC"/>
    <w:rsid w:val="0B267F9C"/>
    <w:rsid w:val="0B4C7F16"/>
    <w:rsid w:val="0BF43F15"/>
    <w:rsid w:val="0C0A2EB7"/>
    <w:rsid w:val="0CAC4291"/>
    <w:rsid w:val="0D595426"/>
    <w:rsid w:val="0D5F0F8E"/>
    <w:rsid w:val="0DCC7CC2"/>
    <w:rsid w:val="0E554B59"/>
    <w:rsid w:val="0E5E27D7"/>
    <w:rsid w:val="0E644182"/>
    <w:rsid w:val="0F815073"/>
    <w:rsid w:val="0FF22A74"/>
    <w:rsid w:val="10065888"/>
    <w:rsid w:val="1007372E"/>
    <w:rsid w:val="100D2BE2"/>
    <w:rsid w:val="102368B0"/>
    <w:rsid w:val="103B6567"/>
    <w:rsid w:val="10482049"/>
    <w:rsid w:val="10EA1B61"/>
    <w:rsid w:val="111C2920"/>
    <w:rsid w:val="1232098B"/>
    <w:rsid w:val="125372AC"/>
    <w:rsid w:val="128E3682"/>
    <w:rsid w:val="12955D2B"/>
    <w:rsid w:val="12BA5C61"/>
    <w:rsid w:val="12D937E4"/>
    <w:rsid w:val="13012E71"/>
    <w:rsid w:val="136F14A7"/>
    <w:rsid w:val="139B5746"/>
    <w:rsid w:val="13CF1072"/>
    <w:rsid w:val="1465559E"/>
    <w:rsid w:val="14910BC1"/>
    <w:rsid w:val="14F30CDB"/>
    <w:rsid w:val="157D765A"/>
    <w:rsid w:val="159C2B5A"/>
    <w:rsid w:val="15BC60DC"/>
    <w:rsid w:val="15E12F50"/>
    <w:rsid w:val="16650144"/>
    <w:rsid w:val="168B224E"/>
    <w:rsid w:val="16C216FE"/>
    <w:rsid w:val="16D433AF"/>
    <w:rsid w:val="16FA168A"/>
    <w:rsid w:val="171D2541"/>
    <w:rsid w:val="17525C21"/>
    <w:rsid w:val="1764474B"/>
    <w:rsid w:val="17970249"/>
    <w:rsid w:val="17B25BF4"/>
    <w:rsid w:val="17DB7F05"/>
    <w:rsid w:val="17E413DC"/>
    <w:rsid w:val="184F0CB3"/>
    <w:rsid w:val="18560418"/>
    <w:rsid w:val="187D31B4"/>
    <w:rsid w:val="188D1219"/>
    <w:rsid w:val="18CA4A4A"/>
    <w:rsid w:val="18DC5748"/>
    <w:rsid w:val="18E108CD"/>
    <w:rsid w:val="19057D20"/>
    <w:rsid w:val="192A1541"/>
    <w:rsid w:val="198659C7"/>
    <w:rsid w:val="199434B1"/>
    <w:rsid w:val="19DC5A20"/>
    <w:rsid w:val="1A2F15D4"/>
    <w:rsid w:val="1A6A5203"/>
    <w:rsid w:val="1A8167E5"/>
    <w:rsid w:val="1AA01E0D"/>
    <w:rsid w:val="1AE148D0"/>
    <w:rsid w:val="1AF42465"/>
    <w:rsid w:val="1B146E6B"/>
    <w:rsid w:val="1B485E96"/>
    <w:rsid w:val="1B622918"/>
    <w:rsid w:val="1B7A3C4B"/>
    <w:rsid w:val="1BD02901"/>
    <w:rsid w:val="1C1E63B7"/>
    <w:rsid w:val="1C291DBF"/>
    <w:rsid w:val="1C563E90"/>
    <w:rsid w:val="1CC22935"/>
    <w:rsid w:val="1CE9518B"/>
    <w:rsid w:val="1D42004A"/>
    <w:rsid w:val="1D5E3B04"/>
    <w:rsid w:val="1D7845E1"/>
    <w:rsid w:val="1D954480"/>
    <w:rsid w:val="1DC16188"/>
    <w:rsid w:val="1DD067CA"/>
    <w:rsid w:val="1DE13893"/>
    <w:rsid w:val="1DE90BE6"/>
    <w:rsid w:val="1DF3329B"/>
    <w:rsid w:val="1E007A31"/>
    <w:rsid w:val="1EA4350D"/>
    <w:rsid w:val="1F1B42AE"/>
    <w:rsid w:val="1F51203E"/>
    <w:rsid w:val="1F6346BF"/>
    <w:rsid w:val="1F6C6DC6"/>
    <w:rsid w:val="1FC411AC"/>
    <w:rsid w:val="20243CA9"/>
    <w:rsid w:val="2030056C"/>
    <w:rsid w:val="206B3CD6"/>
    <w:rsid w:val="20F240F5"/>
    <w:rsid w:val="215A270B"/>
    <w:rsid w:val="21B40334"/>
    <w:rsid w:val="21D05274"/>
    <w:rsid w:val="21DB1110"/>
    <w:rsid w:val="21F735EA"/>
    <w:rsid w:val="23D2145A"/>
    <w:rsid w:val="23E33972"/>
    <w:rsid w:val="243551E6"/>
    <w:rsid w:val="243E3ED8"/>
    <w:rsid w:val="243F5731"/>
    <w:rsid w:val="245E7AAE"/>
    <w:rsid w:val="245F1427"/>
    <w:rsid w:val="24DC7A91"/>
    <w:rsid w:val="254001E2"/>
    <w:rsid w:val="258E7BDE"/>
    <w:rsid w:val="25AD512A"/>
    <w:rsid w:val="25CA789B"/>
    <w:rsid w:val="265B5F54"/>
    <w:rsid w:val="26BF776F"/>
    <w:rsid w:val="2703050C"/>
    <w:rsid w:val="272E5C1A"/>
    <w:rsid w:val="27E00106"/>
    <w:rsid w:val="287C5001"/>
    <w:rsid w:val="287C5DB5"/>
    <w:rsid w:val="289473C1"/>
    <w:rsid w:val="28AB161A"/>
    <w:rsid w:val="28C51FA6"/>
    <w:rsid w:val="28CC0BF9"/>
    <w:rsid w:val="290C05A3"/>
    <w:rsid w:val="29511868"/>
    <w:rsid w:val="29C02E04"/>
    <w:rsid w:val="29EC4535"/>
    <w:rsid w:val="2A104E3C"/>
    <w:rsid w:val="2A135A72"/>
    <w:rsid w:val="2A1B68EA"/>
    <w:rsid w:val="2A457DEB"/>
    <w:rsid w:val="2A4F6912"/>
    <w:rsid w:val="2AE87580"/>
    <w:rsid w:val="2AEE2F80"/>
    <w:rsid w:val="2B4B38A0"/>
    <w:rsid w:val="2B9A240F"/>
    <w:rsid w:val="2C7F5811"/>
    <w:rsid w:val="2D2440ED"/>
    <w:rsid w:val="2D5A395F"/>
    <w:rsid w:val="2D73049C"/>
    <w:rsid w:val="2D8D3B4D"/>
    <w:rsid w:val="2DA0556D"/>
    <w:rsid w:val="2DB76971"/>
    <w:rsid w:val="2E315499"/>
    <w:rsid w:val="2E465DEB"/>
    <w:rsid w:val="2E5E546B"/>
    <w:rsid w:val="2EAD4D53"/>
    <w:rsid w:val="2EE709BA"/>
    <w:rsid w:val="2F26241C"/>
    <w:rsid w:val="2FAA4A14"/>
    <w:rsid w:val="2FC13FAE"/>
    <w:rsid w:val="30237751"/>
    <w:rsid w:val="302A5ADA"/>
    <w:rsid w:val="305942A6"/>
    <w:rsid w:val="305C1E42"/>
    <w:rsid w:val="307D2391"/>
    <w:rsid w:val="30A32A62"/>
    <w:rsid w:val="31462C31"/>
    <w:rsid w:val="319560C3"/>
    <w:rsid w:val="31BD2692"/>
    <w:rsid w:val="321E5310"/>
    <w:rsid w:val="323111DB"/>
    <w:rsid w:val="32EB62F7"/>
    <w:rsid w:val="33537E1B"/>
    <w:rsid w:val="340C3B99"/>
    <w:rsid w:val="345630CE"/>
    <w:rsid w:val="349C064D"/>
    <w:rsid w:val="35463704"/>
    <w:rsid w:val="364C142B"/>
    <w:rsid w:val="36641FCE"/>
    <w:rsid w:val="369D32AB"/>
    <w:rsid w:val="37066B4A"/>
    <w:rsid w:val="3745165D"/>
    <w:rsid w:val="37945281"/>
    <w:rsid w:val="379A7B43"/>
    <w:rsid w:val="37CC40B9"/>
    <w:rsid w:val="38933F85"/>
    <w:rsid w:val="38DA260F"/>
    <w:rsid w:val="39393405"/>
    <w:rsid w:val="394E4B96"/>
    <w:rsid w:val="39986033"/>
    <w:rsid w:val="39AC2B02"/>
    <w:rsid w:val="39C71D4D"/>
    <w:rsid w:val="39D40F4C"/>
    <w:rsid w:val="39FF31D0"/>
    <w:rsid w:val="3A375EEB"/>
    <w:rsid w:val="3A666BE9"/>
    <w:rsid w:val="3A7B2D17"/>
    <w:rsid w:val="3AA91D83"/>
    <w:rsid w:val="3ABB7044"/>
    <w:rsid w:val="3AD8433C"/>
    <w:rsid w:val="3AED3684"/>
    <w:rsid w:val="3AFA32D7"/>
    <w:rsid w:val="3B0A35E3"/>
    <w:rsid w:val="3B2B1C4D"/>
    <w:rsid w:val="3B5434B0"/>
    <w:rsid w:val="3B767C43"/>
    <w:rsid w:val="3BF10A1F"/>
    <w:rsid w:val="3C8705D7"/>
    <w:rsid w:val="3C9B404B"/>
    <w:rsid w:val="3D0B56FF"/>
    <w:rsid w:val="3D3877B3"/>
    <w:rsid w:val="3D847D33"/>
    <w:rsid w:val="3D9D6415"/>
    <w:rsid w:val="3DB37DD0"/>
    <w:rsid w:val="3E180BD7"/>
    <w:rsid w:val="3E6631C9"/>
    <w:rsid w:val="3E7E465C"/>
    <w:rsid w:val="3E8B4813"/>
    <w:rsid w:val="3F075485"/>
    <w:rsid w:val="3F247094"/>
    <w:rsid w:val="3F8A2170"/>
    <w:rsid w:val="3FB95F88"/>
    <w:rsid w:val="3FF05B39"/>
    <w:rsid w:val="40140AE5"/>
    <w:rsid w:val="402552C2"/>
    <w:rsid w:val="4062487D"/>
    <w:rsid w:val="409F50E5"/>
    <w:rsid w:val="40CD16AB"/>
    <w:rsid w:val="410745CF"/>
    <w:rsid w:val="41F37CC5"/>
    <w:rsid w:val="4242698E"/>
    <w:rsid w:val="42741955"/>
    <w:rsid w:val="42833074"/>
    <w:rsid w:val="43047A44"/>
    <w:rsid w:val="432752AF"/>
    <w:rsid w:val="43401C7C"/>
    <w:rsid w:val="43551B86"/>
    <w:rsid w:val="43586924"/>
    <w:rsid w:val="43666855"/>
    <w:rsid w:val="438C7372"/>
    <w:rsid w:val="43B2463B"/>
    <w:rsid w:val="440868BB"/>
    <w:rsid w:val="443664CB"/>
    <w:rsid w:val="44AF47B8"/>
    <w:rsid w:val="44FC7149"/>
    <w:rsid w:val="4592308A"/>
    <w:rsid w:val="45C47A64"/>
    <w:rsid w:val="463169B4"/>
    <w:rsid w:val="46564A77"/>
    <w:rsid w:val="46752328"/>
    <w:rsid w:val="46862DAE"/>
    <w:rsid w:val="46D0491F"/>
    <w:rsid w:val="46E93AE0"/>
    <w:rsid w:val="47301B15"/>
    <w:rsid w:val="47511BE2"/>
    <w:rsid w:val="47991554"/>
    <w:rsid w:val="47A45C31"/>
    <w:rsid w:val="47D4283D"/>
    <w:rsid w:val="4894211A"/>
    <w:rsid w:val="48C5200D"/>
    <w:rsid w:val="48DB3F7E"/>
    <w:rsid w:val="48DE22CC"/>
    <w:rsid w:val="49064D53"/>
    <w:rsid w:val="49AC4D2E"/>
    <w:rsid w:val="49B957A5"/>
    <w:rsid w:val="49FD663E"/>
    <w:rsid w:val="4A0929F1"/>
    <w:rsid w:val="4A341F3F"/>
    <w:rsid w:val="4A446A27"/>
    <w:rsid w:val="4A6757A3"/>
    <w:rsid w:val="4A8477F5"/>
    <w:rsid w:val="4AE20424"/>
    <w:rsid w:val="4B0169C2"/>
    <w:rsid w:val="4B4F0023"/>
    <w:rsid w:val="4B7F6A08"/>
    <w:rsid w:val="4B8035C0"/>
    <w:rsid w:val="4C3B2F66"/>
    <w:rsid w:val="4C5D36F2"/>
    <w:rsid w:val="4C8B3A62"/>
    <w:rsid w:val="4CAD2413"/>
    <w:rsid w:val="4CCE425C"/>
    <w:rsid w:val="4DA07CE4"/>
    <w:rsid w:val="4DEC3487"/>
    <w:rsid w:val="4E1168BD"/>
    <w:rsid w:val="4E3D770D"/>
    <w:rsid w:val="4E96007F"/>
    <w:rsid w:val="4EEE60FE"/>
    <w:rsid w:val="4FF93126"/>
    <w:rsid w:val="504424D9"/>
    <w:rsid w:val="504C5F8C"/>
    <w:rsid w:val="5075178B"/>
    <w:rsid w:val="50FB03B7"/>
    <w:rsid w:val="516769C6"/>
    <w:rsid w:val="518F24CD"/>
    <w:rsid w:val="51ED30FC"/>
    <w:rsid w:val="524B7762"/>
    <w:rsid w:val="52746D00"/>
    <w:rsid w:val="5288055B"/>
    <w:rsid w:val="52A63CA3"/>
    <w:rsid w:val="5336592A"/>
    <w:rsid w:val="533C36C0"/>
    <w:rsid w:val="53C42DCF"/>
    <w:rsid w:val="53C70F05"/>
    <w:rsid w:val="541E0397"/>
    <w:rsid w:val="543F2A1D"/>
    <w:rsid w:val="54424E29"/>
    <w:rsid w:val="545C775A"/>
    <w:rsid w:val="5460574C"/>
    <w:rsid w:val="54A01D5E"/>
    <w:rsid w:val="54B75648"/>
    <w:rsid w:val="556A4A46"/>
    <w:rsid w:val="55BD4EDD"/>
    <w:rsid w:val="563260BF"/>
    <w:rsid w:val="56BE75BD"/>
    <w:rsid w:val="56FC2323"/>
    <w:rsid w:val="5792023B"/>
    <w:rsid w:val="57E45D63"/>
    <w:rsid w:val="581F2B85"/>
    <w:rsid w:val="586472EE"/>
    <w:rsid w:val="58AC5126"/>
    <w:rsid w:val="58E771BA"/>
    <w:rsid w:val="58F42BB2"/>
    <w:rsid w:val="59395193"/>
    <w:rsid w:val="597A105E"/>
    <w:rsid w:val="599B0063"/>
    <w:rsid w:val="59A20E14"/>
    <w:rsid w:val="59A60F8F"/>
    <w:rsid w:val="5A335824"/>
    <w:rsid w:val="5A941427"/>
    <w:rsid w:val="5ADE2BA9"/>
    <w:rsid w:val="5B2C1316"/>
    <w:rsid w:val="5B660EF6"/>
    <w:rsid w:val="5BA30DF7"/>
    <w:rsid w:val="5BA536C6"/>
    <w:rsid w:val="5C200E37"/>
    <w:rsid w:val="5C5B72EB"/>
    <w:rsid w:val="5C995266"/>
    <w:rsid w:val="5CBC272C"/>
    <w:rsid w:val="5CDF3B68"/>
    <w:rsid w:val="5D056277"/>
    <w:rsid w:val="5D0A04B8"/>
    <w:rsid w:val="5D25119A"/>
    <w:rsid w:val="5DF21CCC"/>
    <w:rsid w:val="5DFC2F44"/>
    <w:rsid w:val="5E116FA7"/>
    <w:rsid w:val="5E7745FE"/>
    <w:rsid w:val="5EDD7DC2"/>
    <w:rsid w:val="5EFF0DEB"/>
    <w:rsid w:val="5F963B93"/>
    <w:rsid w:val="6021089A"/>
    <w:rsid w:val="60727D23"/>
    <w:rsid w:val="609825E1"/>
    <w:rsid w:val="60A152DD"/>
    <w:rsid w:val="60F86606"/>
    <w:rsid w:val="61221ED6"/>
    <w:rsid w:val="614606C5"/>
    <w:rsid w:val="614A625F"/>
    <w:rsid w:val="61520908"/>
    <w:rsid w:val="61CB4284"/>
    <w:rsid w:val="61E664C3"/>
    <w:rsid w:val="621E0FB3"/>
    <w:rsid w:val="621E484E"/>
    <w:rsid w:val="624271F9"/>
    <w:rsid w:val="63572AF3"/>
    <w:rsid w:val="636A532C"/>
    <w:rsid w:val="637C7B90"/>
    <w:rsid w:val="63EB29B0"/>
    <w:rsid w:val="63ED63C2"/>
    <w:rsid w:val="6416318D"/>
    <w:rsid w:val="64465099"/>
    <w:rsid w:val="6464016A"/>
    <w:rsid w:val="64676994"/>
    <w:rsid w:val="646F3826"/>
    <w:rsid w:val="6499245D"/>
    <w:rsid w:val="64DF6941"/>
    <w:rsid w:val="65041F18"/>
    <w:rsid w:val="655E06B7"/>
    <w:rsid w:val="65955443"/>
    <w:rsid w:val="65D06F05"/>
    <w:rsid w:val="66265F18"/>
    <w:rsid w:val="663B4711"/>
    <w:rsid w:val="665749DF"/>
    <w:rsid w:val="66725EBD"/>
    <w:rsid w:val="6783679A"/>
    <w:rsid w:val="683B42DA"/>
    <w:rsid w:val="686327D9"/>
    <w:rsid w:val="68CC69F0"/>
    <w:rsid w:val="697566D1"/>
    <w:rsid w:val="69A95A6F"/>
    <w:rsid w:val="69F059C7"/>
    <w:rsid w:val="6A166740"/>
    <w:rsid w:val="6A473777"/>
    <w:rsid w:val="6A9C24E2"/>
    <w:rsid w:val="6ADD47F2"/>
    <w:rsid w:val="6B25235C"/>
    <w:rsid w:val="6B28044A"/>
    <w:rsid w:val="6B3E470F"/>
    <w:rsid w:val="6B474440"/>
    <w:rsid w:val="6BBD267E"/>
    <w:rsid w:val="6BE06A7B"/>
    <w:rsid w:val="6BEB071D"/>
    <w:rsid w:val="6C2F7929"/>
    <w:rsid w:val="6C3F31BB"/>
    <w:rsid w:val="6CA82329"/>
    <w:rsid w:val="6D0E3151"/>
    <w:rsid w:val="6DA57D61"/>
    <w:rsid w:val="6E104B56"/>
    <w:rsid w:val="6E77454D"/>
    <w:rsid w:val="6E8A7BB2"/>
    <w:rsid w:val="6EF83A6D"/>
    <w:rsid w:val="6F3D3189"/>
    <w:rsid w:val="6F6142CA"/>
    <w:rsid w:val="6F750DA0"/>
    <w:rsid w:val="6FC67F0A"/>
    <w:rsid w:val="7069649D"/>
    <w:rsid w:val="70BA7B31"/>
    <w:rsid w:val="70E23776"/>
    <w:rsid w:val="70EF08DC"/>
    <w:rsid w:val="70FC1DCB"/>
    <w:rsid w:val="712A614F"/>
    <w:rsid w:val="71C70375"/>
    <w:rsid w:val="71C91732"/>
    <w:rsid w:val="7208655D"/>
    <w:rsid w:val="723812B5"/>
    <w:rsid w:val="724D78A2"/>
    <w:rsid w:val="727F4F7B"/>
    <w:rsid w:val="72A46534"/>
    <w:rsid w:val="72B953F9"/>
    <w:rsid w:val="72D373C7"/>
    <w:rsid w:val="72D4426C"/>
    <w:rsid w:val="72E4714B"/>
    <w:rsid w:val="73C05F77"/>
    <w:rsid w:val="73C10D1A"/>
    <w:rsid w:val="73C74E11"/>
    <w:rsid w:val="73F425FB"/>
    <w:rsid w:val="73FE5EB8"/>
    <w:rsid w:val="74A50C2E"/>
    <w:rsid w:val="759F5EFE"/>
    <w:rsid w:val="75D26BA3"/>
    <w:rsid w:val="767716BB"/>
    <w:rsid w:val="76772B7B"/>
    <w:rsid w:val="76F505A3"/>
    <w:rsid w:val="77D87BB9"/>
    <w:rsid w:val="77DB7CDB"/>
    <w:rsid w:val="7816731F"/>
    <w:rsid w:val="78784B87"/>
    <w:rsid w:val="789B4516"/>
    <w:rsid w:val="79AE2170"/>
    <w:rsid w:val="79FD3762"/>
    <w:rsid w:val="7A242C4E"/>
    <w:rsid w:val="7A62420A"/>
    <w:rsid w:val="7A8C5AF3"/>
    <w:rsid w:val="7AE80B84"/>
    <w:rsid w:val="7B1C5368"/>
    <w:rsid w:val="7B61402C"/>
    <w:rsid w:val="7BC42397"/>
    <w:rsid w:val="7BE50D3E"/>
    <w:rsid w:val="7C006DE5"/>
    <w:rsid w:val="7C077568"/>
    <w:rsid w:val="7C4A4589"/>
    <w:rsid w:val="7CA20CBA"/>
    <w:rsid w:val="7D741162"/>
    <w:rsid w:val="7DD10EE7"/>
    <w:rsid w:val="7E355F79"/>
    <w:rsid w:val="7E7B649C"/>
    <w:rsid w:val="7F541FFB"/>
    <w:rsid w:val="7F650D00"/>
    <w:rsid w:val="7F7B1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3"/>
    <w:next w:val="1"/>
    <w:qFormat/>
    <w:uiPriority w:val="0"/>
    <w:pPr>
      <w:keepNext/>
      <w:keepLines/>
      <w:spacing w:line="576" w:lineRule="auto"/>
      <w:ind w:firstLine="0" w:firstLineChars="0"/>
    </w:pPr>
    <w:rPr>
      <w:rFonts w:ascii="Times New Roman" w:hAnsi="Times New Roman"/>
      <w:kern w:val="44"/>
    </w:rPr>
  </w:style>
  <w:style w:type="paragraph" w:styleId="4">
    <w:name w:val="heading 2"/>
    <w:basedOn w:val="1"/>
    <w:next w:val="1"/>
    <w:link w:val="26"/>
    <w:qFormat/>
    <w:uiPriority w:val="0"/>
    <w:pPr>
      <w:keepNext/>
      <w:keepLines/>
      <w:spacing w:before="20" w:beforeLines="20" w:after="20" w:afterLines="20"/>
      <w:ind w:firstLine="0" w:firstLineChars="0"/>
      <w:jc w:val="left"/>
      <w:outlineLvl w:val="1"/>
    </w:pPr>
    <w:rPr>
      <w:b/>
      <w:sz w:val="30"/>
    </w:rPr>
  </w:style>
  <w:style w:type="paragraph" w:styleId="5">
    <w:name w:val="heading 3"/>
    <w:basedOn w:val="1"/>
    <w:next w:val="1"/>
    <w:link w:val="30"/>
    <w:qFormat/>
    <w:uiPriority w:val="0"/>
    <w:pPr>
      <w:keepNext/>
      <w:keepLines/>
      <w:spacing w:before="20" w:beforeLines="20" w:after="20" w:afterLines="20"/>
      <w:ind w:firstLine="0" w:firstLineChars="0"/>
      <w:jc w:val="left"/>
      <w:outlineLvl w:val="2"/>
    </w:pPr>
    <w:rPr>
      <w:b/>
      <w:sz w:val="28"/>
    </w:rPr>
  </w:style>
  <w:style w:type="paragraph" w:styleId="6">
    <w:name w:val="heading 4"/>
    <w:basedOn w:val="1"/>
    <w:next w:val="1"/>
    <w:link w:val="28"/>
    <w:qFormat/>
    <w:uiPriority w:val="0"/>
    <w:pPr>
      <w:keepNext/>
      <w:keepLines/>
      <w:ind w:firstLine="480"/>
      <w:jc w:val="left"/>
      <w:outlineLvl w:val="3"/>
    </w:pPr>
  </w:style>
  <w:style w:type="paragraph" w:styleId="7">
    <w:name w:val="heading 5"/>
    <w:basedOn w:val="1"/>
    <w:next w:val="1"/>
    <w:qFormat/>
    <w:uiPriority w:val="0"/>
    <w:pPr>
      <w:keepNext/>
      <w:keepLines/>
      <w:spacing w:before="280" w:after="290" w:line="372" w:lineRule="auto"/>
      <w:ind w:firstLine="0" w:firstLineChars="0"/>
      <w:outlineLvl w:val="4"/>
    </w:pPr>
    <w:rPr>
      <w:b/>
      <w:sz w:val="28"/>
    </w:rPr>
  </w:style>
  <w:style w:type="paragraph" w:styleId="8">
    <w:name w:val="heading 6"/>
    <w:basedOn w:val="1"/>
    <w:next w:val="1"/>
    <w:link w:val="25"/>
    <w:qFormat/>
    <w:uiPriority w:val="0"/>
    <w:pPr>
      <w:keepLines/>
      <w:overflowPunct w:val="0"/>
      <w:spacing w:line="240" w:lineRule="auto"/>
      <w:ind w:firstLine="562" w:firstLineChars="200"/>
      <w:jc w:val="center"/>
      <w:textAlignment w:val="baseline"/>
      <w:outlineLvl w:val="5"/>
    </w:pPr>
    <w:rPr>
      <w:kern w:val="20"/>
      <w:sz w:val="21"/>
      <w:szCs w:val="20"/>
    </w:rPr>
  </w:style>
  <w:style w:type="paragraph" w:styleId="9">
    <w:name w:val="heading 7"/>
    <w:basedOn w:val="1"/>
    <w:next w:val="1"/>
    <w:qFormat/>
    <w:uiPriority w:val="0"/>
    <w:pPr>
      <w:keepNext/>
      <w:keepLines/>
      <w:spacing w:before="240" w:after="64" w:line="317" w:lineRule="auto"/>
      <w:outlineLvl w:val="6"/>
    </w:pPr>
    <w:rPr>
      <w:b/>
    </w:rPr>
  </w:style>
  <w:style w:type="paragraph" w:styleId="10">
    <w:name w:val="heading 8"/>
    <w:basedOn w:val="1"/>
    <w:next w:val="1"/>
    <w:qFormat/>
    <w:uiPriority w:val="0"/>
    <w:pPr>
      <w:keepNext/>
      <w:keepLines/>
      <w:spacing w:before="240" w:after="64" w:line="317" w:lineRule="auto"/>
      <w:outlineLvl w:val="7"/>
    </w:pPr>
    <w:rPr>
      <w:rFonts w:ascii="Arial" w:hAnsi="Arial" w:eastAsia="黑体"/>
    </w:rPr>
  </w:style>
  <w:style w:type="character" w:default="1" w:styleId="23">
    <w:name w:val="Default Paragraph Font"/>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Title"/>
    <w:basedOn w:val="1"/>
    <w:qFormat/>
    <w:uiPriority w:val="0"/>
    <w:pPr>
      <w:spacing w:before="240" w:after="60"/>
      <w:jc w:val="center"/>
      <w:outlineLvl w:val="0"/>
    </w:pPr>
    <w:rPr>
      <w:rFonts w:ascii="Arial" w:hAnsi="Arial"/>
      <w:b/>
      <w:sz w:val="32"/>
    </w:rPr>
  </w:style>
  <w:style w:type="paragraph" w:styleId="11">
    <w:name w:val="caption"/>
    <w:basedOn w:val="1"/>
    <w:next w:val="1"/>
    <w:link w:val="29"/>
    <w:qFormat/>
    <w:uiPriority w:val="0"/>
    <w:pPr>
      <w:spacing w:before="6" w:after="6"/>
      <w:ind w:left="120" w:leftChars="50" w:firstLine="0" w:firstLineChars="0"/>
      <w:jc w:val="center"/>
    </w:pPr>
    <w:rPr>
      <w:b/>
      <w:kern w:val="24"/>
      <w:sz w:val="21"/>
      <w:szCs w:val="21"/>
    </w:rPr>
  </w:style>
  <w:style w:type="paragraph" w:styleId="12">
    <w:name w:val="Body Text"/>
    <w:basedOn w:val="1"/>
    <w:next w:val="1"/>
    <w:qFormat/>
    <w:uiPriority w:val="0"/>
    <w:pPr>
      <w:spacing w:after="120"/>
    </w:pPr>
    <w:rPr>
      <w:szCs w:val="20"/>
    </w:rPr>
  </w:style>
  <w:style w:type="paragraph" w:styleId="13">
    <w:name w:val="Body Text Indent"/>
    <w:basedOn w:val="1"/>
    <w:qFormat/>
    <w:uiPriority w:val="0"/>
    <w:pPr>
      <w:spacing w:after="120"/>
      <w:ind w:left="200" w:leftChars="200"/>
    </w:pPr>
  </w:style>
  <w:style w:type="paragraph" w:styleId="14">
    <w:name w:val="Balloon Text"/>
    <w:basedOn w:val="1"/>
    <w:link w:val="35"/>
    <w:uiPriority w:val="0"/>
    <w:pPr>
      <w:spacing w:line="240" w:lineRule="auto"/>
    </w:pPr>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qFormat/>
    <w:uiPriority w:val="39"/>
  </w:style>
  <w:style w:type="paragraph" w:styleId="18">
    <w:name w:val="toc 2"/>
    <w:basedOn w:val="1"/>
    <w:next w:val="1"/>
    <w:qFormat/>
    <w:uiPriority w:val="39"/>
    <w:pPr>
      <w:ind w:left="420" w:leftChars="200"/>
    </w:pPr>
  </w:style>
  <w:style w:type="paragraph" w:styleId="19">
    <w:name w:val="Body Text First Indent"/>
    <w:basedOn w:val="12"/>
    <w:qFormat/>
    <w:uiPriority w:val="0"/>
    <w:pPr>
      <w:adjustRightInd w:val="0"/>
      <w:snapToGrid w:val="0"/>
      <w:spacing w:after="0"/>
      <w:ind w:firstLine="200"/>
    </w:pPr>
  </w:style>
  <w:style w:type="paragraph" w:styleId="20">
    <w:name w:val="Body Text First Indent 2"/>
    <w:basedOn w:val="1"/>
    <w:next w:val="1"/>
    <w:qFormat/>
    <w:uiPriority w:val="0"/>
    <w:pPr>
      <w:spacing w:after="120" w:line="240" w:lineRule="auto"/>
      <w:ind w:left="420" w:leftChars="200" w:firstLine="420"/>
    </w:pPr>
    <w:rPr>
      <w:sz w:val="21"/>
      <w:szCs w:val="20"/>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Hyperlink"/>
    <w:basedOn w:val="23"/>
    <w:qFormat/>
    <w:uiPriority w:val="99"/>
    <w:rPr>
      <w:color w:val="0000FF"/>
      <w:u w:val="single"/>
    </w:rPr>
  </w:style>
  <w:style w:type="character" w:customStyle="1" w:styleId="25">
    <w:name w:val="标题 6 Char"/>
    <w:link w:val="8"/>
    <w:qFormat/>
    <w:uiPriority w:val="0"/>
    <w:rPr>
      <w:rFonts w:ascii="Arial" w:hAnsi="Arial" w:cs="宋体"/>
      <w:b/>
      <w:kern w:val="20"/>
      <w:sz w:val="24"/>
    </w:rPr>
  </w:style>
  <w:style w:type="character" w:customStyle="1" w:styleId="26">
    <w:name w:val="标题 2 Char"/>
    <w:link w:val="4"/>
    <w:qFormat/>
    <w:uiPriority w:val="0"/>
    <w:rPr>
      <w:b/>
      <w:kern w:val="2"/>
      <w:sz w:val="30"/>
      <w:szCs w:val="24"/>
    </w:rPr>
  </w:style>
  <w:style w:type="character" w:customStyle="1" w:styleId="27">
    <w:name w:val="标题 6 字符1"/>
    <w:qFormat/>
    <w:uiPriority w:val="0"/>
    <w:rPr>
      <w:rFonts w:ascii="Times New Roman" w:hAnsi="Times New Roman" w:eastAsia="宋体"/>
      <w:kern w:val="20"/>
      <w:sz w:val="21"/>
      <w:szCs w:val="20"/>
    </w:rPr>
  </w:style>
  <w:style w:type="character" w:customStyle="1" w:styleId="28">
    <w:name w:val="标题 4 Char"/>
    <w:link w:val="6"/>
    <w:qFormat/>
    <w:uiPriority w:val="0"/>
    <w:rPr>
      <w:kern w:val="2"/>
      <w:sz w:val="24"/>
      <w:szCs w:val="24"/>
    </w:rPr>
  </w:style>
  <w:style w:type="character" w:customStyle="1" w:styleId="29">
    <w:name w:val="题注 Char"/>
    <w:link w:val="11"/>
    <w:qFormat/>
    <w:uiPriority w:val="0"/>
    <w:rPr>
      <w:rFonts w:ascii="Times New Roman" w:hAnsi="Times New Roman" w:eastAsia="宋体" w:cs="Times New Roman"/>
      <w:b/>
      <w:kern w:val="24"/>
      <w:sz w:val="21"/>
      <w:szCs w:val="21"/>
    </w:rPr>
  </w:style>
  <w:style w:type="character" w:customStyle="1" w:styleId="30">
    <w:name w:val="标题 3 Char"/>
    <w:link w:val="5"/>
    <w:qFormat/>
    <w:uiPriority w:val="0"/>
    <w:rPr>
      <w:b/>
      <w:kern w:val="2"/>
      <w:sz w:val="28"/>
      <w:szCs w:val="24"/>
    </w:rPr>
  </w:style>
  <w:style w:type="paragraph" w:customStyle="1" w:styleId="31">
    <w:name w:val="Default"/>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 w:type="paragraph" w:customStyle="1" w:styleId="32">
    <w:name w:val="报告书正文 Char Char Char"/>
    <w:basedOn w:val="1"/>
    <w:qFormat/>
    <w:uiPriority w:val="0"/>
    <w:pPr>
      <w:spacing w:line="300" w:lineRule="auto"/>
      <w:ind w:firstLine="480"/>
    </w:pPr>
    <w:rPr>
      <w:rFonts w:ascii="宋体" w:hAnsi="宋体"/>
      <w:szCs w:val="20"/>
    </w:rPr>
  </w:style>
  <w:style w:type="paragraph" w:customStyle="1" w:styleId="33">
    <w:name w:val="样式 小四 首行缩进:  0.85 厘米 行距: 1.5 倍行距"/>
    <w:basedOn w:val="1"/>
    <w:qFormat/>
    <w:uiPriority w:val="0"/>
    <w:pPr>
      <w:ind w:firstLine="482"/>
    </w:pPr>
  </w:style>
  <w:style w:type="paragraph" w:customStyle="1" w:styleId="34">
    <w:name w:val="表格 32"/>
    <w:basedOn w:val="1"/>
    <w:qFormat/>
    <w:uiPriority w:val="0"/>
    <w:pPr>
      <w:autoSpaceDE w:val="0"/>
      <w:autoSpaceDN w:val="0"/>
      <w:adjustRightInd w:val="0"/>
      <w:jc w:val="center"/>
      <w:textAlignment w:val="baseline"/>
    </w:pPr>
    <w:rPr>
      <w:kern w:val="0"/>
      <w:szCs w:val="21"/>
    </w:rPr>
  </w:style>
  <w:style w:type="character" w:customStyle="1" w:styleId="35">
    <w:name w:val="批注框文本 Char"/>
    <w:basedOn w:val="23"/>
    <w:link w:val="14"/>
    <w:uiPriority w:val="0"/>
    <w:rPr>
      <w:kern w:val="2"/>
      <w:sz w:val="18"/>
      <w:szCs w:val="18"/>
    </w:rPr>
  </w:style>
  <w:style w:type="paragraph" w:styleId="36">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jpeg"/><Relationship Id="rId38" Type="http://schemas.openxmlformats.org/officeDocument/2006/relationships/image" Target="media/image11.wmf"/><Relationship Id="rId37" Type="http://schemas.openxmlformats.org/officeDocument/2006/relationships/oleObject" Target="embeddings/oleObject4.bin"/><Relationship Id="rId36" Type="http://schemas.openxmlformats.org/officeDocument/2006/relationships/image" Target="media/image10.wmf"/><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3.wmf"/><Relationship Id="rId27" Type="http://schemas.openxmlformats.org/officeDocument/2006/relationships/oleObject" Target="embeddings/oleObject2.bin"/><Relationship Id="rId26" Type="http://schemas.openxmlformats.org/officeDocument/2006/relationships/image" Target="media/image2.wmf"/><Relationship Id="rId25" Type="http://schemas.openxmlformats.org/officeDocument/2006/relationships/oleObject" Target="embeddings/oleObject1.bin"/><Relationship Id="rId24" Type="http://schemas.openxmlformats.org/officeDocument/2006/relationships/image" Target="file:///C:\DOCUME~1\ADMINI~1\LOCALS~1\Temp\ksohtml\wps_clip_image-4427.png" TargetMode="External"/><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3\Desktop\&#65288;&#25253;&#25209;&#31295;&#65289;&#28583;&#21439;&#25509;&#40857;&#26725;&#26472;&#30707;&#29983;&#29482;&#20859;&#27542;&#22330;&#24314;&#35774;&#39033;&#3044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B54BF9-B5A1-4138-8CC7-18F00B1BACC3}">
  <ds:schemaRefs/>
</ds:datastoreItem>
</file>

<file path=docProps/app.xml><?xml version="1.0" encoding="utf-8"?>
<Properties xmlns="http://schemas.openxmlformats.org/officeDocument/2006/extended-properties" xmlns:vt="http://schemas.openxmlformats.org/officeDocument/2006/docPropsVTypes">
  <Template>（报批稿）澧县接龙桥杨石生猪养殖场建设项目</Template>
  <Company>HP Inc.</Company>
  <Pages>134</Pages>
  <Words>84408</Words>
  <Characters>95289</Characters>
  <Lines>755</Lines>
  <Paragraphs>212</Paragraphs>
  <TotalTime>3297</TotalTime>
  <ScaleCrop>false</ScaleCrop>
  <LinksUpToDate>false</LinksUpToDate>
  <CharactersWithSpaces>95993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2020-09-11T09:02:00Z</dcterms:created>
  <dc:creator>8615307334868</dc:creator>
  <cp:lastModifiedBy>陈木沐</cp:lastModifiedBy>
  <cp:lastPrinted>2020-08-03T03:24:00Z</cp:lastPrinted>
  <dcterms:modified xsi:type="dcterms:W3CDTF">2024-10-30T08:05:25Z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A0C22EA546584D2BAE9EBF0213B01E0F_12</vt:lpwstr>
  </property>
</Properties>
</file>