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7F012">
      <w:pPr>
        <w:rPr>
          <w:rFonts w:hint="eastAsia" w:ascii="仿宋_GB2312" w:hAnsi="仿宋_GB2312" w:eastAsia="仿宋_GB2312" w:cs="仿宋_GB2312"/>
          <w:color w:val="FF0000"/>
          <w:sz w:val="36"/>
          <w:szCs w:val="36"/>
          <w:lang w:val="en-US" w:eastAsia="zh-CN"/>
        </w:rPr>
      </w:pPr>
    </w:p>
    <w:p w14:paraId="3866D27D">
      <w:pPr>
        <w:pStyle w:val="39"/>
        <w:rPr>
          <w:color w:val="FF0000"/>
        </w:rPr>
      </w:pPr>
    </w:p>
    <w:p w14:paraId="2C4EC2A1">
      <w:pPr>
        <w:rPr>
          <w:rFonts w:hint="eastAsia" w:ascii="仿宋_GB2312" w:hAnsi="仿宋_GB2312" w:eastAsia="仿宋_GB2312" w:cs="仿宋_GB2312"/>
          <w:color w:val="FF0000"/>
          <w:sz w:val="36"/>
          <w:szCs w:val="36"/>
        </w:rPr>
      </w:pPr>
    </w:p>
    <w:p w14:paraId="62997BAC">
      <w:pPr>
        <w:adjustRightInd w:val="0"/>
        <w:snapToGrid w:val="0"/>
        <w:jc w:val="center"/>
        <w:outlineLvl w:val="0"/>
        <w:rPr>
          <w:rFonts w:hint="eastAsia" w:ascii="方正小标宋_GBK" w:eastAsia="方正小标宋_GBK"/>
          <w:bCs/>
          <w:color w:val="auto"/>
          <w:sz w:val="72"/>
          <w:szCs w:val="72"/>
        </w:rPr>
      </w:pPr>
      <w:bookmarkStart w:id="0" w:name="_Toc7532"/>
      <w:bookmarkStart w:id="1" w:name="_Toc14655"/>
      <w:r>
        <w:rPr>
          <w:rFonts w:hint="eastAsia" w:ascii="方正小标宋_GBK" w:eastAsia="方正小标宋_GBK"/>
          <w:bCs/>
          <w:color w:val="auto"/>
          <w:sz w:val="72"/>
          <w:szCs w:val="72"/>
        </w:rPr>
        <w:t>建设项目环境影响报告表</w:t>
      </w:r>
      <w:bookmarkEnd w:id="0"/>
      <w:bookmarkEnd w:id="1"/>
    </w:p>
    <w:p w14:paraId="28A5B3A6">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14:paraId="7A6BFE6B">
      <w:pPr>
        <w:rPr>
          <w:color w:val="FF0000"/>
        </w:rPr>
      </w:pPr>
    </w:p>
    <w:p w14:paraId="3291C963">
      <w:pPr>
        <w:jc w:val="center"/>
        <w:rPr>
          <w:rFonts w:eastAsia="仿宋"/>
          <w:color w:val="FF0000"/>
          <w:sz w:val="52"/>
          <w:szCs w:val="52"/>
        </w:rPr>
      </w:pPr>
    </w:p>
    <w:p w14:paraId="29F040A2">
      <w:pPr>
        <w:ind w:firstLine="1040"/>
        <w:rPr>
          <w:rFonts w:eastAsia="仿宋"/>
          <w:color w:val="FF0000"/>
          <w:sz w:val="44"/>
          <w:szCs w:val="44"/>
        </w:rPr>
      </w:pPr>
    </w:p>
    <w:p w14:paraId="022C4371">
      <w:pPr>
        <w:pStyle w:val="43"/>
        <w:ind w:left="0" w:leftChars="0" w:firstLine="0" w:firstLineChars="0"/>
        <w:rPr>
          <w:rFonts w:eastAsia="仿宋"/>
          <w:color w:val="FF0000"/>
          <w:sz w:val="44"/>
          <w:szCs w:val="44"/>
        </w:rPr>
      </w:pPr>
    </w:p>
    <w:p w14:paraId="7069E715">
      <w:pPr>
        <w:rPr>
          <w:rFonts w:eastAsia="仿宋"/>
          <w:color w:val="FF0000"/>
          <w:sz w:val="44"/>
          <w:szCs w:val="44"/>
        </w:rPr>
      </w:pPr>
    </w:p>
    <w:p w14:paraId="6734A274">
      <w:pPr>
        <w:pStyle w:val="41"/>
        <w:rPr>
          <w:color w:val="FF0000"/>
        </w:rPr>
      </w:pPr>
    </w:p>
    <w:p w14:paraId="09513EAB">
      <w:pPr>
        <w:rPr>
          <w:color w:val="FF0000"/>
        </w:rPr>
      </w:pPr>
    </w:p>
    <w:p w14:paraId="454D1FF1">
      <w:pPr>
        <w:ind w:firstLine="1040"/>
        <w:rPr>
          <w:rFonts w:eastAsia="仿宋"/>
          <w:color w:val="FF0000"/>
          <w:sz w:val="44"/>
          <w:szCs w:val="44"/>
        </w:rPr>
      </w:pPr>
    </w:p>
    <w:p w14:paraId="3B30BC95">
      <w:pPr>
        <w:ind w:firstLine="1040"/>
        <w:rPr>
          <w:rFonts w:eastAsia="仿宋"/>
          <w:color w:val="FF0000"/>
          <w:sz w:val="44"/>
          <w:szCs w:val="44"/>
        </w:rPr>
      </w:pPr>
    </w:p>
    <w:p w14:paraId="4E1BADF0">
      <w:pPr>
        <w:spacing w:line="360" w:lineRule="auto"/>
        <w:ind w:firstLine="3520" w:firstLineChars="800"/>
        <w:rPr>
          <w:rFonts w:eastAsia="仿宋"/>
          <w:color w:val="FF0000"/>
          <w:sz w:val="44"/>
          <w:szCs w:val="44"/>
        </w:rPr>
      </w:pPr>
    </w:p>
    <w:p w14:paraId="4C27D111">
      <w:pPr>
        <w:adjustRightInd w:val="0"/>
        <w:snapToGrid w:val="0"/>
        <w:spacing w:line="360" w:lineRule="auto"/>
        <w:ind w:left="2519" w:leftChars="171" w:hanging="2160" w:hangingChars="600"/>
        <w:jc w:val="both"/>
        <w:rPr>
          <w:rFonts w:hint="eastAsia" w:ascii="宋体" w:hAnsi="宋体" w:eastAsia="宋体" w:cs="宋体"/>
          <w:color w:val="auto"/>
          <w:sz w:val="36"/>
          <w:szCs w:val="36"/>
          <w:u w:val="single"/>
          <w:lang w:val="en-US" w:eastAsia="zh-CN"/>
        </w:rPr>
      </w:pPr>
      <w:r>
        <w:rPr>
          <w:rFonts w:hint="eastAsia" w:ascii="宋体" w:hAnsi="宋体" w:eastAsia="宋体" w:cs="宋体"/>
          <w:color w:val="auto"/>
          <w:sz w:val="36"/>
          <w:szCs w:val="36"/>
        </w:rPr>
        <w:t>项目名称：</w:t>
      </w:r>
      <w:r>
        <w:rPr>
          <w:rFonts w:hint="eastAsia" w:ascii="宋体" w:hAnsi="宋体" w:eastAsia="宋体" w:cs="宋体"/>
          <w:color w:val="auto"/>
          <w:sz w:val="36"/>
          <w:szCs w:val="36"/>
          <w:u w:val="single"/>
          <w:lang w:val="en-US" w:eastAsia="zh-CN"/>
        </w:rPr>
        <w:t xml:space="preserve"> </w:t>
      </w:r>
      <w:r>
        <w:rPr>
          <w:rFonts w:hint="eastAsia" w:ascii="宋体" w:hAnsi="宋体" w:cs="宋体"/>
          <w:color w:val="auto"/>
          <w:sz w:val="36"/>
          <w:szCs w:val="36"/>
          <w:u w:val="single"/>
          <w:lang w:val="en-US" w:eastAsia="zh-CN"/>
        </w:rPr>
        <w:t>澧县华鑫粮食购销有限公司南岳粮库烘干厂建设项目</w:t>
      </w:r>
    </w:p>
    <w:p w14:paraId="374C0308">
      <w:pPr>
        <w:adjustRightInd w:val="0"/>
        <w:snapToGrid w:val="0"/>
        <w:spacing w:line="360" w:lineRule="auto"/>
        <w:ind w:firstLine="360" w:firstLineChars="100"/>
        <w:rPr>
          <w:rFonts w:hint="eastAsia" w:ascii="宋体" w:hAnsi="宋体" w:eastAsia="宋体" w:cs="宋体"/>
          <w:color w:val="auto"/>
          <w:sz w:val="36"/>
          <w:szCs w:val="36"/>
          <w:u w:val="single"/>
          <w:lang w:val="en-US" w:eastAsia="zh-CN"/>
        </w:rPr>
      </w:pPr>
      <w:r>
        <w:rPr>
          <w:rFonts w:hint="eastAsia" w:ascii="宋体" w:hAnsi="宋体" w:eastAsia="宋体" w:cs="宋体"/>
          <w:color w:val="auto"/>
          <w:sz w:val="36"/>
          <w:szCs w:val="36"/>
        </w:rPr>
        <w:t>建设单位：</w:t>
      </w:r>
      <w:r>
        <w:rPr>
          <w:rFonts w:hint="eastAsia" w:ascii="宋体" w:hAnsi="宋体" w:eastAsia="宋体" w:cs="宋体"/>
          <w:color w:val="auto"/>
          <w:sz w:val="36"/>
          <w:szCs w:val="36"/>
          <w:u w:val="single"/>
          <w:lang w:val="en-US" w:eastAsia="zh-CN"/>
        </w:rPr>
        <w:t xml:space="preserve">    </w:t>
      </w:r>
      <w:r>
        <w:rPr>
          <w:rFonts w:hint="eastAsia" w:ascii="宋体" w:hAnsi="宋体" w:cs="宋体"/>
          <w:color w:val="auto"/>
          <w:sz w:val="36"/>
          <w:szCs w:val="36"/>
          <w:u w:val="single"/>
          <w:lang w:val="en-US" w:eastAsia="zh-CN"/>
        </w:rPr>
        <w:t>澧县华鑫粮食购销有限公司</w:t>
      </w:r>
      <w:r>
        <w:rPr>
          <w:rFonts w:hint="eastAsia" w:ascii="宋体" w:hAnsi="宋体" w:eastAsia="宋体" w:cs="宋体"/>
          <w:color w:val="auto"/>
          <w:sz w:val="36"/>
          <w:szCs w:val="36"/>
          <w:u w:val="single"/>
          <w:lang w:val="en-US" w:eastAsia="zh-CN"/>
        </w:rPr>
        <w:t xml:space="preserve">      </w:t>
      </w:r>
    </w:p>
    <w:p w14:paraId="6C409243">
      <w:pPr>
        <w:adjustRightInd w:val="0"/>
        <w:snapToGrid w:val="0"/>
        <w:spacing w:line="360" w:lineRule="auto"/>
        <w:ind w:firstLine="360" w:firstLineChars="100"/>
        <w:rPr>
          <w:rFonts w:hint="eastAsia" w:ascii="宋体" w:hAnsi="宋体" w:eastAsia="宋体" w:cs="宋体"/>
          <w:color w:val="auto"/>
          <w:sz w:val="36"/>
          <w:szCs w:val="36"/>
          <w:u w:val="single"/>
          <w:lang w:val="en-US" w:eastAsia="zh-CN"/>
        </w:rPr>
      </w:pPr>
      <w:r>
        <w:rPr>
          <w:rFonts w:hint="eastAsia" w:ascii="宋体" w:hAnsi="宋体" w:eastAsia="宋体" w:cs="宋体"/>
          <w:color w:val="auto"/>
          <w:sz w:val="36"/>
          <w:szCs w:val="36"/>
        </w:rPr>
        <w:t>编制日期：</w:t>
      </w:r>
      <w:r>
        <w:rPr>
          <w:rFonts w:hint="eastAsia" w:ascii="宋体" w:hAnsi="宋体" w:eastAsia="宋体" w:cs="宋体"/>
          <w:color w:val="auto"/>
          <w:sz w:val="36"/>
          <w:szCs w:val="36"/>
          <w:u w:val="single"/>
          <w:lang w:val="en-US" w:eastAsia="zh-CN"/>
        </w:rPr>
        <w:t xml:space="preserve">           </w:t>
      </w:r>
      <w:r>
        <w:rPr>
          <w:rFonts w:hint="eastAsia" w:ascii="宋体" w:hAnsi="宋体" w:eastAsia="宋体" w:cs="宋体"/>
          <w:color w:val="auto"/>
          <w:sz w:val="36"/>
          <w:szCs w:val="36"/>
          <w:u w:val="single"/>
        </w:rPr>
        <w:t>二〇二</w:t>
      </w:r>
      <w:r>
        <w:rPr>
          <w:rFonts w:hint="eastAsia" w:ascii="宋体" w:hAnsi="宋体" w:eastAsia="宋体" w:cs="宋体"/>
          <w:color w:val="auto"/>
          <w:sz w:val="36"/>
          <w:szCs w:val="36"/>
          <w:u w:val="single"/>
          <w:lang w:val="en-US" w:eastAsia="zh-CN"/>
        </w:rPr>
        <w:t>四</w:t>
      </w:r>
      <w:r>
        <w:rPr>
          <w:rFonts w:hint="eastAsia" w:ascii="宋体" w:hAnsi="宋体" w:eastAsia="宋体" w:cs="宋体"/>
          <w:color w:val="auto"/>
          <w:sz w:val="36"/>
          <w:szCs w:val="36"/>
          <w:u w:val="single"/>
        </w:rPr>
        <w:t>年</w:t>
      </w:r>
      <w:r>
        <w:rPr>
          <w:rFonts w:hint="eastAsia" w:ascii="宋体" w:hAnsi="宋体" w:eastAsia="宋体" w:cs="宋体"/>
          <w:color w:val="auto"/>
          <w:sz w:val="36"/>
          <w:szCs w:val="36"/>
          <w:u w:val="single"/>
          <w:lang w:val="en-US" w:eastAsia="zh-CN"/>
        </w:rPr>
        <w:t>七</w:t>
      </w:r>
      <w:r>
        <w:rPr>
          <w:rFonts w:hint="eastAsia" w:ascii="宋体" w:hAnsi="宋体" w:eastAsia="宋体" w:cs="宋体"/>
          <w:color w:val="auto"/>
          <w:sz w:val="36"/>
          <w:szCs w:val="36"/>
          <w:u w:val="single"/>
        </w:rPr>
        <w:t>月</w:t>
      </w:r>
      <w:r>
        <w:rPr>
          <w:rFonts w:hint="eastAsia" w:ascii="宋体" w:hAnsi="宋体" w:eastAsia="宋体" w:cs="宋体"/>
          <w:color w:val="auto"/>
          <w:sz w:val="36"/>
          <w:szCs w:val="36"/>
          <w:u w:val="single"/>
          <w:lang w:val="en-US" w:eastAsia="zh-CN"/>
        </w:rPr>
        <w:t xml:space="preserve">             </w:t>
      </w:r>
    </w:p>
    <w:p w14:paraId="75BAE5EF">
      <w:pPr>
        <w:adjustRightInd w:val="0"/>
        <w:snapToGrid w:val="0"/>
        <w:spacing w:line="288" w:lineRule="auto"/>
        <w:jc w:val="center"/>
        <w:rPr>
          <w:rFonts w:ascii="仿宋_GB2312" w:eastAsia="仿宋_GB2312"/>
          <w:color w:val="FF0000"/>
          <w:sz w:val="36"/>
          <w:szCs w:val="36"/>
          <w:u w:val="single"/>
        </w:rPr>
      </w:pPr>
      <w:bookmarkStart w:id="2" w:name="_Hlk57884087"/>
    </w:p>
    <w:p w14:paraId="223113A9">
      <w:pPr>
        <w:adjustRightInd w:val="0"/>
        <w:snapToGrid w:val="0"/>
        <w:spacing w:line="288" w:lineRule="auto"/>
        <w:rPr>
          <w:rFonts w:ascii="仿宋_GB2312" w:eastAsia="仿宋_GB2312"/>
          <w:color w:val="FF0000"/>
          <w:sz w:val="36"/>
          <w:szCs w:val="36"/>
        </w:rPr>
      </w:pPr>
    </w:p>
    <w:p w14:paraId="6AFAE7A1">
      <w:pPr>
        <w:adjustRightInd w:val="0"/>
        <w:snapToGrid w:val="0"/>
        <w:spacing w:line="288" w:lineRule="auto"/>
        <w:ind w:firstLine="1040"/>
        <w:rPr>
          <w:rFonts w:hint="eastAsia" w:ascii="仿宋_GB2312" w:eastAsia="仿宋_GB2312"/>
          <w:color w:val="FF0000"/>
          <w:sz w:val="36"/>
          <w:szCs w:val="36"/>
        </w:rPr>
      </w:pPr>
    </w:p>
    <w:p w14:paraId="1E35F456">
      <w:pPr>
        <w:adjustRightInd w:val="0"/>
        <w:snapToGrid w:val="0"/>
        <w:spacing w:line="288" w:lineRule="auto"/>
        <w:ind w:firstLine="1040"/>
        <w:rPr>
          <w:rFonts w:hint="eastAsia" w:ascii="仿宋_GB2312" w:eastAsia="仿宋_GB2312"/>
          <w:color w:val="FF0000"/>
          <w:sz w:val="36"/>
          <w:szCs w:val="36"/>
        </w:rPr>
      </w:pPr>
    </w:p>
    <w:bookmarkEnd w:id="2"/>
    <w:p w14:paraId="7CD8DD94">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14:paraId="182A0164">
      <w:pPr>
        <w:adjustRightInd w:val="0"/>
        <w:snapToGrid w:val="0"/>
        <w:spacing w:line="288" w:lineRule="auto"/>
        <w:ind w:firstLine="1040"/>
        <w:rPr>
          <w:rFonts w:ascii="仿宋_GB2312" w:eastAsia="仿宋_GB2312"/>
          <w:color w:val="FF0000"/>
          <w:sz w:val="36"/>
          <w:szCs w:val="36"/>
        </w:rPr>
        <w:sectPr>
          <w:headerReference r:id="rId3" w:type="default"/>
          <w:footerReference r:id="rId4" w:type="default"/>
          <w:footerReference r:id="rId5" w:type="even"/>
          <w:pgSz w:w="11906" w:h="16838"/>
          <w:pgMar w:top="1349" w:right="1559" w:bottom="1763" w:left="1417" w:header="851" w:footer="1077" w:gutter="0"/>
          <w:pgBorders>
            <w:top w:val="none" w:sz="0" w:space="0"/>
            <w:left w:val="none" w:sz="0" w:space="0"/>
            <w:bottom w:val="none" w:sz="0" w:space="0"/>
            <w:right w:val="none" w:sz="0" w:space="0"/>
          </w:pgBorders>
          <w:pgNumType w:start="3"/>
          <w:cols w:space="720" w:num="1"/>
          <w:docGrid w:linePitch="312" w:charSpace="0"/>
        </w:sectPr>
      </w:pPr>
    </w:p>
    <w:p w14:paraId="4A95BFE7">
      <w:pPr>
        <w:pStyle w:val="2"/>
        <w:rPr>
          <w:color w:val="FF0000"/>
        </w:rPr>
        <w:sectPr>
          <w:pgSz w:w="11906" w:h="16838"/>
          <w:pgMar w:top="1349" w:right="1559" w:bottom="1763" w:left="1417" w:header="851" w:footer="1077" w:gutter="0"/>
          <w:pgBorders>
            <w:top w:val="none" w:sz="0" w:space="0"/>
            <w:left w:val="none" w:sz="0" w:space="0"/>
            <w:bottom w:val="none" w:sz="0" w:space="0"/>
            <w:right w:val="none" w:sz="0" w:space="0"/>
          </w:pgBorders>
          <w:pgNumType w:start="3"/>
          <w:cols w:space="720" w:num="1"/>
          <w:docGrid w:linePitch="312" w:charSpace="0"/>
        </w:sectPr>
      </w:pPr>
    </w:p>
    <w:p w14:paraId="56042D54">
      <w:pPr>
        <w:spacing w:line="360" w:lineRule="auto"/>
        <w:jc w:val="center"/>
        <w:outlineLvl w:val="0"/>
        <w:rPr>
          <w:rFonts w:hint="eastAsia"/>
          <w:b/>
          <w:bCs/>
          <w:color w:val="auto"/>
          <w:sz w:val="32"/>
          <w:szCs w:val="32"/>
        </w:rPr>
      </w:pPr>
      <w:bookmarkStart w:id="3" w:name="_Toc24803"/>
      <w:bookmarkStart w:id="4" w:name="_Toc13275"/>
      <w:r>
        <w:rPr>
          <w:rFonts w:hint="eastAsia"/>
          <w:b/>
          <w:bCs/>
          <w:color w:val="auto"/>
          <w:sz w:val="32"/>
          <w:szCs w:val="32"/>
        </w:rPr>
        <w:t>一、建设项目基本情况</w:t>
      </w:r>
      <w:bookmarkEnd w:id="3"/>
      <w:bookmarkEnd w:id="4"/>
    </w:p>
    <w:tbl>
      <w:tblPr>
        <w:tblStyle w:val="29"/>
        <w:tblW w:w="481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34"/>
        <w:gridCol w:w="1153"/>
        <w:gridCol w:w="1943"/>
        <w:gridCol w:w="1873"/>
        <w:gridCol w:w="3046"/>
      </w:tblGrid>
      <w:tr w14:paraId="56567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987" w:type="pct"/>
            <w:gridSpan w:val="2"/>
            <w:tcMar>
              <w:top w:w="16" w:type="dxa"/>
              <w:left w:w="16" w:type="dxa"/>
              <w:right w:w="16" w:type="dxa"/>
            </w:tcMar>
            <w:vAlign w:val="center"/>
          </w:tcPr>
          <w:p w14:paraId="6ADD875C">
            <w:pPr>
              <w:adjustRightInd w:val="0"/>
              <w:snapToGrid w:val="0"/>
              <w:jc w:val="center"/>
              <w:rPr>
                <w:rFonts w:hint="eastAsia"/>
                <w:color w:val="auto"/>
                <w:sz w:val="24"/>
              </w:rPr>
            </w:pPr>
            <w:r>
              <w:rPr>
                <w:rFonts w:hint="eastAsia"/>
                <w:color w:val="auto"/>
                <w:sz w:val="24"/>
              </w:rPr>
              <w:t>建设项目名称</w:t>
            </w:r>
          </w:p>
        </w:tc>
        <w:tc>
          <w:tcPr>
            <w:tcW w:w="4012" w:type="pct"/>
            <w:gridSpan w:val="3"/>
            <w:vAlign w:val="center"/>
          </w:tcPr>
          <w:p w14:paraId="0FB75326">
            <w:pPr>
              <w:adjustRightInd w:val="0"/>
              <w:snapToGrid w:val="0"/>
              <w:jc w:val="center"/>
              <w:rPr>
                <w:rFonts w:hint="eastAsia" w:eastAsia="宋体"/>
                <w:color w:val="auto"/>
                <w:sz w:val="24"/>
                <w:lang w:eastAsia="zh-CN"/>
              </w:rPr>
            </w:pPr>
            <w:r>
              <w:rPr>
                <w:rFonts w:hint="eastAsia"/>
                <w:color w:val="auto"/>
                <w:sz w:val="24"/>
                <w:lang w:val="en-US" w:eastAsia="zh-CN"/>
              </w:rPr>
              <w:t>澧县华鑫粮食购销有限公司南岳粮库烘干厂建设项目</w:t>
            </w:r>
          </w:p>
        </w:tc>
      </w:tr>
      <w:tr w14:paraId="7C92A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987" w:type="pct"/>
            <w:gridSpan w:val="2"/>
            <w:tcMar>
              <w:top w:w="16" w:type="dxa"/>
              <w:left w:w="16" w:type="dxa"/>
              <w:right w:w="16" w:type="dxa"/>
            </w:tcMar>
            <w:vAlign w:val="center"/>
          </w:tcPr>
          <w:p w14:paraId="334D0A9D">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项目代码</w:t>
            </w:r>
          </w:p>
        </w:tc>
        <w:tc>
          <w:tcPr>
            <w:tcW w:w="4012" w:type="pct"/>
            <w:gridSpan w:val="3"/>
            <w:vAlign w:val="center"/>
          </w:tcPr>
          <w:p w14:paraId="33874375">
            <w:pPr>
              <w:adjustRightInd w:val="0"/>
              <w:snapToGrid w:val="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C878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87" w:type="pct"/>
            <w:gridSpan w:val="2"/>
            <w:tcMar>
              <w:top w:w="16" w:type="dxa"/>
              <w:left w:w="16" w:type="dxa"/>
              <w:right w:w="16" w:type="dxa"/>
            </w:tcMar>
            <w:vAlign w:val="center"/>
          </w:tcPr>
          <w:p w14:paraId="613D970A">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建设单位</w:t>
            </w:r>
          </w:p>
          <w:p w14:paraId="6B7D0E68">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p>
        </w:tc>
        <w:tc>
          <w:tcPr>
            <w:tcW w:w="1136" w:type="pct"/>
            <w:vAlign w:val="center"/>
          </w:tcPr>
          <w:p w14:paraId="51654C91">
            <w:pPr>
              <w:pStyle w:val="83"/>
              <w:spacing w:line="240" w:lineRule="exact"/>
              <w:ind w:firstLine="480" w:firstLineChars="200"/>
              <w:jc w:val="both"/>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李一鸣</w:t>
            </w:r>
          </w:p>
        </w:tc>
        <w:tc>
          <w:tcPr>
            <w:tcW w:w="1095" w:type="pct"/>
            <w:vAlign w:val="center"/>
          </w:tcPr>
          <w:p w14:paraId="3E7B115D">
            <w:pPr>
              <w:pStyle w:val="83"/>
              <w:spacing w:before="88"/>
              <w:ind w:left="382" w:leftChars="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p>
        </w:tc>
        <w:tc>
          <w:tcPr>
            <w:tcW w:w="1781" w:type="pct"/>
            <w:vAlign w:val="center"/>
          </w:tcPr>
          <w:p w14:paraId="31263CDA">
            <w:pPr>
              <w:pStyle w:val="83"/>
              <w:ind w:left="723" w:leftChars="0"/>
              <w:jc w:val="both"/>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19973606665</w:t>
            </w:r>
          </w:p>
        </w:tc>
      </w:tr>
      <w:tr w14:paraId="4CE54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987" w:type="pct"/>
            <w:gridSpan w:val="2"/>
            <w:tcMar>
              <w:top w:w="16" w:type="dxa"/>
              <w:left w:w="16" w:type="dxa"/>
              <w:right w:w="16" w:type="dxa"/>
            </w:tcMar>
            <w:vAlign w:val="center"/>
          </w:tcPr>
          <w:p w14:paraId="77C4219C">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建设地点</w:t>
            </w:r>
          </w:p>
        </w:tc>
        <w:tc>
          <w:tcPr>
            <w:tcW w:w="4012" w:type="pct"/>
            <w:gridSpan w:val="3"/>
            <w:vAlign w:val="center"/>
          </w:tcPr>
          <w:p w14:paraId="7ED3748F">
            <w:pPr>
              <w:adjustRightInd w:val="0"/>
              <w:snapToGrid w:val="0"/>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pacing w:val="-1"/>
                <w:sz w:val="24"/>
                <w:u w:val="none"/>
                <w:lang w:val="en-US" w:eastAsia="zh-CN"/>
                <w14:textFill>
                  <w14:solidFill>
                    <w14:schemeClr w14:val="tx1"/>
                  </w14:solidFill>
                </w14:textFill>
              </w:rPr>
              <w:t>澧县城头山镇南岳村二组</w:t>
            </w:r>
          </w:p>
        </w:tc>
      </w:tr>
      <w:tr w14:paraId="173F7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87" w:type="pct"/>
            <w:gridSpan w:val="2"/>
            <w:tcMar>
              <w:top w:w="16" w:type="dxa"/>
              <w:left w:w="16" w:type="dxa"/>
              <w:right w:w="16" w:type="dxa"/>
            </w:tcMar>
            <w:vAlign w:val="center"/>
          </w:tcPr>
          <w:p w14:paraId="1A5AEDD5">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地理坐标</w:t>
            </w:r>
          </w:p>
        </w:tc>
        <w:tc>
          <w:tcPr>
            <w:tcW w:w="4012" w:type="pct"/>
            <w:gridSpan w:val="3"/>
            <w:vAlign w:val="center"/>
          </w:tcPr>
          <w:p w14:paraId="3D81C144">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经纬度坐标（</w:t>
            </w:r>
            <w:r>
              <w:rPr>
                <w:rFonts w:hint="eastAsia" w:ascii="宋体" w:hAnsi="宋体" w:cs="宋体"/>
                <w:color w:val="000000" w:themeColor="text1"/>
                <w:sz w:val="24"/>
                <w:lang w:val="en-US" w:eastAsia="zh-CN"/>
                <w14:textFill>
                  <w14:solidFill>
                    <w14:schemeClr w14:val="tx1"/>
                  </w14:solidFill>
                </w14:textFill>
              </w:rPr>
              <w:t>111°38′59.44354″</w:t>
            </w:r>
            <w:r>
              <w:rPr>
                <w:rFonts w:hint="eastAsia" w:ascii="宋体" w:hAnsi="宋体" w:eastAsia="宋体" w:cs="宋体"/>
                <w:color w:val="000000" w:themeColor="text1"/>
                <w:sz w:val="24"/>
                <w:lang w:val="en-US" w:eastAsia="zh-CN"/>
                <w14:textFill>
                  <w14:solidFill>
                    <w14:schemeClr w14:val="tx1"/>
                  </w14:solidFill>
                </w14:textFill>
              </w:rPr>
              <w:t>，北纬：</w:t>
            </w:r>
            <w:r>
              <w:rPr>
                <w:rFonts w:hint="eastAsia" w:ascii="宋体" w:hAnsi="宋体" w:cs="宋体"/>
                <w:color w:val="000000" w:themeColor="text1"/>
                <w:sz w:val="24"/>
                <w:lang w:val="en-US" w:eastAsia="zh-CN"/>
                <w14:textFill>
                  <w14:solidFill>
                    <w14:schemeClr w14:val="tx1"/>
                  </w14:solidFill>
                </w14:textFill>
              </w:rPr>
              <w:t>29°41′44.70857″</w:t>
            </w:r>
            <w:r>
              <w:rPr>
                <w:rFonts w:hint="eastAsia" w:ascii="宋体" w:hAnsi="宋体" w:eastAsia="宋体" w:cs="宋体"/>
                <w:color w:val="000000" w:themeColor="text1"/>
                <w:sz w:val="24"/>
                <w:lang w:val="en-US" w:eastAsia="zh-CN"/>
                <w14:textFill>
                  <w14:solidFill>
                    <w14:schemeClr w14:val="tx1"/>
                  </w14:solidFill>
                </w14:textFill>
              </w:rPr>
              <w:t>）</w:t>
            </w:r>
          </w:p>
        </w:tc>
      </w:tr>
      <w:tr w14:paraId="39729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987" w:type="pct"/>
            <w:gridSpan w:val="2"/>
            <w:tcMar>
              <w:top w:w="16" w:type="dxa"/>
              <w:left w:w="16" w:type="dxa"/>
              <w:right w:w="16" w:type="dxa"/>
            </w:tcMar>
            <w:vAlign w:val="center"/>
          </w:tcPr>
          <w:p w14:paraId="5F9E432D">
            <w:pPr>
              <w:adjustRightInd w:val="0"/>
              <w:snapToGrid w:val="0"/>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国民经济</w:t>
            </w:r>
          </w:p>
          <w:p w14:paraId="493099D6">
            <w:pPr>
              <w:adjustRightInd w:val="0"/>
              <w:snapToGrid w:val="0"/>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行业类别</w:t>
            </w:r>
          </w:p>
        </w:tc>
        <w:tc>
          <w:tcPr>
            <w:tcW w:w="1136" w:type="pct"/>
            <w:vAlign w:val="center"/>
          </w:tcPr>
          <w:p w14:paraId="307DB10E">
            <w:pPr>
              <w:pStyle w:val="83"/>
              <w:spacing w:before="88" w:line="242" w:lineRule="auto"/>
              <w:ind w:left="126" w:leftChars="0" w:right="116" w:rightChars="0"/>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D4430热力生产和供应</w:t>
            </w:r>
          </w:p>
          <w:p w14:paraId="0A96C570">
            <w:pPr>
              <w:pStyle w:val="83"/>
              <w:spacing w:before="88" w:line="242" w:lineRule="auto"/>
              <w:ind w:left="126" w:leftChars="0" w:right="116" w:rightChars="0"/>
              <w:jc w:val="center"/>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A0514农产品初加工活动</w:t>
            </w:r>
          </w:p>
        </w:tc>
        <w:tc>
          <w:tcPr>
            <w:tcW w:w="1095" w:type="pct"/>
            <w:vAlign w:val="center"/>
          </w:tcPr>
          <w:p w14:paraId="520BE30A">
            <w:pPr>
              <w:pStyle w:val="83"/>
              <w:spacing w:line="242" w:lineRule="auto"/>
              <w:ind w:left="382" w:leftChars="0" w:right="370" w:rightChars="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建设项目行业类别</w:t>
            </w:r>
          </w:p>
        </w:tc>
        <w:tc>
          <w:tcPr>
            <w:tcW w:w="1781" w:type="pct"/>
            <w:vAlign w:val="center"/>
          </w:tcPr>
          <w:p w14:paraId="6123BFB6">
            <w:pPr>
              <w:pStyle w:val="83"/>
              <w:spacing w:before="88"/>
              <w:ind w:left="143"/>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91热力生产和供应工程</w:t>
            </w:r>
          </w:p>
          <w:p w14:paraId="54533D28">
            <w:pPr>
              <w:pStyle w:val="83"/>
              <w:spacing w:before="4" w:line="242" w:lineRule="auto"/>
              <w:ind w:left="563" w:leftChars="0" w:right="190" w:rightChars="0" w:hanging="360" w:firstLineChars="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（包括建设单位自建自用的供热工程）</w:t>
            </w:r>
          </w:p>
        </w:tc>
      </w:tr>
      <w:tr w14:paraId="1ACD1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23" w:hRule="atLeast"/>
          <w:jc w:val="center"/>
        </w:trPr>
        <w:tc>
          <w:tcPr>
            <w:tcW w:w="987" w:type="pct"/>
            <w:gridSpan w:val="2"/>
            <w:tcMar>
              <w:top w:w="16" w:type="dxa"/>
              <w:left w:w="16" w:type="dxa"/>
              <w:right w:w="16" w:type="dxa"/>
            </w:tcMar>
            <w:vAlign w:val="center"/>
          </w:tcPr>
          <w:p w14:paraId="7C06CB71">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建设性质</w:t>
            </w:r>
          </w:p>
        </w:tc>
        <w:tc>
          <w:tcPr>
            <w:tcW w:w="1136" w:type="pct"/>
            <w:vAlign w:val="center"/>
          </w:tcPr>
          <w:p w14:paraId="5FB946A0">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sym w:font="Wingdings" w:char="00FE"/>
            </w:r>
            <w:r>
              <w:rPr>
                <w:rFonts w:hint="eastAsia" w:ascii="宋体" w:hAnsi="宋体" w:eastAsia="宋体" w:cs="宋体"/>
                <w:color w:val="000000" w:themeColor="text1"/>
                <w:sz w:val="24"/>
                <w14:textFill>
                  <w14:solidFill>
                    <w14:schemeClr w14:val="tx1"/>
                  </w14:solidFill>
                </w14:textFill>
              </w:rPr>
              <w:t>新建（迁建）</w:t>
            </w:r>
          </w:p>
          <w:p w14:paraId="08B00C9F">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sym w:font="Wingdings" w:char="00A8"/>
            </w:r>
            <w:r>
              <w:rPr>
                <w:rFonts w:hint="eastAsia" w:ascii="宋体" w:hAnsi="宋体" w:eastAsia="宋体" w:cs="宋体"/>
                <w:color w:val="000000" w:themeColor="text1"/>
                <w:sz w:val="24"/>
                <w14:textFill>
                  <w14:solidFill>
                    <w14:schemeClr w14:val="tx1"/>
                  </w14:solidFill>
                </w14:textFill>
              </w:rPr>
              <w:t>改建</w:t>
            </w:r>
          </w:p>
          <w:p w14:paraId="3F786838">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sym w:font="Wingdings" w:char="00A8"/>
            </w:r>
            <w:r>
              <w:rPr>
                <w:rFonts w:hint="eastAsia" w:ascii="宋体" w:hAnsi="宋体" w:eastAsia="宋体" w:cs="宋体"/>
                <w:color w:val="000000" w:themeColor="text1"/>
                <w:sz w:val="24"/>
                <w14:textFill>
                  <w14:solidFill>
                    <w14:schemeClr w14:val="tx1"/>
                  </w14:solidFill>
                </w14:textFill>
              </w:rPr>
              <w:t>扩建</w:t>
            </w:r>
          </w:p>
          <w:p w14:paraId="22E3AE6E">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sym w:font="Wingdings" w:char="00A8"/>
            </w:r>
            <w:r>
              <w:rPr>
                <w:rFonts w:hint="eastAsia" w:ascii="宋体" w:hAnsi="宋体" w:eastAsia="宋体" w:cs="宋体"/>
                <w:color w:val="000000" w:themeColor="text1"/>
                <w:sz w:val="24"/>
                <w14:textFill>
                  <w14:solidFill>
                    <w14:schemeClr w14:val="tx1"/>
                  </w14:solidFill>
                </w14:textFill>
              </w:rPr>
              <w:t>技术改造</w:t>
            </w:r>
          </w:p>
        </w:tc>
        <w:tc>
          <w:tcPr>
            <w:tcW w:w="1095" w:type="pct"/>
            <w:vAlign w:val="center"/>
          </w:tcPr>
          <w:p w14:paraId="7C01BF7A">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建设项目</w:t>
            </w:r>
          </w:p>
          <w:p w14:paraId="3DBE1CAE">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申报情形</w:t>
            </w:r>
          </w:p>
        </w:tc>
        <w:tc>
          <w:tcPr>
            <w:tcW w:w="1781" w:type="pct"/>
            <w:vAlign w:val="center"/>
          </w:tcPr>
          <w:p w14:paraId="14955BC9">
            <w:pPr>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sym w:font="Wingdings" w:char="00FE"/>
            </w:r>
            <w:r>
              <w:rPr>
                <w:rFonts w:hint="eastAsia"/>
                <w:color w:val="000000" w:themeColor="text1"/>
                <w:sz w:val="24"/>
                <w14:textFill>
                  <w14:solidFill>
                    <w14:schemeClr w14:val="tx1"/>
                  </w14:solidFill>
                </w14:textFill>
              </w:rPr>
              <w:t>首次申报项目</w:t>
            </w:r>
          </w:p>
          <w:p w14:paraId="2D71A83F">
            <w:pPr>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sym w:font="Wingdings" w:char="00A8"/>
            </w:r>
            <w:r>
              <w:rPr>
                <w:rFonts w:hint="eastAsia"/>
                <w:color w:val="000000" w:themeColor="text1"/>
                <w:sz w:val="24"/>
                <w14:textFill>
                  <w14:solidFill>
                    <w14:schemeClr w14:val="tx1"/>
                  </w14:solidFill>
                </w14:textFill>
              </w:rPr>
              <w:t>不予批准后再次申报项目</w:t>
            </w:r>
          </w:p>
          <w:p w14:paraId="5DA3D8F3">
            <w:pPr>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sym w:font="Wingdings" w:char="00A8"/>
            </w:r>
            <w:r>
              <w:rPr>
                <w:rFonts w:hint="eastAsia"/>
                <w:color w:val="000000" w:themeColor="text1"/>
                <w:sz w:val="24"/>
                <w14:textFill>
                  <w14:solidFill>
                    <w14:schemeClr w14:val="tx1"/>
                  </w14:solidFill>
                </w14:textFill>
              </w:rPr>
              <w:t>超五年重新审核项目</w:t>
            </w:r>
          </w:p>
          <w:p w14:paraId="4CFA3283">
            <w:pPr>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sym w:font="Wingdings" w:char="00A8"/>
            </w:r>
            <w:r>
              <w:rPr>
                <w:rFonts w:hint="eastAsia"/>
                <w:color w:val="000000" w:themeColor="text1"/>
                <w:sz w:val="24"/>
                <w14:textFill>
                  <w14:solidFill>
                    <w14:schemeClr w14:val="tx1"/>
                  </w14:solidFill>
                </w14:textFill>
              </w:rPr>
              <w:t>重大变动重新报批项目</w:t>
            </w:r>
          </w:p>
        </w:tc>
      </w:tr>
      <w:tr w14:paraId="5BDE5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7" w:type="pct"/>
            <w:gridSpan w:val="2"/>
            <w:tcMar>
              <w:top w:w="16" w:type="dxa"/>
              <w:left w:w="16" w:type="dxa"/>
              <w:right w:w="16" w:type="dxa"/>
            </w:tcMar>
            <w:vAlign w:val="center"/>
          </w:tcPr>
          <w:p w14:paraId="44E4FD61">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项目审批（核准/备案）部门</w:t>
            </w:r>
          </w:p>
        </w:tc>
        <w:tc>
          <w:tcPr>
            <w:tcW w:w="1136" w:type="pct"/>
            <w:vAlign w:val="center"/>
          </w:tcPr>
          <w:p w14:paraId="6D29732C">
            <w:pPr>
              <w:adjustRightInd w:val="0"/>
              <w:snapToGrid w:val="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p>
        </w:tc>
        <w:tc>
          <w:tcPr>
            <w:tcW w:w="1095" w:type="pct"/>
            <w:vAlign w:val="center"/>
          </w:tcPr>
          <w:p w14:paraId="464401BF">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项目审批（核准/备案）文号</w:t>
            </w:r>
          </w:p>
        </w:tc>
        <w:tc>
          <w:tcPr>
            <w:tcW w:w="1781" w:type="pct"/>
            <w:vAlign w:val="center"/>
          </w:tcPr>
          <w:p w14:paraId="69E22087">
            <w:pPr>
              <w:adjustRightInd w:val="0"/>
              <w:snapToGrid w:val="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p>
        </w:tc>
      </w:tr>
      <w:tr w14:paraId="0B881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987" w:type="pct"/>
            <w:gridSpan w:val="2"/>
            <w:tcMar>
              <w:top w:w="16" w:type="dxa"/>
              <w:left w:w="16" w:type="dxa"/>
              <w:right w:w="16" w:type="dxa"/>
            </w:tcMar>
            <w:vAlign w:val="center"/>
          </w:tcPr>
          <w:p w14:paraId="2EF99B38">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总投资（万元）</w:t>
            </w:r>
          </w:p>
        </w:tc>
        <w:tc>
          <w:tcPr>
            <w:tcW w:w="1136" w:type="pct"/>
            <w:vAlign w:val="center"/>
          </w:tcPr>
          <w:p w14:paraId="30AF8E30">
            <w:pPr>
              <w:adjustRightInd w:val="0"/>
              <w:snapToGrid w:val="0"/>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506.1</w:t>
            </w:r>
          </w:p>
        </w:tc>
        <w:tc>
          <w:tcPr>
            <w:tcW w:w="1095" w:type="pct"/>
            <w:tcMar>
              <w:top w:w="16" w:type="dxa"/>
              <w:left w:w="16" w:type="dxa"/>
              <w:right w:w="16" w:type="dxa"/>
            </w:tcMar>
            <w:vAlign w:val="center"/>
          </w:tcPr>
          <w:p w14:paraId="1DF417D7">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环保投资（万元）</w:t>
            </w:r>
          </w:p>
        </w:tc>
        <w:tc>
          <w:tcPr>
            <w:tcW w:w="1781" w:type="pct"/>
            <w:vAlign w:val="center"/>
          </w:tcPr>
          <w:p w14:paraId="4896E089">
            <w:pPr>
              <w:adjustRightInd w:val="0"/>
              <w:snapToGrid w:val="0"/>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41</w:t>
            </w:r>
          </w:p>
        </w:tc>
      </w:tr>
      <w:tr w14:paraId="4A4C8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987" w:type="pct"/>
            <w:gridSpan w:val="2"/>
            <w:tcMar>
              <w:top w:w="16" w:type="dxa"/>
              <w:left w:w="16" w:type="dxa"/>
              <w:right w:w="16" w:type="dxa"/>
            </w:tcMar>
            <w:vAlign w:val="center"/>
          </w:tcPr>
          <w:p w14:paraId="460DFF04">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环保投资占比（%）</w:t>
            </w:r>
          </w:p>
        </w:tc>
        <w:tc>
          <w:tcPr>
            <w:tcW w:w="1136" w:type="pct"/>
            <w:vAlign w:val="center"/>
          </w:tcPr>
          <w:p w14:paraId="767CCE2A">
            <w:pPr>
              <w:adjustRightInd w:val="0"/>
              <w:snapToGrid w:val="0"/>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8.1</w:t>
            </w:r>
          </w:p>
        </w:tc>
        <w:tc>
          <w:tcPr>
            <w:tcW w:w="1095" w:type="pct"/>
            <w:tcMar>
              <w:top w:w="16" w:type="dxa"/>
              <w:left w:w="16" w:type="dxa"/>
              <w:right w:w="16" w:type="dxa"/>
            </w:tcMar>
            <w:vAlign w:val="center"/>
          </w:tcPr>
          <w:p w14:paraId="418698E8">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施工工期</w:t>
            </w:r>
          </w:p>
        </w:tc>
        <w:tc>
          <w:tcPr>
            <w:tcW w:w="1781" w:type="pct"/>
            <w:vAlign w:val="center"/>
          </w:tcPr>
          <w:p w14:paraId="72EF6979">
            <w:pPr>
              <w:adjustRightInd w:val="0"/>
              <w:snapToGrid w:val="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r>
      <w:tr w14:paraId="694F4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987" w:type="pct"/>
            <w:gridSpan w:val="2"/>
            <w:tcMar>
              <w:top w:w="16" w:type="dxa"/>
              <w:left w:w="16" w:type="dxa"/>
              <w:right w:w="16" w:type="dxa"/>
            </w:tcMar>
            <w:vAlign w:val="center"/>
          </w:tcPr>
          <w:p w14:paraId="39B15E9E">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是否开工建设</w:t>
            </w:r>
          </w:p>
        </w:tc>
        <w:tc>
          <w:tcPr>
            <w:tcW w:w="1136" w:type="pct"/>
            <w:vAlign w:val="center"/>
          </w:tcPr>
          <w:p w14:paraId="5614DFF5">
            <w:pPr>
              <w:adjustRightInd w:val="0"/>
              <w:snapToGri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sym w:font="Wingdings" w:char="00FE"/>
            </w:r>
            <w:r>
              <w:rPr>
                <w:rFonts w:hint="eastAsia" w:ascii="宋体" w:hAnsi="宋体" w:eastAsia="宋体" w:cs="宋体"/>
                <w:color w:val="000000" w:themeColor="text1"/>
                <w:sz w:val="24"/>
                <w14:textFill>
                  <w14:solidFill>
                    <w14:schemeClr w14:val="tx1"/>
                  </w14:solidFill>
                </w14:textFill>
              </w:rPr>
              <w:t>否</w:t>
            </w:r>
          </w:p>
          <w:p w14:paraId="04A93629">
            <w:pPr>
              <w:adjustRightInd w:val="0"/>
              <w:snapToGrid w:val="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sym w:font="Wingdings" w:char="00A8"/>
            </w:r>
            <w:r>
              <w:rPr>
                <w:rFonts w:hint="eastAsia" w:ascii="宋体" w:hAnsi="宋体" w:eastAsia="宋体" w:cs="宋体"/>
                <w:color w:val="000000" w:themeColor="text1"/>
                <w:sz w:val="24"/>
                <w14:textFill>
                  <w14:solidFill>
                    <w14:schemeClr w14:val="tx1"/>
                  </w14:solidFill>
                </w14:textFill>
              </w:rPr>
              <w:t>是</w:t>
            </w:r>
          </w:p>
        </w:tc>
        <w:tc>
          <w:tcPr>
            <w:tcW w:w="1095" w:type="pct"/>
            <w:tcMar>
              <w:top w:w="16" w:type="dxa"/>
              <w:left w:w="16" w:type="dxa"/>
              <w:right w:w="16" w:type="dxa"/>
            </w:tcMar>
            <w:vAlign w:val="center"/>
          </w:tcPr>
          <w:p w14:paraId="774748EC">
            <w:pPr>
              <w:adjustRightInd w:val="0"/>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用地面积（</w:t>
            </w:r>
            <w:r>
              <w:rPr>
                <w:rFonts w:hint="eastAsia" w:ascii="宋体" w:hAnsi="宋体" w:cs="宋体"/>
                <w:color w:val="000000" w:themeColor="text1"/>
                <w:spacing w:val="-6"/>
                <w:sz w:val="24"/>
                <w:lang w:val="en-US" w:eastAsia="zh-CN"/>
                <w14:textFill>
                  <w14:solidFill>
                    <w14:schemeClr w14:val="tx1"/>
                  </w14:solidFill>
                </w14:textFill>
              </w:rPr>
              <w:t>㎡</w:t>
            </w:r>
            <w:r>
              <w:rPr>
                <w:rFonts w:hint="eastAsia" w:ascii="宋体" w:hAnsi="宋体" w:eastAsia="宋体" w:cs="宋体"/>
                <w:color w:val="000000" w:themeColor="text1"/>
                <w:spacing w:val="-6"/>
                <w:sz w:val="24"/>
                <w14:textFill>
                  <w14:solidFill>
                    <w14:schemeClr w14:val="tx1"/>
                  </w14:solidFill>
                </w14:textFill>
              </w:rPr>
              <w:t>）</w:t>
            </w:r>
          </w:p>
        </w:tc>
        <w:tc>
          <w:tcPr>
            <w:tcW w:w="1781" w:type="pct"/>
            <w:vAlign w:val="center"/>
          </w:tcPr>
          <w:p w14:paraId="01BCBF22">
            <w:pPr>
              <w:adjustRightInd w:val="0"/>
              <w:snapToGrid w:val="0"/>
              <w:jc w:val="center"/>
              <w:rPr>
                <w:rFonts w:hint="default" w:ascii="宋体" w:hAnsi="宋体" w:eastAsia="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8619.25㎡</w:t>
            </w:r>
          </w:p>
        </w:tc>
      </w:tr>
      <w:tr w14:paraId="6BE90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87" w:type="pct"/>
            <w:gridSpan w:val="2"/>
            <w:vAlign w:val="center"/>
          </w:tcPr>
          <w:p w14:paraId="7E4B5594">
            <w:pPr>
              <w:adjustRightInd w:val="0"/>
              <w:snapToGrid w:val="0"/>
              <w:jc w:val="center"/>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专项评价设置情况</w:t>
            </w:r>
          </w:p>
        </w:tc>
        <w:tc>
          <w:tcPr>
            <w:tcW w:w="4012" w:type="pct"/>
            <w:gridSpan w:val="3"/>
            <w:vAlign w:val="center"/>
          </w:tcPr>
          <w:p w14:paraId="499D478E">
            <w:pPr>
              <w:kinsoku/>
              <w:overflowPunct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对照《建设项目环境影响报告表编制技术指南（污染影响类）（试行）》专项评价设置原则表，详见1-1。</w:t>
            </w:r>
          </w:p>
          <w:p w14:paraId="33D05C94">
            <w:pPr>
              <w:kinsoku/>
              <w:overflowPunct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由表1-1的分析结果可知，本项目无需设置专项评价。</w:t>
            </w:r>
          </w:p>
          <w:p w14:paraId="7AEA02BD">
            <w:pPr>
              <w:kinsoku/>
              <w:overflowPunct w:val="0"/>
              <w:spacing w:line="360" w:lineRule="auto"/>
              <w:ind w:firstLine="422"/>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表1-</w:t>
            </w: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14:textFill>
                  <w14:solidFill>
                    <w14:schemeClr w14:val="tx1"/>
                  </w14:solidFill>
                </w14:textFill>
              </w:rPr>
              <w:t>专项评价设置原则表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969"/>
              <w:gridCol w:w="1718"/>
            </w:tblGrid>
            <w:tr w14:paraId="2F0E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0EE98608">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专项评价的类别</w:t>
                  </w:r>
                </w:p>
              </w:tc>
              <w:tc>
                <w:tcPr>
                  <w:tcW w:w="2989" w:type="pct"/>
                  <w:noWrap w:val="0"/>
                  <w:vAlign w:val="center"/>
                </w:tcPr>
                <w:p w14:paraId="0F461F1F">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专项评价设置原则表</w:t>
                  </w:r>
                </w:p>
              </w:tc>
              <w:tc>
                <w:tcPr>
                  <w:tcW w:w="1294" w:type="pct"/>
                  <w:noWrap w:val="0"/>
                  <w:vAlign w:val="center"/>
                </w:tcPr>
                <w:p w14:paraId="7E14E296">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本项目情况</w:t>
                  </w:r>
                </w:p>
              </w:tc>
            </w:tr>
            <w:tr w14:paraId="52BE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26AAC780">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大气</w:t>
                  </w:r>
                </w:p>
              </w:tc>
              <w:tc>
                <w:tcPr>
                  <w:tcW w:w="2989" w:type="pct"/>
                  <w:noWrap w:val="0"/>
                  <w:vAlign w:val="center"/>
                </w:tcPr>
                <w:p w14:paraId="4493D61C">
                  <w:pPr>
                    <w:pStyle w:val="53"/>
                    <w:bidi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排放废气含有毒有害污染物①、二噁英、苯并[a]芘、氰化物、氯气且厂界外500米范围内有环境空气保护目标②的建设项目</w:t>
                  </w:r>
                </w:p>
              </w:tc>
              <w:tc>
                <w:tcPr>
                  <w:tcW w:w="1981" w:type="dxa"/>
                  <w:noWrap w:val="0"/>
                  <w:vAlign w:val="center"/>
                </w:tcPr>
                <w:p w14:paraId="1743AAE3">
                  <w:pPr>
                    <w:pStyle w:val="53"/>
                    <w:bidi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不涉及有毒有害物</w:t>
                  </w:r>
                </w:p>
              </w:tc>
            </w:tr>
            <w:tr w14:paraId="5659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737BB5FB">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地表水</w:t>
                  </w:r>
                </w:p>
              </w:tc>
              <w:tc>
                <w:tcPr>
                  <w:tcW w:w="2989" w:type="pct"/>
                  <w:noWrap w:val="0"/>
                  <w:vAlign w:val="center"/>
                </w:tcPr>
                <w:p w14:paraId="59744699">
                  <w:pPr>
                    <w:pStyle w:val="53"/>
                    <w:bidi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新增工业废水直排建设项目（槽罐车外送污水处理厂的除外）；新增废水直排的污水集中处理厂</w:t>
                  </w:r>
                </w:p>
              </w:tc>
              <w:tc>
                <w:tcPr>
                  <w:tcW w:w="1981" w:type="dxa"/>
                  <w:noWrap w:val="0"/>
                  <w:vAlign w:val="center"/>
                </w:tcPr>
                <w:p w14:paraId="68CCB111">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不涉及废水直排</w:t>
                  </w:r>
                </w:p>
              </w:tc>
            </w:tr>
            <w:tr w14:paraId="5EA6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2E252C52">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环境风险</w:t>
                  </w:r>
                </w:p>
              </w:tc>
              <w:tc>
                <w:tcPr>
                  <w:tcW w:w="2989" w:type="pct"/>
                  <w:noWrap w:val="0"/>
                  <w:vAlign w:val="center"/>
                </w:tcPr>
                <w:p w14:paraId="300CD117">
                  <w:pPr>
                    <w:pStyle w:val="53"/>
                    <w:bidi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有毒有害和易燃易爆危险物质存储量超过临界量③的建设项目</w:t>
                  </w:r>
                </w:p>
              </w:tc>
              <w:tc>
                <w:tcPr>
                  <w:tcW w:w="1981" w:type="dxa"/>
                  <w:noWrap w:val="0"/>
                  <w:vAlign w:val="center"/>
                </w:tcPr>
                <w:p w14:paraId="60411508">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不涉及危险物质超临界量存储</w:t>
                  </w:r>
                </w:p>
              </w:tc>
            </w:tr>
            <w:tr w14:paraId="6100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037F13BF">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生态</w:t>
                  </w:r>
                </w:p>
              </w:tc>
              <w:tc>
                <w:tcPr>
                  <w:tcW w:w="2989" w:type="pct"/>
                  <w:noWrap w:val="0"/>
                  <w:vAlign w:val="center"/>
                </w:tcPr>
                <w:p w14:paraId="3B063C8B">
                  <w:pPr>
                    <w:pStyle w:val="53"/>
                    <w:bidi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取水口下游500米范围内有重要水生生物的自然产卵场、索饵场、越冬场和洄游通道的新增河道取水的污染类建设项目</w:t>
                  </w:r>
                </w:p>
              </w:tc>
              <w:tc>
                <w:tcPr>
                  <w:tcW w:w="1981" w:type="dxa"/>
                  <w:noWrap w:val="0"/>
                  <w:vAlign w:val="center"/>
                </w:tcPr>
                <w:p w14:paraId="633E53E0">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w:t>
                  </w:r>
                </w:p>
              </w:tc>
            </w:tr>
            <w:tr w14:paraId="48AC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14:paraId="33DA1B18">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海洋</w:t>
                  </w:r>
                </w:p>
              </w:tc>
              <w:tc>
                <w:tcPr>
                  <w:tcW w:w="2989" w:type="pct"/>
                  <w:noWrap w:val="0"/>
                  <w:vAlign w:val="center"/>
                </w:tcPr>
                <w:p w14:paraId="155587BC">
                  <w:pPr>
                    <w:pStyle w:val="53"/>
                    <w:bidi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直接向海排放污染物的海洋工程建设项目</w:t>
                  </w:r>
                </w:p>
              </w:tc>
              <w:tc>
                <w:tcPr>
                  <w:tcW w:w="1981" w:type="dxa"/>
                  <w:noWrap w:val="0"/>
                  <w:vAlign w:val="center"/>
                </w:tcPr>
                <w:p w14:paraId="7D3B52A7">
                  <w:pPr>
                    <w:pStyle w:val="53"/>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w:t>
                  </w:r>
                </w:p>
              </w:tc>
            </w:tr>
          </w:tbl>
          <w:p w14:paraId="055922FF">
            <w:pPr>
              <w:kinsoku/>
              <w:overflowPunct w:val="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注：①废气中有毒有害污染物指纳入《有毒有害大气污染物名录》的污染物（二氯甲烷、甲醛、三氯甲烷、三氯乙烯、四氯乙烯、乙醛、镉及其化合物、铬及其化合物、汞及其化合物、铅及其化合物、砷及其化合物）（不包括无排放标准的污染物）。</w:t>
            </w:r>
          </w:p>
          <w:p w14:paraId="73786B32">
            <w:pPr>
              <w:kinsoku/>
              <w:overflowPunct w:val="0"/>
              <w:ind w:firstLine="42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②环境空气保护目标指自然保护区、风景名胜区、居住区、文化区和农村地区中人群较集中的区域。</w:t>
            </w:r>
          </w:p>
          <w:p w14:paraId="7BDB91AD">
            <w:pPr>
              <w:adjustRightInd w:val="0"/>
              <w:snapToGrid w:val="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③临界量及其计算方法可参考《建设项目环境风险评价技术导则》</w:t>
            </w:r>
          </w:p>
          <w:p w14:paraId="54A3C003">
            <w:pPr>
              <w:adjustRightInd w:val="0"/>
              <w:snapToGrid w:val="0"/>
              <w:jc w:val="both"/>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（HJ169-2018）附录B、附录C</w:t>
            </w:r>
          </w:p>
        </w:tc>
      </w:tr>
      <w:tr w14:paraId="3B5D2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7" w:type="pct"/>
            <w:gridSpan w:val="2"/>
            <w:vAlign w:val="center"/>
          </w:tcPr>
          <w:p w14:paraId="02053399">
            <w:pPr>
              <w:autoSpaceDE w:val="0"/>
              <w:autoSpaceDN w:val="0"/>
              <w:adjustRightInd w:val="0"/>
              <w:snapToGrid w:val="0"/>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规划情况</w:t>
            </w:r>
          </w:p>
        </w:tc>
        <w:tc>
          <w:tcPr>
            <w:tcW w:w="4012" w:type="pct"/>
            <w:gridSpan w:val="3"/>
            <w:vAlign w:val="center"/>
          </w:tcPr>
          <w:p w14:paraId="10AE0335">
            <w:pPr>
              <w:kinsoku/>
              <w:overflowPunct w:val="0"/>
              <w:ind w:firstLine="42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常德市“十四五”农业农村现代化规划</w:t>
            </w:r>
          </w:p>
          <w:p w14:paraId="7BFA1420">
            <w:pPr>
              <w:kinsoku/>
              <w:overflowPunct w:val="0"/>
              <w:ind w:firstLine="42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澧县“十四五”脱贫主导特色产业发展规划</w:t>
            </w:r>
          </w:p>
        </w:tc>
      </w:tr>
      <w:tr w14:paraId="6C7E1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87" w:type="pct"/>
            <w:gridSpan w:val="2"/>
            <w:vAlign w:val="center"/>
          </w:tcPr>
          <w:p w14:paraId="4FEF67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规划环境影响评价情况</w:t>
            </w:r>
          </w:p>
        </w:tc>
        <w:tc>
          <w:tcPr>
            <w:tcW w:w="4012" w:type="pct"/>
            <w:gridSpan w:val="3"/>
            <w:vAlign w:val="center"/>
          </w:tcPr>
          <w:p w14:paraId="6661E7F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无</w:t>
            </w:r>
          </w:p>
        </w:tc>
      </w:tr>
      <w:tr w14:paraId="5F021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pct"/>
            <w:gridSpan w:val="2"/>
            <w:vAlign w:val="center"/>
          </w:tcPr>
          <w:p w14:paraId="0EA641F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规划及规划环境影响评价符合性分析</w:t>
            </w:r>
          </w:p>
        </w:tc>
        <w:tc>
          <w:tcPr>
            <w:tcW w:w="4012" w:type="pct"/>
            <w:gridSpan w:val="3"/>
            <w:vAlign w:val="center"/>
          </w:tcPr>
          <w:p w14:paraId="690C9A37">
            <w:pPr>
              <w:widowControl/>
              <w:numPr>
                <w:ilvl w:val="0"/>
                <w:numId w:val="1"/>
              </w:numPr>
              <w:spacing w:line="360" w:lineRule="auto"/>
              <w:rPr>
                <w:rFonts w:hint="eastAsia"/>
                <w:b/>
                <w:bCs/>
                <w:color w:val="000000" w:themeColor="text1"/>
                <w:kern w:val="0"/>
                <w:sz w:val="21"/>
                <w:szCs w:val="21"/>
                <w:lang w:val="en-US" w:eastAsia="zh-CN" w:bidi="ar"/>
                <w14:textFill>
                  <w14:solidFill>
                    <w14:schemeClr w14:val="tx1"/>
                  </w14:solidFill>
                </w14:textFill>
              </w:rPr>
            </w:pPr>
            <w:r>
              <w:rPr>
                <w:rFonts w:hint="eastAsia"/>
                <w:b/>
                <w:bCs/>
                <w:color w:val="000000" w:themeColor="text1"/>
                <w:kern w:val="0"/>
                <w:sz w:val="21"/>
                <w:szCs w:val="21"/>
                <w:lang w:val="en-US" w:eastAsia="zh-CN" w:bidi="ar"/>
                <w14:textFill>
                  <w14:solidFill>
                    <w14:schemeClr w14:val="tx1"/>
                  </w14:solidFill>
                </w14:textFill>
              </w:rPr>
              <w:t>与《常德市“十四五”农业农村现代化规划》相符性分析</w:t>
            </w:r>
          </w:p>
          <w:p w14:paraId="350E0F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规划中规定</w:t>
            </w:r>
            <w:r>
              <w:rPr>
                <w:rFonts w:hint="eastAsia" w:ascii="宋体" w:hAnsi="宋体" w:eastAsia="宋体" w:cs="宋体"/>
                <w:b w:val="0"/>
                <w:bCs w:val="0"/>
                <w:color w:val="000000" w:themeColor="text1"/>
                <w:sz w:val="21"/>
                <w:szCs w:val="21"/>
                <w:lang w:val="en-US" w:eastAsia="zh-CN"/>
                <w14:textFill>
                  <w14:solidFill>
                    <w14:schemeClr w14:val="tx1"/>
                  </w14:solidFill>
                </w14:textFill>
              </w:rPr>
              <w:t>加强农产品产地初加工设施配套建设，做大做强做长主导产业链条，重点发展粮食、棉花、畜禽、油料、果蔬、水产品和茶叶等初加工产业，支持农产品保鲜、贮藏、烘干、分级、包装等初加工设施建设</w:t>
            </w:r>
            <w:r>
              <w:rPr>
                <w:rFonts w:hint="eastAsia" w:ascii="宋体" w:hAnsi="宋体" w:cs="宋体"/>
                <w:b w:val="0"/>
                <w:bCs w:val="0"/>
                <w:color w:val="000000" w:themeColor="text1"/>
                <w:sz w:val="21"/>
                <w:szCs w:val="21"/>
                <w:lang w:val="en-US" w:eastAsia="zh-CN"/>
                <w14:textFill>
                  <w14:solidFill>
                    <w14:schemeClr w14:val="tx1"/>
                  </w14:solidFill>
                </w14:textFill>
              </w:rPr>
              <w:t>。</w:t>
            </w:r>
          </w:p>
          <w:p w14:paraId="2C4D342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补齐水稻机插机抛和稻谷烘干、设施农业及茶叶、林果、畜禽机械化短板；推动农机合作化组织更上规模，运作程序内部管理更加规范，确保农机安全事故零增长。进一步扩大粮食全程机械化生产，加快油菜全程机械化生产，大力发展经作林果及畜牧、水产养殖等特色农业机械化。　　</w:t>
            </w:r>
          </w:p>
          <w:p w14:paraId="24873C9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本项目为稻谷烘干项目，与《常德市“十四五”农业农村现代化规划》相符。</w:t>
            </w:r>
          </w:p>
          <w:p w14:paraId="04ABC347">
            <w:pPr>
              <w:widowControl/>
              <w:numPr>
                <w:ilvl w:val="0"/>
                <w:numId w:val="1"/>
              </w:numPr>
              <w:spacing w:line="360" w:lineRule="auto"/>
              <w:ind w:left="0" w:leftChars="0" w:firstLine="0" w:firstLineChars="0"/>
              <w:rPr>
                <w:rFonts w:hint="eastAsia"/>
                <w:b/>
                <w:bCs/>
                <w:color w:val="000000" w:themeColor="text1"/>
                <w:kern w:val="0"/>
                <w:sz w:val="21"/>
                <w:szCs w:val="21"/>
                <w:lang w:val="en-US" w:eastAsia="zh-CN" w:bidi="ar"/>
                <w14:textFill>
                  <w14:solidFill>
                    <w14:schemeClr w14:val="tx1"/>
                  </w14:solidFill>
                </w14:textFill>
              </w:rPr>
            </w:pPr>
            <w:r>
              <w:rPr>
                <w:rFonts w:hint="eastAsia"/>
                <w:b/>
                <w:bCs/>
                <w:color w:val="000000" w:themeColor="text1"/>
                <w:kern w:val="0"/>
                <w:sz w:val="21"/>
                <w:szCs w:val="21"/>
                <w:lang w:val="en-US" w:eastAsia="zh-CN" w:bidi="ar"/>
                <w14:textFill>
                  <w14:solidFill>
                    <w14:schemeClr w14:val="tx1"/>
                  </w14:solidFill>
                </w14:textFill>
              </w:rPr>
              <w:t>与《澧县“十四五”脱贫主导特色产业发展规划》相符性分析</w:t>
            </w:r>
          </w:p>
          <w:p w14:paraId="327AF0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cs="宋体"/>
                <w:b w:val="0"/>
                <w:bCs w:val="0"/>
                <w:color w:val="000000" w:themeColor="text1"/>
                <w:kern w:val="2"/>
                <w:sz w:val="21"/>
                <w:szCs w:val="21"/>
                <w:lang w:val="en-US" w:eastAsia="zh-CN" w:bidi="ar-SA"/>
                <w14:textFill>
                  <w14:solidFill>
                    <w14:schemeClr w14:val="tx1"/>
                  </w14:solidFill>
                </w14:textFill>
              </w:rPr>
              <w:t>主导产业中粮食产业，培育新型经营主体。通过政策引导，扶持一批种植大户、农民专业合作社、土地股份合作社等新型经营主体，鼓励采用多种形式，实现适度规模经营。通过贴息补助、投资参股和税收优惠等政策，着力培育农业加工龙头企业，发展农产品初精深加工，扩张产业链、产品链和技术链，实现规模经营。创新农业生产经营新机制，培育农业生产经营新组织，提升农业生产规模化、组织化、集约化水平，促进农民持续稳定增收和农村经济发展。</w:t>
            </w:r>
          </w:p>
          <w:p w14:paraId="3549A1E3">
            <w:pPr>
              <w:pStyle w:val="2"/>
              <w:keepNext w:val="0"/>
              <w:keepLines w:val="0"/>
              <w:pageBreakBefore w:val="0"/>
              <w:widowControl/>
              <w:numPr>
                <w:ilvl w:val="0"/>
                <w:numId w:val="0"/>
              </w:numPr>
              <w:kinsoku/>
              <w:wordWrap/>
              <w:overflowPunct/>
              <w:topLinePunct w:val="0"/>
              <w:autoSpaceDE/>
              <w:autoSpaceDN/>
              <w:bidi w:val="0"/>
              <w:adjustRightInd/>
              <w:snapToGrid w:val="0"/>
              <w:spacing w:before="0" w:after="0" w:line="260" w:lineRule="auto"/>
              <w:ind w:right="0" w:rightChars="0" w:firstLine="420" w:firstLineChars="200"/>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本项目为稻谷烘干项目</w:t>
            </w:r>
            <w:r>
              <w:rPr>
                <w:rFonts w:hint="eastAsia" w:ascii="宋体" w:hAnsi="宋体" w:cs="宋体"/>
                <w:b w:val="0"/>
                <w:bCs w:val="0"/>
                <w:color w:val="000000" w:themeColor="text1"/>
                <w:sz w:val="21"/>
                <w:szCs w:val="21"/>
                <w:lang w:val="en-US" w:eastAsia="zh-CN"/>
                <w14:textFill>
                  <w14:solidFill>
                    <w14:schemeClr w14:val="tx1"/>
                  </w14:solidFill>
                </w14:textFill>
              </w:rPr>
              <w:t>，与发展规划相符合。</w:t>
            </w:r>
          </w:p>
        </w:tc>
      </w:tr>
      <w:tr w14:paraId="51CE7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14" w:hRule="atLeast"/>
          <w:jc w:val="center"/>
        </w:trPr>
        <w:tc>
          <w:tcPr>
            <w:tcW w:w="313" w:type="pct"/>
            <w:vAlign w:val="center"/>
          </w:tcPr>
          <w:p w14:paraId="55BCF4D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FF0000"/>
                <w:kern w:val="0"/>
                <w:sz w:val="24"/>
              </w:rPr>
            </w:pPr>
            <w:r>
              <w:rPr>
                <w:rFonts w:hint="eastAsia"/>
                <w:color w:val="000000" w:themeColor="text1"/>
                <w:kern w:val="0"/>
                <w:sz w:val="24"/>
                <w14:textFill>
                  <w14:solidFill>
                    <w14:schemeClr w14:val="tx1"/>
                  </w14:solidFill>
                </w14:textFill>
              </w:rPr>
              <w:t>其他符合性分析</w:t>
            </w:r>
          </w:p>
        </w:tc>
        <w:tc>
          <w:tcPr>
            <w:tcW w:w="4686" w:type="pct"/>
            <w:gridSpan w:val="4"/>
            <w:vAlign w:val="center"/>
          </w:tcPr>
          <w:p w14:paraId="5D3AF414">
            <w:pPr>
              <w:widowControl/>
              <w:spacing w:line="360" w:lineRule="auto"/>
              <w:ind w:firstLine="482" w:firstLineChars="200"/>
              <w:rPr>
                <w:color w:val="000000" w:themeColor="text1"/>
                <w:kern w:val="0"/>
                <w:sz w:val="24"/>
                <w:lang w:bidi="ar"/>
                <w14:textFill>
                  <w14:solidFill>
                    <w14:schemeClr w14:val="tx1"/>
                  </w14:solidFill>
                </w14:textFill>
              </w:rPr>
            </w:pPr>
            <w:r>
              <w:rPr>
                <w:rFonts w:hint="eastAsia"/>
                <w:b/>
                <w:bCs/>
                <w:color w:val="000000" w:themeColor="text1"/>
                <w:kern w:val="0"/>
                <w:sz w:val="24"/>
                <w:lang w:eastAsia="zh-CN" w:bidi="ar"/>
                <w14:textFill>
                  <w14:solidFill>
                    <w14:schemeClr w14:val="tx1"/>
                  </w14:solidFill>
                </w14:textFill>
              </w:rPr>
              <w:t>（一）</w:t>
            </w:r>
            <w:r>
              <w:rPr>
                <w:b/>
                <w:bCs/>
                <w:color w:val="000000" w:themeColor="text1"/>
                <w:kern w:val="0"/>
                <w:sz w:val="24"/>
                <w:lang w:bidi="ar"/>
                <w14:textFill>
                  <w14:solidFill>
                    <w14:schemeClr w14:val="tx1"/>
                  </w14:solidFill>
                </w14:textFill>
              </w:rPr>
              <w:t>产业政策符合性分析</w:t>
            </w:r>
          </w:p>
          <w:p w14:paraId="733C58C0">
            <w:pPr>
              <w:widowControl/>
              <w:spacing w:line="360" w:lineRule="auto"/>
              <w:ind w:firstLine="480" w:firstLineChars="200"/>
              <w:rPr>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根据《产业结构调整指导目录（</w:t>
            </w:r>
            <w:r>
              <w:rPr>
                <w:rFonts w:hint="eastAsia" w:ascii="宋体" w:hAnsi="宋体" w:eastAsia="宋体" w:cs="宋体"/>
                <w:color w:val="000000" w:themeColor="text1"/>
                <w:kern w:val="0"/>
                <w:sz w:val="24"/>
                <w:lang w:val="en-US" w:eastAsia="zh-CN" w:bidi="ar"/>
                <w14:textFill>
                  <w14:solidFill>
                    <w14:schemeClr w14:val="tx1"/>
                  </w14:solidFill>
                </w14:textFill>
              </w:rPr>
              <w:t>2024</w:t>
            </w:r>
            <w:r>
              <w:rPr>
                <w:rFonts w:hint="eastAsia" w:ascii="宋体" w:hAnsi="宋体" w:eastAsia="宋体" w:cs="宋体"/>
                <w:color w:val="000000" w:themeColor="text1"/>
                <w:kern w:val="0"/>
                <w:sz w:val="24"/>
                <w:lang w:bidi="ar"/>
                <w14:textFill>
                  <w14:solidFill>
                    <w14:schemeClr w14:val="tx1"/>
                  </w14:solidFill>
                </w14:textFill>
              </w:rPr>
              <w:t>年本）》（</w:t>
            </w:r>
            <w:r>
              <w:rPr>
                <w:rFonts w:hint="eastAsia" w:ascii="宋体" w:hAnsi="宋体" w:eastAsia="宋体" w:cs="宋体"/>
                <w:color w:val="000000" w:themeColor="text1"/>
                <w:kern w:val="0"/>
                <w:sz w:val="24"/>
                <w:lang w:val="en-US" w:eastAsia="zh-CN" w:bidi="ar"/>
                <w14:textFill>
                  <w14:solidFill>
                    <w14:schemeClr w14:val="tx1"/>
                  </w14:solidFill>
                </w14:textFill>
              </w:rPr>
              <w:t>2024</w:t>
            </w:r>
            <w:r>
              <w:rPr>
                <w:rFonts w:hint="eastAsia" w:ascii="宋体" w:hAnsi="宋体" w:eastAsia="宋体" w:cs="宋体"/>
                <w:color w:val="000000" w:themeColor="text1"/>
                <w:kern w:val="0"/>
                <w:sz w:val="24"/>
                <w:lang w:bidi="ar"/>
                <w14:textFill>
                  <w14:solidFill>
                    <w14:schemeClr w14:val="tx1"/>
                  </w14:solidFill>
                </w14:textFill>
              </w:rPr>
              <w:t>年</w:t>
            </w: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月1日实施），本项目不在淘汰类、限制类之列，属于允许类建设项目。本项目建设符合国家产业政策要求。因此，符合国家产业政策</w:t>
            </w:r>
            <w:r>
              <w:rPr>
                <w:color w:val="000000" w:themeColor="text1"/>
                <w:kern w:val="0"/>
                <w:sz w:val="24"/>
                <w:lang w:bidi="ar"/>
                <w14:textFill>
                  <w14:solidFill>
                    <w14:schemeClr w14:val="tx1"/>
                  </w14:solidFill>
                </w14:textFill>
              </w:rPr>
              <w:t>。</w:t>
            </w:r>
          </w:p>
          <w:p w14:paraId="2D7D8191">
            <w:pPr>
              <w:widowControl/>
              <w:spacing w:line="360" w:lineRule="auto"/>
              <w:ind w:firstLine="482" w:firstLineChars="200"/>
              <w:rPr>
                <w:rFonts w:hint="eastAsia" w:ascii="Times New Roman" w:hAnsi="Times New Roman" w:eastAsia="宋体" w:cs="Times New Roman"/>
                <w:b/>
                <w:bCs/>
                <w:color w:val="000000" w:themeColor="text1"/>
                <w:kern w:val="0"/>
                <w:sz w:val="24"/>
                <w:u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u w:val="none"/>
                <w:lang w:val="en-US" w:eastAsia="zh-CN" w:bidi="ar"/>
                <w14:textFill>
                  <w14:solidFill>
                    <w14:schemeClr w14:val="tx1"/>
                  </w14:solidFill>
                </w14:textFill>
              </w:rPr>
              <w:t>（二）选址合理性</w:t>
            </w:r>
          </w:p>
          <w:p w14:paraId="3D16E51C">
            <w:pPr>
              <w:widowControl/>
              <w:spacing w:line="360" w:lineRule="auto"/>
              <w:ind w:firstLine="480" w:firstLineChars="200"/>
              <w:rPr>
                <w:rFonts w:hint="default"/>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kern w:val="0"/>
                <w:sz w:val="24"/>
                <w:u w:val="single"/>
                <w:lang w:val="en-US" w:eastAsia="zh-CN" w:bidi="ar"/>
                <w14:textFill>
                  <w14:solidFill>
                    <w14:schemeClr w14:val="tx1"/>
                  </w14:solidFill>
                </w14:textFill>
              </w:rPr>
              <w:t>项目地址位于</w:t>
            </w:r>
            <w:r>
              <w:rPr>
                <w:rFonts w:hint="eastAsia" w:ascii="宋体" w:hAnsi="宋体" w:cs="宋体"/>
                <w:color w:val="000000" w:themeColor="text1"/>
                <w:kern w:val="0"/>
                <w:sz w:val="24"/>
                <w:u w:val="single"/>
                <w:lang w:val="en-US" w:eastAsia="zh-CN" w:bidi="ar"/>
                <w14:textFill>
                  <w14:solidFill>
                    <w14:schemeClr w14:val="tx1"/>
                  </w14:solidFill>
                </w14:textFill>
              </w:rPr>
              <w:t>澧县城头山镇南岳村二组</w:t>
            </w:r>
            <w:r>
              <w:rPr>
                <w:rFonts w:hint="eastAsia" w:ascii="宋体" w:hAnsi="宋体" w:eastAsia="宋体" w:cs="宋体"/>
                <w:color w:val="000000" w:themeColor="text1"/>
                <w:kern w:val="0"/>
                <w:sz w:val="24"/>
                <w:u w:val="single"/>
                <w:lang w:val="en-US" w:eastAsia="zh-CN" w:bidi="ar"/>
                <w14:textFill>
                  <w14:solidFill>
                    <w14:schemeClr w14:val="tx1"/>
                  </w14:solidFill>
                </w14:textFill>
              </w:rPr>
              <w:t>，用</w:t>
            </w:r>
            <w:r>
              <w:rPr>
                <w:rFonts w:hint="eastAsia" w:ascii="宋体" w:hAnsi="宋体" w:eastAsia="宋体" w:cs="宋体"/>
                <w:color w:val="auto"/>
                <w:kern w:val="0"/>
                <w:sz w:val="24"/>
                <w:u w:val="single"/>
                <w:lang w:val="en-US" w:eastAsia="zh-CN" w:bidi="ar"/>
              </w:rPr>
              <w:t>地性质为</w:t>
            </w:r>
            <w:r>
              <w:rPr>
                <w:rFonts w:hint="eastAsia" w:ascii="宋体" w:hAnsi="宋体" w:cs="宋体"/>
                <w:color w:val="auto"/>
                <w:kern w:val="0"/>
                <w:sz w:val="24"/>
                <w:u w:val="single"/>
                <w:lang w:val="en-US" w:eastAsia="zh-CN" w:bidi="ar"/>
              </w:rPr>
              <w:t>建设用地</w:t>
            </w:r>
            <w:r>
              <w:rPr>
                <w:rFonts w:hint="eastAsia" w:ascii="宋体" w:hAnsi="宋体" w:eastAsia="宋体" w:cs="宋体"/>
                <w:color w:val="auto"/>
                <w:kern w:val="0"/>
                <w:sz w:val="24"/>
                <w:u w:val="single"/>
                <w:lang w:val="en-US" w:eastAsia="zh-CN" w:bidi="ar"/>
              </w:rPr>
              <w:t>。</w:t>
            </w:r>
            <w:r>
              <w:rPr>
                <w:rFonts w:hint="eastAsia"/>
                <w:color w:val="auto"/>
                <w:kern w:val="0"/>
                <w:sz w:val="24"/>
                <w:u w:val="single"/>
                <w:lang w:val="en-US" w:eastAsia="zh-CN" w:bidi="ar"/>
              </w:rPr>
              <w:t>建设区域环境空气功能为二类区，项目所在区域地表水澧水为Ⅲ类功能区，不属于敏感水域；项目选址不属于生活饮用水源地、风景名胜区、</w:t>
            </w:r>
            <w:r>
              <w:rPr>
                <w:rFonts w:hint="eastAsia"/>
                <w:color w:val="000000" w:themeColor="text1"/>
                <w:kern w:val="0"/>
                <w:sz w:val="24"/>
                <w:u w:val="single"/>
                <w:lang w:val="en-US" w:eastAsia="zh-CN" w:bidi="ar"/>
                <w14:textFill>
                  <w14:solidFill>
                    <w14:schemeClr w14:val="tx1"/>
                  </w14:solidFill>
                </w14:textFill>
              </w:rPr>
              <w:t>温泉疗养区、水产养殖区、基本农田保护区、自然保护区区域，不在生态红线管控范围内。</w:t>
            </w:r>
            <w:r>
              <w:rPr>
                <w:rFonts w:ascii="宋体" w:hAnsi="宋体" w:eastAsia="宋体" w:cs="宋体"/>
                <w:color w:val="000000" w:themeColor="text1"/>
                <w:sz w:val="24"/>
                <w:szCs w:val="24"/>
                <w:u w:val="single"/>
                <w14:textFill>
                  <w14:solidFill>
                    <w14:schemeClr w14:val="tx1"/>
                  </w14:solidFill>
                </w14:textFill>
              </w:rPr>
              <w:t>故</w:t>
            </w:r>
            <w:r>
              <w:rPr>
                <w:rFonts w:hint="eastAsia" w:ascii="宋体" w:hAnsi="宋体" w:eastAsia="宋体" w:cs="宋体"/>
                <w:color w:val="000000" w:themeColor="text1"/>
                <w:sz w:val="24"/>
                <w:szCs w:val="24"/>
                <w:u w:val="single"/>
                <w:lang w:val="en-US" w:eastAsia="zh-CN"/>
                <w14:textFill>
                  <w14:solidFill>
                    <w14:schemeClr w14:val="tx1"/>
                  </w14:solidFill>
                </w14:textFill>
              </w:rPr>
              <w:t>本</w:t>
            </w:r>
            <w:r>
              <w:rPr>
                <w:rFonts w:ascii="宋体" w:hAnsi="宋体" w:eastAsia="宋体" w:cs="宋体"/>
                <w:color w:val="000000" w:themeColor="text1"/>
                <w:sz w:val="24"/>
                <w:szCs w:val="24"/>
                <w:u w:val="single"/>
                <w14:textFill>
                  <w14:solidFill>
                    <w14:schemeClr w14:val="tx1"/>
                  </w14:solidFill>
                </w14:textFill>
              </w:rPr>
              <w:t>项目选址合理可行</w:t>
            </w:r>
            <w:r>
              <w:rPr>
                <w:rFonts w:hint="eastAsia" w:ascii="宋体" w:hAnsi="宋体" w:cs="宋体"/>
                <w:color w:val="000000" w:themeColor="text1"/>
                <w:sz w:val="24"/>
                <w:szCs w:val="24"/>
                <w:u w:val="single"/>
                <w:lang w:eastAsia="zh-CN"/>
                <w14:textFill>
                  <w14:solidFill>
                    <w14:schemeClr w14:val="tx1"/>
                  </w14:solidFill>
                </w14:textFill>
              </w:rPr>
              <w:t>。</w:t>
            </w:r>
          </w:p>
          <w:p w14:paraId="27C550C9">
            <w:pPr>
              <w:widowControl/>
              <w:numPr>
                <w:ilvl w:val="0"/>
                <w:numId w:val="0"/>
              </w:numPr>
              <w:spacing w:line="360" w:lineRule="auto"/>
              <w:ind w:firstLine="482" w:firstLineChars="200"/>
              <w:rPr>
                <w:rFonts w:hint="eastAsia"/>
                <w:b/>
                <w:bCs/>
                <w:color w:val="000000" w:themeColor="text1"/>
                <w:kern w:val="0"/>
                <w:sz w:val="24"/>
                <w:lang w:val="en-US" w:eastAsia="zh-CN" w:bidi="ar"/>
                <w14:textFill>
                  <w14:solidFill>
                    <w14:schemeClr w14:val="tx1"/>
                  </w14:solidFill>
                </w14:textFill>
              </w:rPr>
            </w:pPr>
            <w:r>
              <w:rPr>
                <w:rFonts w:hint="eastAsia"/>
                <w:b/>
                <w:bCs/>
                <w:color w:val="000000" w:themeColor="text1"/>
                <w:kern w:val="0"/>
                <w:sz w:val="24"/>
                <w:lang w:val="en-US" w:eastAsia="zh-CN" w:bidi="ar"/>
                <w14:textFill>
                  <w14:solidFill>
                    <w14:schemeClr w14:val="tx1"/>
                  </w14:solidFill>
                </w14:textFill>
              </w:rPr>
              <w:t>（三）与《澧县</w:t>
            </w:r>
            <w:r>
              <w:rPr>
                <w:rFonts w:hint="eastAsia"/>
                <w:b/>
                <w:bCs/>
                <w:color w:val="000000" w:themeColor="text1"/>
                <w:kern w:val="0"/>
                <w:sz w:val="24"/>
                <w:lang w:eastAsia="zh-CN" w:bidi="ar"/>
                <w14:textFill>
                  <w14:solidFill>
                    <w14:schemeClr w14:val="tx1"/>
                  </w14:solidFill>
                </w14:textFill>
              </w:rPr>
              <w:t>人民政府关于</w:t>
            </w:r>
            <w:r>
              <w:rPr>
                <w:rFonts w:hint="eastAsia"/>
                <w:b/>
                <w:bCs/>
                <w:color w:val="000000" w:themeColor="text1"/>
                <w:kern w:val="0"/>
                <w:sz w:val="24"/>
                <w:lang w:val="en-US" w:eastAsia="zh-CN" w:bidi="ar"/>
                <w14:textFill>
                  <w14:solidFill>
                    <w14:schemeClr w14:val="tx1"/>
                  </w14:solidFill>
                </w14:textFill>
              </w:rPr>
              <w:t>重新</w:t>
            </w:r>
            <w:r>
              <w:rPr>
                <w:rFonts w:hint="eastAsia"/>
                <w:b/>
                <w:bCs/>
                <w:color w:val="000000" w:themeColor="text1"/>
                <w:kern w:val="0"/>
                <w:sz w:val="24"/>
                <w:lang w:eastAsia="zh-CN" w:bidi="ar"/>
                <w14:textFill>
                  <w14:solidFill>
                    <w14:schemeClr w14:val="tx1"/>
                  </w14:solidFill>
                </w14:textFill>
              </w:rPr>
              <w:t>划定高污染燃料禁燃区的通告》</w:t>
            </w:r>
            <w:r>
              <w:rPr>
                <w:rFonts w:hint="eastAsia"/>
                <w:b/>
                <w:bCs/>
                <w:color w:val="000000" w:themeColor="text1"/>
                <w:kern w:val="0"/>
                <w:sz w:val="24"/>
                <w:lang w:val="en-US" w:eastAsia="zh-CN" w:bidi="ar"/>
                <w14:textFill>
                  <w14:solidFill>
                    <w14:schemeClr w14:val="tx1"/>
                  </w14:solidFill>
                </w14:textFill>
              </w:rPr>
              <w:t>符合性分析</w:t>
            </w:r>
          </w:p>
          <w:p w14:paraId="544FD536">
            <w:pPr>
              <w:bidi w:val="0"/>
              <w:spacing w:line="360" w:lineRule="auto"/>
              <w:ind w:firstLine="2319" w:firstLineChars="110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 xml:space="preserve">表1-2 </w:t>
            </w:r>
            <w:r>
              <w:rPr>
                <w:rFonts w:hint="eastAsia" w:ascii="宋体" w:hAnsi="宋体" w:eastAsia="宋体" w:cs="宋体"/>
                <w:b/>
                <w:bCs/>
                <w:color w:val="000000" w:themeColor="text1"/>
                <w:lang w:eastAsia="zh-CN"/>
                <w14:textFill>
                  <w14:solidFill>
                    <w14:schemeClr w14:val="tx1"/>
                  </w14:solidFill>
                </w14:textFill>
              </w:rPr>
              <w:t>高污染燃料</w:t>
            </w:r>
            <w:r>
              <w:rPr>
                <w:rFonts w:hint="eastAsia" w:ascii="宋体" w:hAnsi="宋体" w:eastAsia="宋体" w:cs="宋体"/>
                <w:b/>
                <w:bCs/>
                <w:color w:val="000000" w:themeColor="text1"/>
                <w:lang w:val="en-US" w:eastAsia="zh-CN"/>
                <w14:textFill>
                  <w14:solidFill>
                    <w14:schemeClr w14:val="tx1"/>
                  </w14:solidFill>
                </w14:textFill>
              </w:rPr>
              <w:t>及禁燃区表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3737"/>
              <w:gridCol w:w="1978"/>
              <w:gridCol w:w="1068"/>
            </w:tblGrid>
            <w:tr w14:paraId="6D63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4" w:type="pct"/>
                  <w:vAlign w:val="center"/>
                </w:tcPr>
                <w:p w14:paraId="51FD7BDE">
                  <w:pPr>
                    <w:pStyle w:val="53"/>
                    <w:bidi w:val="0"/>
                    <w:rPr>
                      <w:rFonts w:hint="default"/>
                      <w:b/>
                      <w:bCs/>
                      <w:color w:val="auto"/>
                      <w:lang w:val="en-US" w:eastAsia="zh-CN"/>
                    </w:rPr>
                  </w:pPr>
                  <w:r>
                    <w:rPr>
                      <w:rFonts w:hint="eastAsia"/>
                      <w:b/>
                      <w:bCs/>
                      <w:color w:val="auto"/>
                      <w:lang w:val="en-US" w:eastAsia="zh-CN"/>
                    </w:rPr>
                    <w:t>分类</w:t>
                  </w:r>
                </w:p>
              </w:tc>
              <w:tc>
                <w:tcPr>
                  <w:tcW w:w="2399" w:type="pct"/>
                  <w:vAlign w:val="center"/>
                </w:tcPr>
                <w:p w14:paraId="48A09383">
                  <w:pPr>
                    <w:pStyle w:val="53"/>
                    <w:bidi w:val="0"/>
                    <w:rPr>
                      <w:rFonts w:hint="default"/>
                      <w:b/>
                      <w:bCs/>
                      <w:color w:val="auto"/>
                      <w:lang w:val="en-US" w:eastAsia="zh-CN"/>
                    </w:rPr>
                  </w:pPr>
                  <w:r>
                    <w:rPr>
                      <w:rFonts w:hint="eastAsia"/>
                      <w:b/>
                      <w:bCs/>
                      <w:color w:val="auto"/>
                      <w:lang w:val="en-US" w:eastAsia="zh-CN"/>
                    </w:rPr>
                    <w:t>管控要求</w:t>
                  </w:r>
                </w:p>
              </w:tc>
              <w:tc>
                <w:tcPr>
                  <w:tcW w:w="1270" w:type="pct"/>
                  <w:vAlign w:val="center"/>
                </w:tcPr>
                <w:p w14:paraId="0F040AAE">
                  <w:pPr>
                    <w:pStyle w:val="53"/>
                    <w:bidi w:val="0"/>
                    <w:rPr>
                      <w:rFonts w:hint="default"/>
                      <w:b/>
                      <w:bCs/>
                      <w:color w:val="auto"/>
                      <w:lang w:val="en-US" w:eastAsia="zh-CN"/>
                    </w:rPr>
                  </w:pPr>
                  <w:r>
                    <w:rPr>
                      <w:rFonts w:hint="default"/>
                      <w:b/>
                      <w:bCs/>
                      <w:color w:val="auto"/>
                      <w:lang w:val="en-US" w:eastAsia="zh-CN"/>
                    </w:rPr>
                    <w:t>本项目情况</w:t>
                  </w:r>
                </w:p>
              </w:tc>
              <w:tc>
                <w:tcPr>
                  <w:tcW w:w="685" w:type="pct"/>
                  <w:vAlign w:val="center"/>
                </w:tcPr>
                <w:p w14:paraId="47D1701A">
                  <w:pPr>
                    <w:pStyle w:val="53"/>
                    <w:bidi w:val="0"/>
                    <w:rPr>
                      <w:rFonts w:hint="default"/>
                      <w:b/>
                      <w:bCs/>
                      <w:color w:val="auto"/>
                      <w:lang w:val="en-US" w:eastAsia="zh-CN"/>
                    </w:rPr>
                  </w:pPr>
                  <w:r>
                    <w:rPr>
                      <w:rFonts w:hint="eastAsia"/>
                      <w:b/>
                      <w:bCs/>
                      <w:color w:val="auto"/>
                      <w:lang w:val="en-US" w:eastAsia="zh-CN"/>
                    </w:rPr>
                    <w:t>符合性</w:t>
                  </w:r>
                </w:p>
              </w:tc>
            </w:tr>
            <w:tr w14:paraId="44B6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4" w:type="pct"/>
                  <w:vAlign w:val="center"/>
                </w:tcPr>
                <w:p w14:paraId="60E0340A">
                  <w:pPr>
                    <w:pStyle w:val="53"/>
                    <w:bidi w:val="0"/>
                    <w:rPr>
                      <w:rFonts w:hint="eastAsia"/>
                      <w:b/>
                      <w:bCs/>
                      <w:color w:val="auto"/>
                      <w:lang w:val="en-US" w:eastAsia="zh-CN"/>
                    </w:rPr>
                  </w:pPr>
                  <w:r>
                    <w:rPr>
                      <w:rFonts w:hint="eastAsia"/>
                      <w:color w:val="auto"/>
                      <w:lang w:val="en-US" w:eastAsia="zh-CN"/>
                    </w:rPr>
                    <w:t>禁燃区范围</w:t>
                  </w:r>
                </w:p>
              </w:tc>
              <w:tc>
                <w:tcPr>
                  <w:tcW w:w="2399" w:type="pct"/>
                  <w:vAlign w:val="center"/>
                </w:tcPr>
                <w:p w14:paraId="603F3079">
                  <w:pPr>
                    <w:pStyle w:val="53"/>
                    <w:keepNext w:val="0"/>
                    <w:keepLines w:val="0"/>
                    <w:pageBreakBefore w:val="0"/>
                    <w:kinsoku/>
                    <w:wordWrap/>
                    <w:overflowPunct/>
                    <w:topLinePunct w:val="0"/>
                    <w:autoSpaceDE/>
                    <w:autoSpaceDN/>
                    <w:bidi w:val="0"/>
                    <w:spacing w:beforeLines="0" w:afterLines="0" w:line="240" w:lineRule="auto"/>
                    <w:textAlignment w:val="auto"/>
                    <w:rPr>
                      <w:rFonts w:hint="eastAsia"/>
                      <w:b/>
                      <w:bCs/>
                      <w:color w:val="auto"/>
                      <w:lang w:val="en-US" w:eastAsia="zh-CN"/>
                    </w:rPr>
                  </w:pPr>
                  <w:r>
                    <w:rPr>
                      <w:rFonts w:hint="eastAsia"/>
                      <w:color w:val="auto"/>
                      <w:lang w:val="en-US" w:eastAsia="zh-CN"/>
                    </w:rPr>
                    <w:t>县城区东至二广高速、西至洄水渠、南至澧水大堤、北至大坪干渠及澹水河之间的区域，总面积约41.5平方千米</w:t>
                  </w:r>
                </w:p>
              </w:tc>
              <w:tc>
                <w:tcPr>
                  <w:tcW w:w="1270" w:type="pct"/>
                  <w:vAlign w:val="center"/>
                </w:tcPr>
                <w:p w14:paraId="0E8E4B6B">
                  <w:pPr>
                    <w:pStyle w:val="53"/>
                    <w:bidi w:val="0"/>
                    <w:rPr>
                      <w:rFonts w:hint="default"/>
                      <w:b/>
                      <w:bCs/>
                      <w:color w:val="auto"/>
                      <w:lang w:val="en-US" w:eastAsia="zh-CN"/>
                    </w:rPr>
                  </w:pPr>
                  <w:r>
                    <w:rPr>
                      <w:rFonts w:hint="eastAsia"/>
                      <w:color w:val="auto"/>
                      <w:lang w:val="en-US" w:eastAsia="zh-CN"/>
                    </w:rPr>
                    <w:t>项目位于澧县城头山镇南岳村二组，不涉及禁燃区</w:t>
                  </w:r>
                </w:p>
              </w:tc>
              <w:tc>
                <w:tcPr>
                  <w:tcW w:w="685" w:type="pct"/>
                  <w:vAlign w:val="center"/>
                </w:tcPr>
                <w:p w14:paraId="6EC0B08E">
                  <w:pPr>
                    <w:pStyle w:val="53"/>
                    <w:bidi w:val="0"/>
                    <w:rPr>
                      <w:rFonts w:hint="eastAsia"/>
                      <w:b/>
                      <w:bCs/>
                      <w:color w:val="auto"/>
                      <w:lang w:val="en-US" w:eastAsia="zh-CN"/>
                    </w:rPr>
                  </w:pPr>
                  <w:r>
                    <w:rPr>
                      <w:rFonts w:hint="eastAsia"/>
                      <w:color w:val="auto"/>
                      <w:lang w:val="en-US" w:eastAsia="zh-CN"/>
                    </w:rPr>
                    <w:t>符合</w:t>
                  </w:r>
                </w:p>
              </w:tc>
            </w:tr>
          </w:tbl>
          <w:p w14:paraId="0685AFE5">
            <w:pPr>
              <w:widowControl/>
              <w:spacing w:line="360" w:lineRule="auto"/>
              <w:ind w:firstLine="480" w:firstLineChars="200"/>
              <w:rPr>
                <w:rFonts w:hint="default"/>
                <w:color w:val="auto"/>
                <w:kern w:val="0"/>
                <w:sz w:val="24"/>
                <w:u w:val="none"/>
                <w:lang w:val="en-US" w:eastAsia="zh-CN" w:bidi="ar"/>
              </w:rPr>
            </w:pPr>
            <w:r>
              <w:rPr>
                <w:rFonts w:hint="eastAsia"/>
                <w:color w:val="auto"/>
                <w:kern w:val="0"/>
                <w:sz w:val="24"/>
                <w:u w:val="none"/>
                <w:lang w:val="en-US" w:eastAsia="zh-CN" w:bidi="ar"/>
              </w:rPr>
              <w:t>本项目不涉及禁燃区，与《澧县人民政府关于重新划定高污染燃料禁燃区的通告》符合。</w:t>
            </w:r>
          </w:p>
          <w:p w14:paraId="64808FF1">
            <w:pPr>
              <w:widowControl/>
              <w:spacing w:line="360" w:lineRule="auto"/>
              <w:ind w:firstLine="482" w:firstLineChars="200"/>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w:t>
            </w:r>
            <w:r>
              <w:rPr>
                <w:rFonts w:hint="eastAsia" w:ascii="宋体" w:hAnsi="宋体" w:cs="宋体"/>
                <w:b/>
                <w:bCs/>
                <w:color w:val="auto"/>
                <w:kern w:val="0"/>
                <w:sz w:val="24"/>
                <w:lang w:val="en-US" w:eastAsia="zh-CN" w:bidi="ar"/>
              </w:rPr>
              <w:t>四</w:t>
            </w:r>
            <w:r>
              <w:rPr>
                <w:rFonts w:hint="eastAsia" w:ascii="宋体" w:hAnsi="宋体" w:eastAsia="宋体" w:cs="宋体"/>
                <w:b/>
                <w:bCs/>
                <w:color w:val="auto"/>
                <w:kern w:val="0"/>
                <w:sz w:val="24"/>
                <w:lang w:bidi="ar"/>
              </w:rPr>
              <w:t>）项目“三线一单”符合性分析</w:t>
            </w:r>
          </w:p>
          <w:p w14:paraId="1F97E208">
            <w:pPr>
              <w:tabs>
                <w:tab w:val="left" w:pos="360"/>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color w:val="auto"/>
                <w:kern w:val="0"/>
                <w:sz w:val="24"/>
                <w:u w:val="none"/>
                <w:lang w:eastAsia="zh-CN" w:bidi="ar"/>
              </w:rPr>
              <w:t>根据《常德市“三线一单”生态环境管控基本要求暨环境管控单元生态环境准入清单》（2020年1</w:t>
            </w:r>
            <w:r>
              <w:rPr>
                <w:rFonts w:hint="eastAsia" w:ascii="宋体" w:hAnsi="宋体" w:eastAsia="宋体" w:cs="宋体"/>
                <w:color w:val="auto"/>
                <w:kern w:val="0"/>
                <w:sz w:val="24"/>
                <w:u w:val="none"/>
                <w:lang w:val="en-US" w:eastAsia="zh-CN" w:bidi="ar"/>
              </w:rPr>
              <w:t>2</w:t>
            </w:r>
            <w:r>
              <w:rPr>
                <w:rFonts w:hint="eastAsia" w:ascii="宋体" w:hAnsi="宋体" w:eastAsia="宋体" w:cs="宋体"/>
                <w:color w:val="auto"/>
                <w:kern w:val="0"/>
                <w:sz w:val="24"/>
                <w:u w:val="none"/>
                <w:lang w:eastAsia="zh-CN" w:bidi="ar"/>
              </w:rPr>
              <w:t>月发布），</w:t>
            </w:r>
            <w:r>
              <w:rPr>
                <w:rFonts w:hint="eastAsia" w:ascii="宋体" w:hAnsi="宋体" w:eastAsia="宋体" w:cs="宋体"/>
                <w:b w:val="0"/>
                <w:bCs/>
                <w:color w:val="auto"/>
                <w:sz w:val="24"/>
                <w:szCs w:val="24"/>
                <w:lang w:val="en-US" w:eastAsia="zh-CN"/>
              </w:rPr>
              <w:t>本项目环境管控单元编码</w:t>
            </w:r>
            <w:r>
              <w:rPr>
                <w:rFonts w:hint="eastAsia" w:ascii="宋体" w:hAnsi="宋体" w:cs="宋体"/>
                <w:b w:val="0"/>
                <w:bCs/>
                <w:color w:val="auto"/>
                <w:sz w:val="24"/>
                <w:szCs w:val="24"/>
                <w:lang w:val="en-US" w:eastAsia="zh-CN"/>
              </w:rPr>
              <w:t>H43072330004</w:t>
            </w:r>
            <w:r>
              <w:rPr>
                <w:rFonts w:hint="eastAsia" w:ascii="宋体" w:hAnsi="宋体" w:eastAsia="宋体" w:cs="宋体"/>
                <w:b w:val="0"/>
                <w:bCs/>
                <w:color w:val="auto"/>
                <w:sz w:val="24"/>
                <w:szCs w:val="24"/>
                <w:lang w:val="en-US" w:eastAsia="zh-CN"/>
              </w:rPr>
              <w:t>；单元名称：</w:t>
            </w:r>
            <w:r>
              <w:rPr>
                <w:rFonts w:hint="eastAsia" w:ascii="宋体" w:hAnsi="宋体" w:cs="宋体"/>
                <w:b w:val="0"/>
                <w:bCs/>
                <w:color w:val="auto"/>
                <w:sz w:val="24"/>
                <w:szCs w:val="24"/>
                <w:lang w:val="en-US" w:eastAsia="zh-CN"/>
              </w:rPr>
              <w:t>城头山镇</w:t>
            </w:r>
            <w:r>
              <w:rPr>
                <w:rFonts w:hint="eastAsia" w:ascii="宋体" w:hAnsi="宋体" w:eastAsia="宋体" w:cs="宋体"/>
                <w:b w:val="0"/>
                <w:bCs/>
                <w:color w:val="auto"/>
                <w:sz w:val="24"/>
                <w:szCs w:val="24"/>
                <w:lang w:val="en-US" w:eastAsia="zh-CN"/>
              </w:rPr>
              <w:t>。</w:t>
            </w:r>
          </w:p>
          <w:p w14:paraId="711A5E41">
            <w:pPr>
              <w:widowControl/>
              <w:spacing w:line="360" w:lineRule="auto"/>
              <w:ind w:firstLine="480" w:firstLineChars="200"/>
              <w:rPr>
                <w:rFonts w:hint="eastAsia" w:ascii="宋体" w:hAnsi="宋体" w:eastAsia="宋体" w:cs="宋体"/>
                <w:color w:val="auto"/>
                <w:kern w:val="0"/>
                <w:sz w:val="24"/>
                <w:u w:val="none"/>
                <w:lang w:val="en-US" w:eastAsia="zh-CN" w:bidi="ar"/>
              </w:rPr>
            </w:pPr>
            <w:r>
              <w:rPr>
                <w:rFonts w:hint="eastAsia" w:ascii="宋体" w:hAnsi="宋体" w:eastAsia="宋体" w:cs="宋体"/>
                <w:color w:val="auto"/>
                <w:kern w:val="0"/>
                <w:sz w:val="24"/>
                <w:u w:val="none"/>
                <w:lang w:eastAsia="zh-CN" w:bidi="ar"/>
              </w:rPr>
              <w:t>具体见表</w:t>
            </w:r>
            <w:r>
              <w:rPr>
                <w:rFonts w:hint="eastAsia" w:ascii="宋体" w:hAnsi="宋体" w:eastAsia="宋体" w:cs="宋体"/>
                <w:color w:val="auto"/>
                <w:kern w:val="0"/>
                <w:sz w:val="24"/>
                <w:u w:val="none"/>
                <w:lang w:val="en-US" w:eastAsia="zh-CN" w:bidi="ar"/>
              </w:rPr>
              <w:t>1-3。</w:t>
            </w:r>
            <w:r>
              <w:rPr>
                <w:rFonts w:hint="eastAsia" w:ascii="宋体" w:hAnsi="宋体" w:eastAsia="宋体" w:cs="宋体"/>
                <w:color w:val="auto"/>
                <w:kern w:val="0"/>
                <w:sz w:val="24"/>
                <w:u w:val="none"/>
                <w:lang w:bidi="ar"/>
              </w:rPr>
              <w:t>本项目的建设符合“三线一单”的相关要求</w:t>
            </w:r>
            <w:r>
              <w:rPr>
                <w:rFonts w:hint="eastAsia" w:ascii="宋体" w:hAnsi="宋体" w:eastAsia="宋体" w:cs="宋体"/>
                <w:color w:val="auto"/>
                <w:kern w:val="0"/>
                <w:sz w:val="24"/>
                <w:u w:val="none"/>
                <w:lang w:eastAsia="zh-CN" w:bidi="ar"/>
              </w:rPr>
              <w:t>。</w:t>
            </w:r>
          </w:p>
          <w:p w14:paraId="385A4CDF">
            <w:pPr>
              <w:bidi w:val="0"/>
              <w:jc w:val="center"/>
              <w:rPr>
                <w:rFonts w:hint="eastAsia" w:ascii="宋体" w:hAnsi="宋体" w:eastAsia="宋体" w:cs="宋体"/>
                <w:b/>
                <w:bCs/>
                <w:color w:val="auto"/>
              </w:rPr>
            </w:pPr>
            <w:r>
              <w:rPr>
                <w:rFonts w:hint="eastAsia" w:ascii="宋体" w:hAnsi="宋体" w:eastAsia="宋体" w:cs="宋体"/>
                <w:b/>
                <w:bCs/>
                <w:color w:val="auto"/>
              </w:rPr>
              <w:t>表1-</w:t>
            </w:r>
            <w:r>
              <w:rPr>
                <w:rFonts w:hint="eastAsia" w:ascii="宋体" w:hAnsi="宋体" w:eastAsia="宋体" w:cs="宋体"/>
                <w:b/>
                <w:bCs/>
                <w:color w:val="auto"/>
                <w:lang w:val="en-US" w:eastAsia="zh-CN"/>
              </w:rPr>
              <w:t>3 生态环境总体管控要求</w:t>
            </w:r>
          </w:p>
          <w:tbl>
            <w:tblPr>
              <w:tblStyle w:val="30"/>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531"/>
              <w:gridCol w:w="1892"/>
              <w:gridCol w:w="674"/>
            </w:tblGrid>
            <w:tr w14:paraId="2CDD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7" w:type="pct"/>
                  <w:tcBorders>
                    <w:tl2br w:val="nil"/>
                    <w:tr2bl w:val="nil"/>
                  </w:tcBorders>
                  <w:noWrap w:val="0"/>
                  <w:vAlign w:val="center"/>
                </w:tcPr>
                <w:p w14:paraId="4CD62706">
                  <w:pPr>
                    <w:bidi w:val="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管控对象</w:t>
                  </w:r>
                </w:p>
              </w:tc>
              <w:tc>
                <w:tcPr>
                  <w:tcW w:w="2912" w:type="pct"/>
                  <w:tcBorders>
                    <w:tl2br w:val="nil"/>
                    <w:tr2bl w:val="nil"/>
                  </w:tcBorders>
                  <w:noWrap w:val="0"/>
                  <w:vAlign w:val="center"/>
                </w:tcPr>
                <w:p w14:paraId="480FB903">
                  <w:pPr>
                    <w:bidi w:val="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管控要求</w:t>
                  </w:r>
                </w:p>
              </w:tc>
              <w:tc>
                <w:tcPr>
                  <w:tcW w:w="1216" w:type="pct"/>
                  <w:tcBorders>
                    <w:tl2br w:val="nil"/>
                    <w:tr2bl w:val="nil"/>
                  </w:tcBorders>
                  <w:noWrap w:val="0"/>
                  <w:vAlign w:val="center"/>
                </w:tcPr>
                <w:p w14:paraId="1D0092B5">
                  <w:pPr>
                    <w:bidi w:val="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本项目情况</w:t>
                  </w:r>
                </w:p>
              </w:tc>
              <w:tc>
                <w:tcPr>
                  <w:tcW w:w="433" w:type="pct"/>
                  <w:tcBorders>
                    <w:tl2br w:val="nil"/>
                    <w:tr2bl w:val="nil"/>
                  </w:tcBorders>
                  <w:noWrap w:val="0"/>
                  <w:vAlign w:val="center"/>
                </w:tcPr>
                <w:p w14:paraId="25D39281">
                  <w:pPr>
                    <w:bidi w:val="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符合性</w:t>
                  </w:r>
                </w:p>
              </w:tc>
            </w:tr>
            <w:tr w14:paraId="5E21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7" w:type="pct"/>
                  <w:tcBorders>
                    <w:tl2br w:val="nil"/>
                    <w:tr2bl w:val="nil"/>
                  </w:tcBorders>
                  <w:noWrap w:val="0"/>
                  <w:vAlign w:val="center"/>
                </w:tcPr>
                <w:p w14:paraId="5184691F">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空间布局约束</w:t>
                  </w:r>
                </w:p>
              </w:tc>
              <w:tc>
                <w:tcPr>
                  <w:tcW w:w="2912" w:type="pct"/>
                  <w:tcBorders>
                    <w:tl2br w:val="nil"/>
                    <w:tr2bl w:val="nil"/>
                  </w:tcBorders>
                  <w:noWrap w:val="0"/>
                  <w:vAlign w:val="center"/>
                </w:tcPr>
                <w:p w14:paraId="7A723374">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（1.1）城头山省级地质公园依法加强地质公园管理。</w:t>
                  </w:r>
                </w:p>
                <w:p w14:paraId="5167B831">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（1.2）严格执行相关行业企业布局选址要求，禁止在居住、商业、学校、医疗、养老机构、人口密集区和公共服务设施等周边新建有色金属冶炼、化工等行业企业。</w:t>
                  </w:r>
                </w:p>
                <w:p w14:paraId="3CC1CE8A">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（1.3）加快清洁能源替代利用。推进热电联产、集中供热和工业余热利用。</w:t>
                  </w:r>
                </w:p>
                <w:p w14:paraId="7AE5B8F8">
                  <w:pPr>
                    <w:bidi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（1.4）生态保护红线原则上按禁止开发区域的要求进行管理，严禁不符合主体功能定位的各类开发活动，严禁任意改变用途。明确属地管理责任，实行严格管控，加大生态保护补偿力度，加强生</w:t>
                  </w:r>
                </w:p>
                <w:p w14:paraId="353540C2">
                  <w:pPr>
                    <w:bidi w:val="0"/>
                    <w:jc w:val="both"/>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态保护与修复，建立监测网络和监管平台。</w:t>
                  </w:r>
                </w:p>
              </w:tc>
              <w:tc>
                <w:tcPr>
                  <w:tcW w:w="1216" w:type="pct"/>
                  <w:tcBorders>
                    <w:tl2br w:val="nil"/>
                    <w:tr2bl w:val="nil"/>
                  </w:tcBorders>
                  <w:noWrap w:val="0"/>
                  <w:vAlign w:val="center"/>
                </w:tcPr>
                <w:p w14:paraId="5BFFEC7D">
                  <w:pPr>
                    <w:bidi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本项目属于稻谷烘干项目，不属于有色金属冶炼、化工等行业企业；项目热风炉使用成型生物质颗粒燃料；本项目不涉及生态红线。</w:t>
                  </w:r>
                </w:p>
              </w:tc>
              <w:tc>
                <w:tcPr>
                  <w:tcW w:w="433" w:type="pct"/>
                  <w:tcBorders>
                    <w:tl2br w:val="nil"/>
                    <w:tr2bl w:val="nil"/>
                  </w:tcBorders>
                  <w:noWrap w:val="0"/>
                  <w:vAlign w:val="center"/>
                </w:tcPr>
                <w:p w14:paraId="4CB284CE">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14:paraId="4A76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7" w:type="pct"/>
                  <w:tcBorders>
                    <w:tl2br w:val="nil"/>
                    <w:tr2bl w:val="nil"/>
                  </w:tcBorders>
                  <w:noWrap w:val="0"/>
                  <w:vAlign w:val="center"/>
                </w:tcPr>
                <w:p w14:paraId="226C90CD">
                  <w:pPr>
                    <w:pStyle w:val="88"/>
                    <w:spacing w:line="250" w:lineRule="exact"/>
                    <w:ind w:left="0" w:leftChars="0" w:firstLine="0" w:firstLineChars="0"/>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污染物排放管控</w:t>
                  </w:r>
                </w:p>
              </w:tc>
              <w:tc>
                <w:tcPr>
                  <w:tcW w:w="2912" w:type="pct"/>
                  <w:tcBorders>
                    <w:tl2br w:val="nil"/>
                    <w:tr2bl w:val="nil"/>
                  </w:tcBorders>
                  <w:noWrap w:val="0"/>
                  <w:vAlign w:val="center"/>
                </w:tcPr>
                <w:p w14:paraId="67AC8DC9">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（2.1）开展土壤污染综合防治先行区建设，建立土壤污染防治长效机制。将建设用地土壤环境管理要求纳入城市规划和供地管理，强化土壤污染治理和修复。</w:t>
                  </w:r>
                </w:p>
                <w:p w14:paraId="1D79C281">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推进工业集聚区工业废水集中治理。建设工业污水集中处理设施及配套管网，集聚区内工业企业废水必须经预处理达到集中处理要求，方可进入污水集中处理设施。新建、升级工业集聚区应同步规划、建设污水、垃圾集中处理等污染治理设施。</w:t>
                  </w:r>
                </w:p>
                <w:p w14:paraId="6A8645C8">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（2.3）禁燃区内禁止燃用、销售高污染燃料；禁止新建、改建、扩建燃用高污染燃料的锅炉、炉窑、工业及经营性炉灶等燃烧设施（热电联产、电厂锅炉除外）。</w:t>
                  </w:r>
                </w:p>
                <w:p w14:paraId="6D805612">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治理船舶污染。依法强制报废超过使用年限的船舶，严格执行船舶污染物排放标准，限期淘汰不能达标排放的船舶，严禁新建不达标船舶进入运输市场。规范拆船行为，禁止冲滩拆解。禁止生活污水排放达不到要求的内河运输船舶以及单壳化学品船、600载重吨以上的单壳油船进入洞庭湖水域航行，加强港口码头污染防治。</w:t>
                  </w:r>
                </w:p>
                <w:p w14:paraId="3F5CEEF3">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（2.5）防控企业污染。禁止在优先保护类耕地集中区域新建有色金属冶炼、化工、电镀、制革、危险废物经营等行业企业。</w:t>
                  </w:r>
                </w:p>
                <w:p w14:paraId="78424E9D">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（2.6）加强畜禽养殖污染防治。严格规范兽药、饲料添加剂的生产和使用，杜绝过量使用。合理布局畜禽养殖企业，已建成的相关企业应当按照有关标准、规定采取措施，防止对耕地造成污染。</w:t>
                  </w:r>
                </w:p>
              </w:tc>
              <w:tc>
                <w:tcPr>
                  <w:tcW w:w="1216" w:type="pct"/>
                  <w:tcBorders>
                    <w:tl2br w:val="nil"/>
                    <w:tr2bl w:val="nil"/>
                  </w:tcBorders>
                  <w:noWrap w:val="0"/>
                  <w:vAlign w:val="center"/>
                </w:tcPr>
                <w:p w14:paraId="3E8C14E0">
                  <w:pPr>
                    <w:bidi w:val="0"/>
                    <w:jc w:val="center"/>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lang w:val="en-US" w:eastAsia="zh-CN"/>
                    </w:rPr>
                    <w:t>该项目不产生工业废水；本项目不</w:t>
                  </w:r>
                  <w:r>
                    <w:rPr>
                      <w:rFonts w:hint="eastAsia" w:ascii="宋体" w:hAnsi="宋体" w:cs="宋体"/>
                      <w:color w:val="auto"/>
                      <w:sz w:val="21"/>
                      <w:szCs w:val="21"/>
                      <w:lang w:val="en-US" w:eastAsia="zh-CN"/>
                    </w:rPr>
                    <w:t>涉及禁燃区；</w:t>
                  </w:r>
                  <w:r>
                    <w:rPr>
                      <w:rFonts w:hint="eastAsia" w:ascii="宋体" w:hAnsi="宋体" w:eastAsia="宋体" w:cs="宋体"/>
                      <w:color w:val="auto"/>
                      <w:sz w:val="21"/>
                      <w:szCs w:val="21"/>
                      <w:lang w:val="en-US" w:eastAsia="zh-CN"/>
                    </w:rPr>
                    <w:t>不涉及船舶；不涉及畜禽养殖。</w:t>
                  </w:r>
                </w:p>
              </w:tc>
              <w:tc>
                <w:tcPr>
                  <w:tcW w:w="433" w:type="pct"/>
                  <w:tcBorders>
                    <w:tl2br w:val="nil"/>
                    <w:tr2bl w:val="nil"/>
                  </w:tcBorders>
                  <w:noWrap w:val="0"/>
                  <w:vAlign w:val="center"/>
                </w:tcPr>
                <w:p w14:paraId="2711E34A">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14:paraId="7B0D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7" w:type="pct"/>
                  <w:tcBorders>
                    <w:tl2br w:val="nil"/>
                    <w:tr2bl w:val="nil"/>
                  </w:tcBorders>
                  <w:noWrap w:val="0"/>
                  <w:vAlign w:val="center"/>
                </w:tcPr>
                <w:p w14:paraId="2D6DBD59">
                  <w:pPr>
                    <w:pStyle w:val="88"/>
                    <w:spacing w:line="250" w:lineRule="exact"/>
                    <w:ind w:left="0" w:leftChars="0" w:firstLine="0" w:firstLineChars="0"/>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环境风险防控</w:t>
                  </w:r>
                </w:p>
              </w:tc>
              <w:tc>
                <w:tcPr>
                  <w:tcW w:w="2912" w:type="pct"/>
                  <w:tcBorders>
                    <w:tl2br w:val="nil"/>
                    <w:tr2bl w:val="nil"/>
                  </w:tcBorders>
                  <w:noWrap w:val="0"/>
                  <w:vAlign w:val="center"/>
                </w:tcPr>
                <w:p w14:paraId="1D1FE1BE">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3.1）防治地下水污染。对地下水自来水厂进行提质改造，化工生产存贮销售企业和工业园区、矿山开采区、垃圾填埋场等区域应进行必要的防渗处理。加油站地下油罐应全部更新为双层罐或完成防渗池设置。报废矿井、钻井、取水井应实施封井回填。制订地下水污染场地清单，积极推进地下水修复治理试点工作。</w:t>
                  </w:r>
                </w:p>
                <w:p w14:paraId="26F49187">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p w14:paraId="4A657ADC">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3.3）加强水源地污染整治。关闭饮用水水源保护区入河排污口，完成县级城市集中式饮用水水源保护区违规建设项目清理。严格执行供水单位卫生许可证制度。加强农村饮用水水质监测能力建设，建立健全群众和社会舆论监督机制。</w:t>
                  </w:r>
                </w:p>
                <w:p w14:paraId="0A34C1F5">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（3.4）采用农艺调控、化学阻控、替代种植等措施，降低农产品重金属超标风险。</w:t>
                  </w:r>
                </w:p>
              </w:tc>
              <w:tc>
                <w:tcPr>
                  <w:tcW w:w="1216" w:type="pct"/>
                  <w:tcBorders>
                    <w:tl2br w:val="nil"/>
                    <w:tr2bl w:val="nil"/>
                  </w:tcBorders>
                  <w:noWrap w:val="0"/>
                  <w:vAlign w:val="center"/>
                </w:tcPr>
                <w:p w14:paraId="66EEDFD0">
                  <w:pPr>
                    <w:autoSpaceDE w:val="0"/>
                    <w:autoSpaceDN w:val="0"/>
                    <w:adjustRightInd w:val="0"/>
                    <w:snapToGrid w:val="0"/>
                    <w:jc w:val="center"/>
                    <w:rPr>
                      <w:rFonts w:hint="default" w:eastAsia="宋体"/>
                      <w:color w:val="auto"/>
                      <w:szCs w:val="21"/>
                      <w:lang w:val="en-US" w:eastAsia="zh-CN"/>
                    </w:rPr>
                  </w:pPr>
                  <w:r>
                    <w:rPr>
                      <w:rFonts w:hint="eastAsia"/>
                      <w:color w:val="auto"/>
                      <w:szCs w:val="21"/>
                      <w:lang w:val="en-US" w:eastAsia="zh-CN"/>
                    </w:rPr>
                    <w:t>本项目不涉及地下水污染；项目不涉及沿江河湖库、工业聚集区；不涉及水源地；不涉及农产品种植。</w:t>
                  </w:r>
                </w:p>
                <w:p w14:paraId="5DE555BA">
                  <w:pPr>
                    <w:bidi w:val="0"/>
                    <w:jc w:val="center"/>
                    <w:rPr>
                      <w:rFonts w:hint="default" w:ascii="Times New Roman" w:hAnsi="Times New Roman" w:eastAsia="宋体" w:cs="Times New Roman"/>
                      <w:color w:val="auto"/>
                      <w:sz w:val="21"/>
                      <w:szCs w:val="21"/>
                      <w:lang w:val="en-US" w:eastAsia="zh-CN"/>
                    </w:rPr>
                  </w:pPr>
                </w:p>
              </w:tc>
              <w:tc>
                <w:tcPr>
                  <w:tcW w:w="433" w:type="pct"/>
                  <w:tcBorders>
                    <w:tl2br w:val="nil"/>
                    <w:tr2bl w:val="nil"/>
                  </w:tcBorders>
                  <w:noWrap w:val="0"/>
                  <w:vAlign w:val="center"/>
                </w:tcPr>
                <w:p w14:paraId="7B428C27">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14:paraId="0D69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7" w:type="pct"/>
                  <w:tcBorders>
                    <w:tl2br w:val="nil"/>
                    <w:tr2bl w:val="nil"/>
                  </w:tcBorders>
                  <w:noWrap w:val="0"/>
                  <w:vAlign w:val="center"/>
                </w:tcPr>
                <w:p w14:paraId="7D65007C">
                  <w:pPr>
                    <w:pStyle w:val="88"/>
                    <w:spacing w:line="250" w:lineRule="exact"/>
                    <w:ind w:left="0" w:leftChars="0" w:firstLine="0" w:firstLineChars="0"/>
                    <w:rPr>
                      <w:rFonts w:hint="default" w:ascii="宋体" w:hAnsi="宋体" w:eastAsia="宋体" w:cs="宋体"/>
                      <w:color w:val="auto"/>
                      <w:kern w:val="2"/>
                      <w:sz w:val="21"/>
                      <w:szCs w:val="21"/>
                      <w:lang w:val="en-US" w:eastAsia="zh-CN" w:bidi="ar-SA"/>
                    </w:rPr>
                  </w:pPr>
                  <w:bookmarkStart w:id="5" w:name="_Toc5925"/>
                  <w:r>
                    <w:rPr>
                      <w:rFonts w:hint="default" w:ascii="宋体" w:hAnsi="宋体" w:eastAsia="宋体" w:cs="宋体"/>
                      <w:color w:val="auto"/>
                      <w:kern w:val="2"/>
                      <w:sz w:val="21"/>
                      <w:szCs w:val="21"/>
                      <w:lang w:val="en-US" w:eastAsia="zh-CN" w:bidi="ar-SA"/>
                    </w:rPr>
                    <w:t>资源开发效率要求</w:t>
                  </w:r>
                  <w:bookmarkEnd w:id="5"/>
                </w:p>
              </w:tc>
              <w:tc>
                <w:tcPr>
                  <w:tcW w:w="2912" w:type="pct"/>
                  <w:tcBorders>
                    <w:tl2br w:val="nil"/>
                    <w:tr2bl w:val="nil"/>
                  </w:tcBorders>
                  <w:noWrap w:val="0"/>
                  <w:vAlign w:val="center"/>
                </w:tcPr>
                <w:p w14:paraId="5ACAFA67">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（4.1）水资源</w:t>
                  </w:r>
                </w:p>
                <w:p w14:paraId="77E635E9">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4.1.1）建立预警体系，发布预警信息，强化水资源承载能力对经济社会发展的刚性约束，推进重大产业布局和各类开发区规划水资源论证，严格建设项目水资源论证，对未依法完成水资源论证工作的建设项目，建设单位不得擅自开工建设和投产使用。推广喷灌、微灌、集雨补灌、低压管道输水灌溉、水田控制灌溉和水肥一体化等高效节水技术，推进学校、医院、宾馆、洗浴等重点行业节水技术改造，全面开展节水型公共机构、居民小区建设。限期关闭未批准的和公共供水管网覆盖范围内的自备水井。</w:t>
                  </w:r>
                </w:p>
                <w:p w14:paraId="7C3A0A73">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（4.1.2）到2020年，全县农田灌溉水有效利用系数达到0.591。</w:t>
                  </w:r>
                </w:p>
                <w:p w14:paraId="5EDA049D">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（4.2）土地资源</w:t>
                  </w:r>
                </w:p>
                <w:p w14:paraId="5AAE2AD0">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14:paraId="471E5910">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4.2.2）到2020年，城头山镇基本农田保护区不低于5843.60公顷，一般农地区不低于1159.31公顷，城镇建设用地区控制在79.15公顷以内，村镇建设用地区控制在1308.48公顷以内，独立工矿区控制在50.82公顷以内。澧澹街道基本农田保护区不低于1208.75公顷，一般农地区不低于897.20公顷，城镇建设用地区控制在749.02公顷以内，村镇建设用地区控制在490.19公顷以内，独立工矿区控制在15.75公顷以内。澧浦街道基本农田保护区不低于389.35公顷，一般农地区不低于408.91公顷，城镇建设用地区控制在900.77公顷以内，村镇建设用地区控制在234.83公顷以内，独立工矿区控制在17.73公顷以内。澧西街道基本农田保护区不低于1672.15公顷，一般农地区不低于462.00公顷，城镇建设用地区控制在985.63公顷以内，村镇建设用地区控制在489.98公顷以内，独立工矿区控制在35.96公顷以内。澧阳街道基本农田保护区不低于542.89公顷，一般农地区不低于157.15公顷，城镇建设用地区控制在764.46公顷以内，村镇建设用地区控制在172.79公顷以内，独立工矿区控制在9.06公顷以内。</w:t>
                  </w:r>
                </w:p>
                <w:p w14:paraId="74FF5583">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（4.3）能源</w:t>
                  </w:r>
                </w:p>
                <w:p w14:paraId="0F095B7C">
                  <w:pPr>
                    <w:pStyle w:val="88"/>
                    <w:spacing w:line="25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4.3.1）坚持高能效、低污染、低排放、多种能源并举互补的发展目标，加快推进能源结构调整，提高能源利用效率，使用清洁能源，扩大本地可再生能源利用，推进绿色能源示范性建设。同时提升能源储备能力，形成可靠、经济、清洁、低碳的多元化能源保障体系。</w:t>
                  </w:r>
                </w:p>
              </w:tc>
              <w:tc>
                <w:tcPr>
                  <w:tcW w:w="1216" w:type="pct"/>
                  <w:tcBorders>
                    <w:tl2br w:val="nil"/>
                    <w:tr2bl w:val="nil"/>
                  </w:tcBorders>
                  <w:noWrap w:val="0"/>
                  <w:vAlign w:val="center"/>
                </w:tcPr>
                <w:p w14:paraId="06366BDA">
                  <w:pPr>
                    <w:bidi w:val="0"/>
                    <w:jc w:val="center"/>
                    <w:rPr>
                      <w:rFonts w:hint="default" w:ascii="Times New Roman" w:hAnsi="Times New Roman" w:eastAsia="宋体" w:cs="Times New Roman"/>
                      <w:color w:val="auto"/>
                      <w:sz w:val="21"/>
                      <w:szCs w:val="21"/>
                      <w:lang w:val="en-US" w:eastAsia="zh-CN"/>
                    </w:rPr>
                  </w:pPr>
                  <w:r>
                    <w:rPr>
                      <w:rFonts w:hint="eastAsia"/>
                      <w:color w:val="auto"/>
                      <w:lang w:val="en-US" w:eastAsia="zh-CN"/>
                    </w:rPr>
                    <w:t>本项目属于稻谷烘干项目，使用建设用地</w:t>
                  </w:r>
                  <w:r>
                    <w:rPr>
                      <w:rFonts w:hint="default" w:ascii="Times New Roman" w:hAnsi="Times New Roman" w:eastAsia="宋体" w:cs="Times New Roman"/>
                      <w:color w:val="auto"/>
                      <w:sz w:val="21"/>
                      <w:szCs w:val="21"/>
                      <w:lang w:val="en-US" w:eastAsia="zh-CN"/>
                    </w:rPr>
                    <w:t>；不属于高耗能企业</w:t>
                  </w:r>
                </w:p>
              </w:tc>
              <w:tc>
                <w:tcPr>
                  <w:tcW w:w="433" w:type="pct"/>
                  <w:tcBorders>
                    <w:tl2br w:val="nil"/>
                    <w:tr2bl w:val="nil"/>
                  </w:tcBorders>
                  <w:noWrap w:val="0"/>
                  <w:vAlign w:val="center"/>
                </w:tcPr>
                <w:p w14:paraId="3220D0F6">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bl>
          <w:p w14:paraId="73D3B933">
            <w:pPr>
              <w:autoSpaceDE w:val="0"/>
              <w:autoSpaceDN w:val="0"/>
              <w:adjustRightInd w:val="0"/>
              <w:snapToGrid w:val="0"/>
              <w:spacing w:line="360" w:lineRule="auto"/>
              <w:ind w:firstLine="480" w:firstLineChars="200"/>
              <w:jc w:val="center"/>
              <w:rPr>
                <w:rFonts w:hint="eastAsia"/>
                <w:color w:val="FF0000"/>
                <w:kern w:val="0"/>
                <w:sz w:val="24"/>
              </w:rPr>
            </w:pPr>
          </w:p>
        </w:tc>
      </w:tr>
    </w:tbl>
    <w:p w14:paraId="776B4B8E">
      <w:pPr>
        <w:spacing w:line="360" w:lineRule="auto"/>
        <w:rPr>
          <w:rFonts w:eastAsia="黑体"/>
          <w:color w:val="FF0000"/>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9465B1E">
      <w:pPr>
        <w:spacing w:line="360" w:lineRule="auto"/>
        <w:jc w:val="center"/>
        <w:outlineLvl w:val="0"/>
        <w:rPr>
          <w:rFonts w:hint="eastAsia"/>
          <w:b/>
          <w:bCs/>
          <w:color w:val="auto"/>
          <w:sz w:val="32"/>
          <w:szCs w:val="32"/>
        </w:rPr>
      </w:pPr>
      <w:bookmarkStart w:id="6" w:name="_Toc4069"/>
      <w:bookmarkStart w:id="7" w:name="_Toc18159"/>
      <w:r>
        <w:rPr>
          <w:rFonts w:hint="eastAsia"/>
          <w:b/>
          <w:bCs/>
          <w:color w:val="auto"/>
          <w:sz w:val="32"/>
          <w:szCs w:val="32"/>
        </w:rPr>
        <w:t>二、建设项目工程分析</w:t>
      </w:r>
      <w:bookmarkEnd w:id="6"/>
      <w:bookmarkEnd w:id="7"/>
    </w:p>
    <w:tbl>
      <w:tblPr>
        <w:tblStyle w:val="29"/>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68"/>
      </w:tblGrid>
      <w:tr w14:paraId="4101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3" w:hRule="atLeast"/>
          <w:jc w:val="center"/>
        </w:trPr>
        <w:tc>
          <w:tcPr>
            <w:tcW w:w="257" w:type="pct"/>
            <w:vAlign w:val="center"/>
          </w:tcPr>
          <w:p w14:paraId="62DEE08F">
            <w:pPr>
              <w:pStyle w:val="26"/>
              <w:adjustRightInd w:val="0"/>
              <w:snapToGrid w:val="0"/>
              <w:spacing w:before="0" w:beforeAutospacing="0" w:after="0" w:afterAutospacing="0"/>
              <w:jc w:val="center"/>
              <w:rPr>
                <w:rFonts w:hint="default" w:ascii="Times New Roman" w:hAnsi="Times New Roman" w:cs="Times New Roman"/>
                <w:color w:val="FF0000"/>
                <w:szCs w:val="24"/>
              </w:rPr>
            </w:pPr>
            <w:r>
              <w:rPr>
                <w:rFonts w:hint="default" w:ascii="Times New Roman" w:hAnsi="Times New Roman" w:cs="Times New Roman"/>
                <w:color w:val="auto"/>
                <w:szCs w:val="24"/>
              </w:rPr>
              <w:t>建设内容</w:t>
            </w:r>
          </w:p>
        </w:tc>
        <w:tc>
          <w:tcPr>
            <w:tcW w:w="4742" w:type="pct"/>
          </w:tcPr>
          <w:p w14:paraId="56D33FA4">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（一）项目由来</w:t>
            </w:r>
          </w:p>
          <w:p w14:paraId="0CA94765">
            <w:pPr>
              <w:bidi w:val="0"/>
              <w:spacing w:line="360" w:lineRule="auto"/>
              <w:ind w:firstLine="480" w:firstLineChars="200"/>
              <w:rPr>
                <w:rFonts w:hint="eastAsia" w:ascii="宋体" w:hAnsi="宋体" w:eastAsia="宋体" w:cs="宋体"/>
                <w:color w:val="FF0000"/>
                <w:sz w:val="24"/>
                <w:szCs w:val="24"/>
                <w:u w:val="none"/>
                <w:lang w:eastAsia="zh-CN"/>
              </w:rPr>
            </w:pPr>
            <w:r>
              <w:rPr>
                <w:rFonts w:hint="eastAsia" w:ascii="宋体" w:hAnsi="宋体" w:eastAsia="宋体" w:cs="宋体"/>
                <w:color w:val="auto"/>
                <w:sz w:val="24"/>
                <w:szCs w:val="24"/>
                <w:u w:val="none"/>
                <w:lang w:eastAsia="zh-CN"/>
              </w:rPr>
              <w:t>“</w:t>
            </w:r>
            <w:r>
              <w:rPr>
                <w:rFonts w:hint="eastAsia" w:ascii="宋体" w:hAnsi="宋体" w:cs="宋体"/>
                <w:color w:val="auto"/>
                <w:sz w:val="24"/>
                <w:szCs w:val="24"/>
                <w:u w:val="none"/>
                <w:lang w:eastAsia="zh-CN"/>
              </w:rPr>
              <w:t>澧县华鑫粮食购销有限公司南岳粮库烘干厂建设项目</w:t>
            </w:r>
            <w:r>
              <w:rPr>
                <w:rFonts w:hint="eastAsia" w:ascii="宋体" w:hAnsi="宋体" w:eastAsia="宋体" w:cs="宋体"/>
                <w:color w:val="auto"/>
                <w:sz w:val="24"/>
                <w:szCs w:val="24"/>
                <w:u w:val="none"/>
                <w:lang w:eastAsia="zh-CN"/>
              </w:rPr>
              <w:t>”由澧县华鑫粮食购销有限公司投资建设，粮食收购、储存、加工、销售；农作物种植；农产品收购、储存、加工、销售；牲畜养殖、收购、加工、销售；食品加工、销售；普通道路货物运输。（依法须经批准的项目，经相关部门批准后方可开展经营活动）</w:t>
            </w:r>
            <w:r>
              <w:rPr>
                <w:rFonts w:hint="eastAsia" w:ascii="宋体" w:hAnsi="宋体" w:eastAsia="宋体" w:cs="宋体"/>
                <w:color w:val="auto"/>
                <w:sz w:val="24"/>
                <w:szCs w:val="24"/>
                <w:u w:val="none"/>
                <w:lang w:val="en-US" w:eastAsia="zh-CN"/>
              </w:rPr>
              <w:t>。</w:t>
            </w:r>
            <w:r>
              <w:rPr>
                <w:rFonts w:hint="eastAsia" w:ascii="宋体" w:hAnsi="宋体" w:cs="宋体"/>
                <w:color w:val="auto"/>
                <w:sz w:val="24"/>
                <w:szCs w:val="24"/>
                <w:u w:val="none"/>
                <w:lang w:val="en-US" w:eastAsia="zh-CN"/>
              </w:rPr>
              <w:t>附近居民</w:t>
            </w:r>
            <w:r>
              <w:rPr>
                <w:rFonts w:hint="eastAsia" w:ascii="宋体" w:hAnsi="宋体" w:eastAsia="宋体" w:cs="宋体"/>
                <w:color w:val="auto"/>
                <w:sz w:val="24"/>
                <w:szCs w:val="24"/>
                <w:u w:val="none"/>
                <w:lang w:eastAsia="zh-CN"/>
              </w:rPr>
              <w:t>水稻收割后，通常需要在晾晒场进行晾晒干燥，由于近期城镇化发展，晾晒场所逐渐减少，且传统晾晒方式，受天气、人工等因素制约，尤其受阴雨天气影响较大，为了满足种植生产需求，</w:t>
            </w:r>
            <w:r>
              <w:rPr>
                <w:rFonts w:hint="eastAsia" w:ascii="宋体" w:hAnsi="宋体" w:cs="宋体"/>
                <w:color w:val="auto"/>
                <w:sz w:val="24"/>
                <w:szCs w:val="24"/>
                <w:u w:val="none"/>
                <w:lang w:eastAsia="zh-CN"/>
              </w:rPr>
              <w:t>澧县华鑫粮食购销有限公司</w:t>
            </w:r>
            <w:r>
              <w:rPr>
                <w:rFonts w:hint="eastAsia" w:ascii="宋体" w:hAnsi="宋体" w:eastAsia="宋体" w:cs="宋体"/>
                <w:color w:val="auto"/>
                <w:sz w:val="24"/>
                <w:szCs w:val="24"/>
                <w:u w:val="none"/>
                <w:lang w:eastAsia="zh-CN"/>
              </w:rPr>
              <w:t>建设烘干加工生产线，项目建成后，年烘干</w:t>
            </w:r>
            <w:r>
              <w:rPr>
                <w:rFonts w:hint="eastAsia" w:ascii="宋体" w:hAnsi="宋体" w:cs="宋体"/>
                <w:color w:val="auto"/>
                <w:sz w:val="24"/>
                <w:szCs w:val="24"/>
                <w:u w:val="none"/>
                <w:lang w:val="en-US" w:eastAsia="zh-CN"/>
              </w:rPr>
              <w:t>湿</w:t>
            </w:r>
            <w:r>
              <w:rPr>
                <w:rFonts w:hint="eastAsia" w:ascii="宋体" w:hAnsi="宋体" w:eastAsia="宋体" w:cs="宋体"/>
                <w:color w:val="auto"/>
                <w:sz w:val="24"/>
                <w:szCs w:val="24"/>
                <w:u w:val="none"/>
                <w:lang w:eastAsia="zh-CN"/>
              </w:rPr>
              <w:t>水稻</w:t>
            </w:r>
            <w:r>
              <w:rPr>
                <w:rFonts w:hint="eastAsia" w:ascii="宋体" w:hAnsi="宋体" w:cs="宋体"/>
                <w:color w:val="auto"/>
                <w:sz w:val="24"/>
                <w:szCs w:val="24"/>
                <w:u w:val="none"/>
                <w:lang w:val="en-US" w:eastAsia="zh-CN"/>
              </w:rPr>
              <w:t>13000</w:t>
            </w:r>
            <w:r>
              <w:rPr>
                <w:rFonts w:hint="eastAsia" w:ascii="宋体" w:hAnsi="宋体" w:eastAsia="宋体" w:cs="宋体"/>
                <w:color w:val="auto"/>
                <w:sz w:val="24"/>
                <w:szCs w:val="24"/>
                <w:u w:val="none"/>
                <w:lang w:eastAsia="zh-CN"/>
              </w:rPr>
              <w:t>吨。</w:t>
            </w:r>
          </w:p>
          <w:p w14:paraId="4919FD0F">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本项目为</w:t>
            </w:r>
            <w:r>
              <w:rPr>
                <w:rFonts w:hint="eastAsia" w:ascii="宋体" w:hAnsi="宋体" w:cs="宋体"/>
                <w:color w:val="auto"/>
                <w:sz w:val="24"/>
                <w:szCs w:val="24"/>
                <w:lang w:eastAsia="zh-CN"/>
              </w:rPr>
              <w:t>澧县华鑫粮食购销有限公司南岳粮库烘干厂建设项目</w:t>
            </w:r>
            <w:r>
              <w:rPr>
                <w:rFonts w:hint="eastAsia" w:ascii="宋体" w:hAnsi="宋体" w:eastAsia="宋体" w:cs="宋体"/>
                <w:color w:val="auto"/>
                <w:sz w:val="24"/>
                <w:szCs w:val="24"/>
              </w:rPr>
              <w:t>，根据生态环境部办公厅发布文件《关于生物质锅炉等项目环评类别判定事宜的复函》（环办环评函〔2021〕264号）相关内容“对于粮食烘干建设项目，若主要建设内容为粮食烘干塔，应按照《名录》的</w:t>
            </w:r>
            <w:r>
              <w:rPr>
                <w:rFonts w:hint="eastAsia"/>
                <w:color w:val="auto"/>
                <w:lang w:eastAsia="zh-CN"/>
              </w:rPr>
              <w:t>“</w:t>
            </w:r>
            <w:r>
              <w:rPr>
                <w:rFonts w:hint="eastAsia" w:ascii="宋体" w:hAnsi="宋体" w:eastAsia="宋体" w:cs="宋体"/>
                <w:color w:val="auto"/>
                <w:sz w:val="24"/>
                <w:szCs w:val="24"/>
              </w:rPr>
              <w:t>91热力生产和供应工程（包括建设单位自建自用的供热工程）执行”，因此本项目属于《建设项目环境影响评价分类管理名录（2021年版）》中“91热力生产和供应工程（包括建设单位自建自用的供热工程）”类别，需编制环境影响评价报告表。</w:t>
            </w:r>
          </w:p>
          <w:p w14:paraId="34056517">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（二）工程概况</w:t>
            </w:r>
          </w:p>
          <w:p w14:paraId="303F0F3A">
            <w:pPr>
              <w:spacing w:line="360" w:lineRule="auto"/>
              <w:ind w:firstLine="472" w:firstLineChars="196"/>
              <w:textAlignment w:val="center"/>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1</w:t>
            </w:r>
            <w:r>
              <w:rPr>
                <w:rFonts w:hint="default" w:ascii="Times New Roman" w:hAnsi="Times New Roman" w:cs="Times New Roman"/>
                <w:b/>
                <w:bCs/>
                <w:color w:val="auto"/>
                <w:sz w:val="24"/>
              </w:rPr>
              <w:t>、建设内容</w:t>
            </w:r>
          </w:p>
          <w:p w14:paraId="17418973">
            <w:pPr>
              <w:pStyle w:val="2"/>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项目主要建设内容详见下表</w:t>
            </w:r>
            <w:r>
              <w:rPr>
                <w:rFonts w:hint="default" w:ascii="Times New Roman" w:hAnsi="Times New Roman" w:cs="Times New Roman"/>
                <w:color w:val="auto"/>
                <w:sz w:val="24"/>
                <w:szCs w:val="24"/>
                <w:lang w:eastAsia="zh-CN"/>
              </w:rPr>
              <w:t>。</w:t>
            </w:r>
          </w:p>
          <w:p w14:paraId="715596E1">
            <w:pPr>
              <w:pStyle w:val="41"/>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sz w:val="21"/>
                <w:szCs w:val="21"/>
              </w:rPr>
            </w:pPr>
            <w:r>
              <w:rPr>
                <w:rFonts w:hint="eastAsia" w:ascii="宋体" w:hAnsi="宋体" w:eastAsia="宋体" w:cs="宋体"/>
                <w:b/>
                <w:bCs/>
                <w:color w:val="auto"/>
                <w:sz w:val="21"/>
                <w:szCs w:val="21"/>
                <w:lang w:val="en-GB"/>
              </w:rPr>
              <w:t>表</w:t>
            </w:r>
            <w:r>
              <w:rPr>
                <w:rFonts w:hint="eastAsia" w:ascii="宋体" w:hAnsi="宋体" w:eastAsia="宋体" w:cs="宋体"/>
                <w:b/>
                <w:bCs/>
                <w:color w:val="auto"/>
                <w:sz w:val="21"/>
                <w:szCs w:val="21"/>
              </w:rPr>
              <w:t>2-1</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项目工程组成一览表</w:t>
            </w:r>
          </w:p>
          <w:tbl>
            <w:tblPr>
              <w:tblStyle w:val="2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66"/>
              <w:gridCol w:w="1575"/>
              <w:gridCol w:w="5383"/>
            </w:tblGrid>
            <w:tr w14:paraId="0247C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366" w:type="dxa"/>
                  <w:vAlign w:val="center"/>
                </w:tcPr>
                <w:p w14:paraId="66EE34D4">
                  <w:pPr>
                    <w:pStyle w:val="53"/>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工程类别</w:t>
                  </w:r>
                </w:p>
              </w:tc>
              <w:tc>
                <w:tcPr>
                  <w:tcW w:w="1575" w:type="dxa"/>
                  <w:vAlign w:val="center"/>
                </w:tcPr>
                <w:p w14:paraId="15951A0B">
                  <w:pPr>
                    <w:pStyle w:val="53"/>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单项工程</w:t>
                  </w:r>
                </w:p>
              </w:tc>
              <w:tc>
                <w:tcPr>
                  <w:tcW w:w="5383" w:type="dxa"/>
                  <w:vAlign w:val="center"/>
                </w:tcPr>
                <w:p w14:paraId="2129E8A9">
                  <w:pPr>
                    <w:pStyle w:val="53"/>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建设内容</w:t>
                  </w:r>
                </w:p>
              </w:tc>
            </w:tr>
            <w:tr w14:paraId="7A60B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66" w:type="dxa"/>
                  <w:vAlign w:val="center"/>
                </w:tcPr>
                <w:p w14:paraId="0684A5E4">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主体工程</w:t>
                  </w:r>
                </w:p>
              </w:tc>
              <w:tc>
                <w:tcPr>
                  <w:tcW w:w="1575" w:type="dxa"/>
                  <w:vAlign w:val="center"/>
                </w:tcPr>
                <w:p w14:paraId="1EF2401A">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烘干车间</w:t>
                  </w:r>
                </w:p>
              </w:tc>
              <w:tc>
                <w:tcPr>
                  <w:tcW w:w="5383" w:type="dxa"/>
                  <w:vAlign w:val="center"/>
                </w:tcPr>
                <w:p w14:paraId="0348C68F">
                  <w:pPr>
                    <w:pStyle w:val="53"/>
                    <w:spacing w:before="31" w:after="31" w:line="240" w:lineRule="auto"/>
                    <w:rPr>
                      <w:rFonts w:hint="eastAsia" w:ascii="宋体" w:hAnsi="宋体" w:eastAsia="宋体" w:cs="宋体"/>
                      <w:color w:val="FF0000"/>
                    </w:rPr>
                  </w:pPr>
                  <w:r>
                    <w:rPr>
                      <w:rFonts w:hint="eastAsia" w:ascii="宋体" w:hAnsi="宋体" w:eastAsia="宋体" w:cs="宋体"/>
                    </w:rPr>
                    <w:t>钢结构厂房，建筑面积840m</w:t>
                  </w:r>
                  <w:r>
                    <w:rPr>
                      <w:rFonts w:hint="eastAsia" w:ascii="宋体" w:hAnsi="宋体" w:eastAsia="宋体" w:cs="宋体"/>
                      <w:vertAlign w:val="superscript"/>
                    </w:rPr>
                    <w:t>2</w:t>
                  </w:r>
                  <w:r>
                    <w:rPr>
                      <w:rFonts w:hint="eastAsia" w:ascii="宋体" w:hAnsi="宋体" w:eastAsia="宋体" w:cs="宋体"/>
                    </w:rPr>
                    <w:t>，设置谷物干燥机10台、生物质热风炉5台、提升机1台等，用于水稻烘干。</w:t>
                  </w:r>
                </w:p>
              </w:tc>
            </w:tr>
            <w:tr w14:paraId="0C900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66" w:type="dxa"/>
                  <w:vMerge w:val="restart"/>
                  <w:vAlign w:val="center"/>
                </w:tcPr>
                <w:p w14:paraId="1D279687">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储运工程</w:t>
                  </w:r>
                </w:p>
              </w:tc>
              <w:tc>
                <w:tcPr>
                  <w:tcW w:w="1575" w:type="dxa"/>
                  <w:vAlign w:val="center"/>
                </w:tcPr>
                <w:p w14:paraId="2BA186AA">
                  <w:pPr>
                    <w:pStyle w:val="53"/>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rPr>
                    <w:t>仓库</w:t>
                  </w:r>
                  <w:r>
                    <w:rPr>
                      <w:rFonts w:hint="eastAsia" w:ascii="宋体" w:hAnsi="宋体" w:eastAsia="宋体" w:cs="宋体"/>
                      <w:color w:val="auto"/>
                      <w:lang w:val="en-US" w:eastAsia="zh-CN"/>
                    </w:rPr>
                    <w:t>1</w:t>
                  </w:r>
                </w:p>
              </w:tc>
              <w:tc>
                <w:tcPr>
                  <w:tcW w:w="5383" w:type="dxa"/>
                  <w:vAlign w:val="center"/>
                </w:tcPr>
                <w:p w14:paraId="41CF28FA">
                  <w:pPr>
                    <w:pStyle w:val="53"/>
                    <w:spacing w:before="31" w:after="31" w:line="240" w:lineRule="auto"/>
                    <w:rPr>
                      <w:rFonts w:hint="eastAsia" w:ascii="宋体" w:hAnsi="宋体" w:eastAsia="宋体" w:cs="宋体"/>
                      <w:color w:val="FF0000"/>
                    </w:rPr>
                  </w:pPr>
                  <w:r>
                    <w:rPr>
                      <w:rFonts w:hint="eastAsia" w:ascii="宋体" w:hAnsi="宋体" w:eastAsia="宋体" w:cs="宋体"/>
                      <w:color w:val="000000" w:themeColor="text1"/>
                      <w14:textFill>
                        <w14:solidFill>
                          <w14:schemeClr w14:val="tx1"/>
                        </w14:solidFill>
                      </w14:textFill>
                    </w:rPr>
                    <w:t>砖混结构厂房，建筑面积3146</w:t>
                  </w:r>
                  <w:r>
                    <w:rPr>
                      <w:rFonts w:hint="eastAsia" w:ascii="宋体" w:hAnsi="宋体" w:eastAsia="宋体" w:cs="宋体"/>
                    </w:rPr>
                    <w:t xml:space="preserve"> m</w:t>
                  </w:r>
                  <w:r>
                    <w:rPr>
                      <w:rFonts w:hint="eastAsia" w:ascii="宋体" w:hAnsi="宋体" w:eastAsia="宋体" w:cs="宋体"/>
                      <w:vertAlign w:val="superscript"/>
                    </w:rPr>
                    <w:t>2</w:t>
                  </w:r>
                  <w:r>
                    <w:rPr>
                      <w:rFonts w:hint="eastAsia" w:ascii="宋体" w:hAnsi="宋体" w:eastAsia="宋体" w:cs="宋体"/>
                      <w:color w:val="000000" w:themeColor="text1"/>
                      <w14:textFill>
                        <w14:solidFill>
                          <w14:schemeClr w14:val="tx1"/>
                        </w14:solidFill>
                      </w14:textFill>
                    </w:rPr>
                    <w:t>，用于水稻储存。</w:t>
                  </w:r>
                </w:p>
              </w:tc>
            </w:tr>
            <w:tr w14:paraId="163FB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66" w:type="dxa"/>
                  <w:vMerge w:val="continue"/>
                  <w:vAlign w:val="center"/>
                </w:tcPr>
                <w:p w14:paraId="46C860C9">
                  <w:pPr>
                    <w:pStyle w:val="53"/>
                    <w:bidi w:val="0"/>
                    <w:spacing w:line="240" w:lineRule="auto"/>
                    <w:jc w:val="center"/>
                    <w:rPr>
                      <w:rFonts w:hint="eastAsia" w:ascii="宋体" w:hAnsi="宋体" w:eastAsia="宋体" w:cs="宋体"/>
                      <w:color w:val="auto"/>
                    </w:rPr>
                  </w:pPr>
                </w:p>
              </w:tc>
              <w:tc>
                <w:tcPr>
                  <w:tcW w:w="1575" w:type="dxa"/>
                  <w:vAlign w:val="center"/>
                </w:tcPr>
                <w:p w14:paraId="18522DB3">
                  <w:pPr>
                    <w:pStyle w:val="53"/>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rPr>
                    <w:t>仓库</w:t>
                  </w:r>
                  <w:r>
                    <w:rPr>
                      <w:rFonts w:hint="eastAsia" w:ascii="宋体" w:hAnsi="宋体" w:eastAsia="宋体" w:cs="宋体"/>
                      <w:color w:val="auto"/>
                      <w:lang w:val="en-US" w:eastAsia="zh-CN"/>
                    </w:rPr>
                    <w:t>2</w:t>
                  </w:r>
                </w:p>
              </w:tc>
              <w:tc>
                <w:tcPr>
                  <w:tcW w:w="5383" w:type="dxa"/>
                  <w:vAlign w:val="center"/>
                </w:tcPr>
                <w:p w14:paraId="1E1FB234">
                  <w:pPr>
                    <w:pStyle w:val="53"/>
                    <w:spacing w:before="31" w:after="31" w:line="240" w:lineRule="auto"/>
                    <w:rPr>
                      <w:rFonts w:hint="eastAsia" w:ascii="宋体" w:hAnsi="宋体" w:eastAsia="宋体" w:cs="宋体"/>
                      <w:color w:val="FF0000"/>
                      <w:lang w:val="en-US" w:eastAsia="zh-CN"/>
                    </w:rPr>
                  </w:pPr>
                  <w:r>
                    <w:rPr>
                      <w:rFonts w:hint="eastAsia" w:ascii="宋体" w:hAnsi="宋体" w:eastAsia="宋体" w:cs="宋体"/>
                      <w:color w:val="000000" w:themeColor="text1"/>
                      <w14:textFill>
                        <w14:solidFill>
                          <w14:schemeClr w14:val="tx1"/>
                        </w14:solidFill>
                      </w14:textFill>
                    </w:rPr>
                    <w:t>砖混结构厂房，建筑面积1890</w:t>
                  </w:r>
                  <w:r>
                    <w:rPr>
                      <w:rFonts w:hint="eastAsia" w:ascii="宋体" w:hAnsi="宋体" w:eastAsia="宋体" w:cs="宋体"/>
                    </w:rPr>
                    <w:t xml:space="preserve"> m</w:t>
                  </w:r>
                  <w:r>
                    <w:rPr>
                      <w:rFonts w:hint="eastAsia" w:ascii="宋体" w:hAnsi="宋体" w:eastAsia="宋体" w:cs="宋体"/>
                      <w:vertAlign w:val="superscript"/>
                    </w:rPr>
                    <w:t>2</w:t>
                  </w:r>
                  <w:r>
                    <w:rPr>
                      <w:rFonts w:hint="eastAsia" w:ascii="宋体" w:hAnsi="宋体" w:eastAsia="宋体" w:cs="宋体"/>
                      <w:color w:val="000000" w:themeColor="text1"/>
                      <w14:textFill>
                        <w14:solidFill>
                          <w14:schemeClr w14:val="tx1"/>
                        </w14:solidFill>
                      </w14:textFill>
                    </w:rPr>
                    <w:t>，用于水稻储存。</w:t>
                  </w:r>
                </w:p>
              </w:tc>
            </w:tr>
            <w:tr w14:paraId="420DC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66" w:type="dxa"/>
                  <w:vMerge w:val="continue"/>
                  <w:vAlign w:val="center"/>
                </w:tcPr>
                <w:p w14:paraId="36378E21">
                  <w:pPr>
                    <w:pStyle w:val="53"/>
                    <w:bidi w:val="0"/>
                    <w:spacing w:line="240" w:lineRule="auto"/>
                    <w:jc w:val="center"/>
                    <w:rPr>
                      <w:rFonts w:hint="eastAsia" w:ascii="宋体" w:hAnsi="宋体" w:eastAsia="宋体" w:cs="宋体"/>
                      <w:color w:val="auto"/>
                    </w:rPr>
                  </w:pPr>
                </w:p>
              </w:tc>
              <w:tc>
                <w:tcPr>
                  <w:tcW w:w="1575" w:type="dxa"/>
                  <w:vAlign w:val="center"/>
                </w:tcPr>
                <w:p w14:paraId="3390021B">
                  <w:pPr>
                    <w:pStyle w:val="53"/>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rPr>
                    <w:t>仓库</w:t>
                  </w:r>
                  <w:r>
                    <w:rPr>
                      <w:rFonts w:hint="eastAsia" w:ascii="宋体" w:hAnsi="宋体" w:eastAsia="宋体" w:cs="宋体"/>
                      <w:color w:val="auto"/>
                      <w:lang w:val="en-US" w:eastAsia="zh-CN"/>
                    </w:rPr>
                    <w:t>3</w:t>
                  </w:r>
                </w:p>
              </w:tc>
              <w:tc>
                <w:tcPr>
                  <w:tcW w:w="5383" w:type="dxa"/>
                  <w:vAlign w:val="center"/>
                </w:tcPr>
                <w:p w14:paraId="12693D9D">
                  <w:pPr>
                    <w:pStyle w:val="53"/>
                    <w:spacing w:before="31" w:after="31" w:line="240" w:lineRule="auto"/>
                    <w:rPr>
                      <w:rFonts w:hint="eastAsia" w:ascii="宋体" w:hAnsi="宋体" w:eastAsia="宋体" w:cs="宋体"/>
                      <w:color w:val="FF0000"/>
                    </w:rPr>
                  </w:pPr>
                  <w:r>
                    <w:rPr>
                      <w:rFonts w:hint="eastAsia" w:ascii="宋体" w:hAnsi="宋体" w:eastAsia="宋体" w:cs="宋体"/>
                      <w:color w:val="000000" w:themeColor="text1"/>
                      <w14:textFill>
                        <w14:solidFill>
                          <w14:schemeClr w14:val="tx1"/>
                        </w14:solidFill>
                      </w14:textFill>
                    </w:rPr>
                    <w:t>砖混结构厂房，建筑面积1985</w:t>
                  </w:r>
                  <w:r>
                    <w:rPr>
                      <w:rFonts w:hint="eastAsia" w:ascii="宋体" w:hAnsi="宋体" w:eastAsia="宋体" w:cs="宋体"/>
                    </w:rPr>
                    <w:t xml:space="preserve"> m</w:t>
                  </w:r>
                  <w:r>
                    <w:rPr>
                      <w:rFonts w:hint="eastAsia" w:ascii="宋体" w:hAnsi="宋体" w:eastAsia="宋体" w:cs="宋体"/>
                      <w:vertAlign w:val="superscript"/>
                    </w:rPr>
                    <w:t>2</w:t>
                  </w:r>
                  <w:r>
                    <w:rPr>
                      <w:rFonts w:hint="eastAsia" w:ascii="宋体" w:hAnsi="宋体" w:eastAsia="宋体" w:cs="宋体"/>
                      <w:color w:val="000000" w:themeColor="text1"/>
                      <w14:textFill>
                        <w14:solidFill>
                          <w14:schemeClr w14:val="tx1"/>
                        </w14:solidFill>
                      </w14:textFill>
                    </w:rPr>
                    <w:t>，用于水稻储存。</w:t>
                  </w:r>
                </w:p>
              </w:tc>
            </w:tr>
            <w:tr w14:paraId="16161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66" w:type="dxa"/>
                  <w:vMerge w:val="continue"/>
                  <w:vAlign w:val="center"/>
                </w:tcPr>
                <w:p w14:paraId="4B184DB5">
                  <w:pPr>
                    <w:pStyle w:val="53"/>
                    <w:bidi w:val="0"/>
                    <w:spacing w:line="240" w:lineRule="auto"/>
                    <w:jc w:val="center"/>
                    <w:rPr>
                      <w:rFonts w:hint="eastAsia" w:ascii="宋体" w:hAnsi="宋体" w:eastAsia="宋体" w:cs="宋体"/>
                      <w:color w:val="auto"/>
                    </w:rPr>
                  </w:pPr>
                </w:p>
              </w:tc>
              <w:tc>
                <w:tcPr>
                  <w:tcW w:w="1575" w:type="dxa"/>
                  <w:vAlign w:val="center"/>
                </w:tcPr>
                <w:p w14:paraId="43D8573D">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仓库</w:t>
                  </w:r>
                  <w:r>
                    <w:rPr>
                      <w:rFonts w:hint="eastAsia" w:ascii="宋体" w:hAnsi="宋体" w:eastAsia="宋体" w:cs="宋体"/>
                      <w:color w:val="auto"/>
                      <w:lang w:val="en-US" w:eastAsia="zh-CN"/>
                    </w:rPr>
                    <w:t>4</w:t>
                  </w:r>
                </w:p>
              </w:tc>
              <w:tc>
                <w:tcPr>
                  <w:tcW w:w="5383" w:type="dxa"/>
                  <w:vAlign w:val="center"/>
                </w:tcPr>
                <w:p w14:paraId="621EDCC0">
                  <w:pPr>
                    <w:pStyle w:val="53"/>
                    <w:spacing w:before="31" w:after="31" w:line="240" w:lineRule="auto"/>
                    <w:rPr>
                      <w:rFonts w:hint="eastAsia" w:ascii="宋体" w:hAnsi="宋体" w:eastAsia="宋体" w:cs="宋体"/>
                      <w:color w:val="FF0000"/>
                    </w:rPr>
                  </w:pPr>
                  <w:r>
                    <w:rPr>
                      <w:rFonts w:hint="eastAsia" w:ascii="宋体" w:hAnsi="宋体" w:eastAsia="宋体" w:cs="宋体"/>
                      <w:color w:val="000000" w:themeColor="text1"/>
                      <w14:textFill>
                        <w14:solidFill>
                          <w14:schemeClr w14:val="tx1"/>
                        </w14:solidFill>
                      </w14:textFill>
                    </w:rPr>
                    <w:t>砖混结构厂房，建筑面积2223</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color w:val="000000" w:themeColor="text1"/>
                      <w14:textFill>
                        <w14:solidFill>
                          <w14:schemeClr w14:val="tx1"/>
                        </w14:solidFill>
                      </w14:textFill>
                    </w:rPr>
                    <w:t>，用于水稻储存。</w:t>
                  </w:r>
                </w:p>
              </w:tc>
            </w:tr>
            <w:tr w14:paraId="4F52C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66" w:type="dxa"/>
                  <w:vAlign w:val="center"/>
                </w:tcPr>
                <w:p w14:paraId="117B8758">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辅助工程</w:t>
                  </w:r>
                </w:p>
              </w:tc>
              <w:tc>
                <w:tcPr>
                  <w:tcW w:w="1575" w:type="dxa"/>
                  <w:vAlign w:val="center"/>
                </w:tcPr>
                <w:p w14:paraId="1DF1D288">
                  <w:pPr>
                    <w:pStyle w:val="53"/>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磅房</w:t>
                  </w:r>
                </w:p>
              </w:tc>
              <w:tc>
                <w:tcPr>
                  <w:tcW w:w="5383" w:type="dxa"/>
                  <w:vAlign w:val="center"/>
                </w:tcPr>
                <w:p w14:paraId="6E4AD887">
                  <w:pPr>
                    <w:pStyle w:val="53"/>
                    <w:bidi w:val="0"/>
                    <w:spacing w:line="240" w:lineRule="auto"/>
                    <w:jc w:val="center"/>
                    <w:rPr>
                      <w:rFonts w:hint="eastAsia" w:ascii="宋体" w:hAnsi="宋体" w:eastAsia="宋体" w:cs="宋体"/>
                      <w:color w:val="FF0000"/>
                    </w:rPr>
                  </w:pPr>
                  <w:r>
                    <w:rPr>
                      <w:rFonts w:hint="eastAsia" w:ascii="宋体" w:hAnsi="宋体" w:eastAsia="宋体" w:cs="宋体"/>
                      <w:color w:val="000000" w:themeColor="text1"/>
                      <w14:textFill>
                        <w14:solidFill>
                          <w14:schemeClr w14:val="tx1"/>
                        </w14:solidFill>
                      </w14:textFill>
                    </w:rPr>
                    <w:t>位于7区入口，建筑面积20</w:t>
                  </w:r>
                  <w:r>
                    <w:rPr>
                      <w:rFonts w:hint="eastAsia" w:ascii="宋体" w:hAnsi="宋体" w:eastAsia="宋体" w:cs="宋体"/>
                    </w:rPr>
                    <w:t xml:space="preserve"> m</w:t>
                  </w:r>
                  <w:r>
                    <w:rPr>
                      <w:rFonts w:hint="eastAsia" w:ascii="宋体" w:hAnsi="宋体" w:eastAsia="宋体" w:cs="宋体"/>
                      <w:vertAlign w:val="superscript"/>
                    </w:rPr>
                    <w:t>2</w:t>
                  </w:r>
                </w:p>
              </w:tc>
            </w:tr>
            <w:tr w14:paraId="0718C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366" w:type="dxa"/>
                  <w:vMerge w:val="restart"/>
                  <w:vAlign w:val="center"/>
                </w:tcPr>
                <w:p w14:paraId="6ADD3FE0">
                  <w:pPr>
                    <w:pStyle w:val="53"/>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公用工程</w:t>
                  </w:r>
                </w:p>
              </w:tc>
              <w:tc>
                <w:tcPr>
                  <w:tcW w:w="1575" w:type="dxa"/>
                  <w:vAlign w:val="center"/>
                </w:tcPr>
                <w:p w14:paraId="293CEB2E">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供水</w:t>
                  </w:r>
                </w:p>
              </w:tc>
              <w:tc>
                <w:tcPr>
                  <w:tcW w:w="5383" w:type="dxa"/>
                  <w:vAlign w:val="center"/>
                </w:tcPr>
                <w:p w14:paraId="34D8243F">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利用乡镇供水管网</w:t>
                  </w:r>
                </w:p>
              </w:tc>
            </w:tr>
            <w:tr w14:paraId="7972A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366" w:type="dxa"/>
                  <w:vMerge w:val="continue"/>
                  <w:tcBorders>
                    <w:top w:val="nil"/>
                  </w:tcBorders>
                  <w:vAlign w:val="center"/>
                </w:tcPr>
                <w:p w14:paraId="7D1CA519">
                  <w:pPr>
                    <w:pStyle w:val="53"/>
                    <w:bidi w:val="0"/>
                    <w:spacing w:line="240" w:lineRule="auto"/>
                    <w:jc w:val="center"/>
                    <w:rPr>
                      <w:rFonts w:hint="default" w:ascii="Times New Roman" w:hAnsi="Times New Roman" w:cs="Times New Roman"/>
                      <w:color w:val="auto"/>
                    </w:rPr>
                  </w:pPr>
                </w:p>
              </w:tc>
              <w:tc>
                <w:tcPr>
                  <w:tcW w:w="1575" w:type="dxa"/>
                  <w:vAlign w:val="center"/>
                </w:tcPr>
                <w:p w14:paraId="08A14B57">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供电</w:t>
                  </w:r>
                </w:p>
              </w:tc>
              <w:tc>
                <w:tcPr>
                  <w:tcW w:w="5383" w:type="dxa"/>
                  <w:vAlign w:val="center"/>
                </w:tcPr>
                <w:p w14:paraId="22D30DE6">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利用乡镇供电</w:t>
                  </w:r>
                </w:p>
              </w:tc>
            </w:tr>
            <w:tr w14:paraId="56964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66" w:type="dxa"/>
                  <w:vMerge w:val="continue"/>
                  <w:tcBorders>
                    <w:top w:val="nil"/>
                  </w:tcBorders>
                  <w:vAlign w:val="center"/>
                </w:tcPr>
                <w:p w14:paraId="483AE8D0">
                  <w:pPr>
                    <w:pStyle w:val="53"/>
                    <w:bidi w:val="0"/>
                    <w:spacing w:line="240" w:lineRule="auto"/>
                    <w:jc w:val="center"/>
                    <w:rPr>
                      <w:rFonts w:hint="default" w:ascii="Times New Roman" w:hAnsi="Times New Roman" w:cs="Times New Roman"/>
                      <w:color w:val="auto"/>
                    </w:rPr>
                  </w:pPr>
                </w:p>
              </w:tc>
              <w:tc>
                <w:tcPr>
                  <w:tcW w:w="1575" w:type="dxa"/>
                  <w:vAlign w:val="center"/>
                </w:tcPr>
                <w:p w14:paraId="0A27CBB7">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排水</w:t>
                  </w:r>
                </w:p>
              </w:tc>
              <w:tc>
                <w:tcPr>
                  <w:tcW w:w="5383" w:type="dxa"/>
                  <w:vAlign w:val="center"/>
                </w:tcPr>
                <w:p w14:paraId="54836633">
                  <w:pPr>
                    <w:pStyle w:val="53"/>
                    <w:bidi w:val="0"/>
                    <w:spacing w:line="240" w:lineRule="auto"/>
                    <w:jc w:val="center"/>
                    <w:rPr>
                      <w:rFonts w:hint="eastAsia" w:ascii="宋体" w:hAnsi="宋体" w:eastAsia="宋体" w:cs="宋体"/>
                      <w:color w:val="auto"/>
                    </w:rPr>
                  </w:pPr>
                  <w:r>
                    <w:rPr>
                      <w:rFonts w:hint="eastAsia" w:ascii="宋体" w:hAnsi="宋体" w:eastAsia="宋体" w:cs="宋体"/>
                      <w:color w:val="auto"/>
                    </w:rPr>
                    <w:t>厂区雨污分流，雨水排入厂区</w:t>
                  </w:r>
                  <w:r>
                    <w:rPr>
                      <w:rFonts w:hint="eastAsia" w:hAnsi="宋体" w:cs="宋体"/>
                      <w:color w:val="auto"/>
                      <w:lang w:val="en-US" w:eastAsia="zh-CN"/>
                    </w:rPr>
                    <w:t>西</w:t>
                  </w:r>
                  <w:r>
                    <w:rPr>
                      <w:rFonts w:hint="eastAsia" w:ascii="宋体" w:hAnsi="宋体" w:eastAsia="宋体" w:cs="宋体"/>
                      <w:color w:val="auto"/>
                    </w:rPr>
                    <w:t>侧沟渠，污水排入自建化粪池。</w:t>
                  </w:r>
                </w:p>
              </w:tc>
            </w:tr>
            <w:tr w14:paraId="05B83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66" w:type="dxa"/>
                  <w:vMerge w:val="restart"/>
                  <w:vAlign w:val="center"/>
                </w:tcPr>
                <w:p w14:paraId="752FC082">
                  <w:pPr>
                    <w:pStyle w:val="53"/>
                    <w:bidi w:val="0"/>
                    <w:spacing w:line="240" w:lineRule="auto"/>
                    <w:jc w:val="center"/>
                    <w:rPr>
                      <w:rFonts w:hint="default" w:ascii="Times New Roman" w:hAnsi="Times New Roman" w:cs="Times New Roman"/>
                      <w:color w:val="FF0000"/>
                    </w:rPr>
                  </w:pPr>
                  <w:r>
                    <w:rPr>
                      <w:rFonts w:hint="default" w:ascii="Times New Roman" w:hAnsi="Times New Roman" w:cs="Times New Roman"/>
                      <w:color w:val="auto"/>
                    </w:rPr>
                    <w:t>环保工程</w:t>
                  </w:r>
                </w:p>
              </w:tc>
              <w:tc>
                <w:tcPr>
                  <w:tcW w:w="1575" w:type="dxa"/>
                  <w:vAlign w:val="center"/>
                </w:tcPr>
                <w:p w14:paraId="5A32259B">
                  <w:pPr>
                    <w:pStyle w:val="53"/>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废水治理</w:t>
                  </w:r>
                </w:p>
              </w:tc>
              <w:tc>
                <w:tcPr>
                  <w:tcW w:w="5383" w:type="dxa"/>
                  <w:vAlign w:val="center"/>
                </w:tcPr>
                <w:p w14:paraId="6035F5D9">
                  <w:pPr>
                    <w:pStyle w:val="53"/>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厂区内设置化粪池收集职工生活污水，定期清理作农肥利用。</w:t>
                  </w:r>
                </w:p>
              </w:tc>
            </w:tr>
            <w:tr w14:paraId="484DE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366" w:type="dxa"/>
                  <w:vMerge w:val="continue"/>
                  <w:tcBorders>
                    <w:top w:val="nil"/>
                  </w:tcBorders>
                  <w:vAlign w:val="center"/>
                </w:tcPr>
                <w:p w14:paraId="30C84248">
                  <w:pPr>
                    <w:pStyle w:val="53"/>
                    <w:bidi w:val="0"/>
                    <w:spacing w:line="240" w:lineRule="auto"/>
                    <w:jc w:val="center"/>
                    <w:rPr>
                      <w:rFonts w:hint="default" w:ascii="Times New Roman" w:hAnsi="Times New Roman" w:cs="Times New Roman"/>
                      <w:color w:val="FF0000"/>
                    </w:rPr>
                  </w:pPr>
                </w:p>
              </w:tc>
              <w:tc>
                <w:tcPr>
                  <w:tcW w:w="1575" w:type="dxa"/>
                  <w:vAlign w:val="center"/>
                </w:tcPr>
                <w:p w14:paraId="6489B53A">
                  <w:pPr>
                    <w:pStyle w:val="53"/>
                    <w:bidi w:val="0"/>
                    <w:spacing w:line="240" w:lineRule="auto"/>
                    <w:jc w:val="center"/>
                    <w:rPr>
                      <w:rFonts w:hint="eastAsia" w:ascii="宋体" w:hAnsi="宋体" w:eastAsia="宋体" w:cs="宋体"/>
                      <w:color w:val="auto"/>
                      <w:u w:val="single"/>
                    </w:rPr>
                  </w:pPr>
                  <w:r>
                    <w:rPr>
                      <w:rFonts w:hint="eastAsia" w:ascii="宋体" w:hAnsi="宋体" w:eastAsia="宋体" w:cs="宋体"/>
                      <w:color w:val="auto"/>
                      <w:u w:val="single"/>
                    </w:rPr>
                    <w:t>废气治理</w:t>
                  </w:r>
                </w:p>
              </w:tc>
              <w:tc>
                <w:tcPr>
                  <w:tcW w:w="5383" w:type="dxa"/>
                  <w:vAlign w:val="center"/>
                </w:tcPr>
                <w:p w14:paraId="4A78CE6D">
                  <w:pPr>
                    <w:pStyle w:val="53"/>
                    <w:bidi w:val="0"/>
                    <w:spacing w:line="240" w:lineRule="auto"/>
                    <w:jc w:val="both"/>
                    <w:rPr>
                      <w:rFonts w:hint="eastAsia" w:ascii="宋体" w:hAnsi="宋体" w:eastAsia="宋体" w:cs="宋体"/>
                      <w:color w:val="auto"/>
                      <w:u w:val="single"/>
                      <w:lang w:val="en-US" w:eastAsia="zh-CN"/>
                    </w:rPr>
                  </w:pPr>
                  <w:r>
                    <w:rPr>
                      <w:rFonts w:hint="eastAsia" w:ascii="宋体" w:hAnsi="宋体" w:eastAsia="宋体" w:cs="宋体"/>
                      <w:color w:val="auto"/>
                      <w:u w:val="single"/>
                    </w:rPr>
                    <w:t>卸料、筛分、烘干、热风炉废气工段共用1套废气治理设施“</w:t>
                  </w:r>
                  <w:r>
                    <w:rPr>
                      <w:rFonts w:hint="eastAsia" w:ascii="宋体" w:hAnsi="宋体" w:eastAsia="宋体" w:cs="宋体"/>
                      <w:color w:val="auto"/>
                      <w:u w:val="single"/>
                      <w:lang w:val="en-US" w:eastAsia="zh-CN"/>
                    </w:rPr>
                    <w:t>沙克隆+</w:t>
                  </w:r>
                  <w:r>
                    <w:rPr>
                      <w:rFonts w:hint="eastAsia" w:ascii="宋体" w:hAnsi="宋体" w:eastAsia="宋体" w:cs="宋体"/>
                      <w:color w:val="auto"/>
                      <w:u w:val="single"/>
                    </w:rPr>
                    <w:t>沉降室</w:t>
                  </w:r>
                  <w:r>
                    <w:rPr>
                      <w:rFonts w:hint="eastAsia" w:ascii="宋体" w:hAnsi="宋体" w:eastAsia="宋体" w:cs="宋体"/>
                      <w:color w:val="auto"/>
                      <w:u w:val="single"/>
                      <w:lang w:val="en-US" w:eastAsia="zh-CN"/>
                    </w:rPr>
                    <w:t>+</w:t>
                  </w:r>
                  <w:r>
                    <w:rPr>
                      <w:rFonts w:hint="eastAsia" w:ascii="宋体" w:hAnsi="宋体" w:eastAsia="宋体" w:cs="宋体"/>
                      <w:color w:val="auto"/>
                      <w:u w:val="single"/>
                    </w:rPr>
                    <w:t>脉冲布袋除尘器”。沉降室位于烘干车间东侧，卸料、筛分、烘干粉尘、热风炉废气通过管道收集进入</w:t>
                  </w:r>
                  <w:r>
                    <w:rPr>
                      <w:rFonts w:hint="eastAsia" w:ascii="宋体" w:hAnsi="宋体" w:eastAsia="宋体" w:cs="宋体"/>
                      <w:color w:val="auto"/>
                      <w:u w:val="single"/>
                      <w:lang w:val="en-US" w:eastAsia="zh-CN"/>
                    </w:rPr>
                    <w:t>沙克隆处理</w:t>
                  </w:r>
                  <w:r>
                    <w:rPr>
                      <w:rFonts w:hint="eastAsia" w:ascii="宋体" w:hAnsi="宋体" w:eastAsia="宋体" w:cs="宋体"/>
                      <w:color w:val="auto"/>
                      <w:u w:val="single"/>
                    </w:rPr>
                    <w:t>，</w:t>
                  </w:r>
                  <w:r>
                    <w:rPr>
                      <w:rFonts w:hint="eastAsia" w:ascii="宋体" w:hAnsi="宋体" w:eastAsia="宋体" w:cs="宋体"/>
                      <w:color w:val="auto"/>
                      <w:u w:val="single"/>
                      <w:lang w:val="en-US" w:eastAsia="zh-CN"/>
                    </w:rPr>
                    <w:t>处理后烟气进入沉降室沉降</w:t>
                  </w:r>
                  <w:r>
                    <w:rPr>
                      <w:rFonts w:hint="eastAsia" w:ascii="宋体" w:hAnsi="宋体" w:eastAsia="宋体" w:cs="宋体"/>
                      <w:color w:val="auto"/>
                      <w:u w:val="single"/>
                    </w:rPr>
                    <w:t>再经脉冲布袋除尘器处理后排放，总排放口设置1根15m排气筒</w:t>
                  </w:r>
                  <w:r>
                    <w:rPr>
                      <w:rFonts w:hint="eastAsia" w:ascii="宋体" w:hAnsi="宋体" w:eastAsia="宋体" w:cs="宋体"/>
                      <w:color w:val="auto"/>
                      <w:u w:val="single"/>
                      <w:lang w:eastAsia="zh-CN"/>
                    </w:rPr>
                    <w:t>，</w:t>
                  </w:r>
                  <w:r>
                    <w:rPr>
                      <w:rFonts w:hint="eastAsia" w:ascii="宋体" w:hAnsi="宋体" w:eastAsia="宋体" w:cs="宋体"/>
                      <w:color w:val="auto"/>
                      <w:u w:val="single"/>
                      <w:lang w:val="en-US" w:eastAsia="zh-CN"/>
                    </w:rPr>
                    <w:t>无组织废气：</w:t>
                  </w:r>
                  <w:r>
                    <w:rPr>
                      <w:rFonts w:hint="eastAsia" w:ascii="宋体" w:hAnsi="宋体" w:eastAsia="宋体" w:cs="宋体"/>
                      <w:color w:val="auto"/>
                      <w:u w:val="single"/>
                    </w:rPr>
                    <w:t>配备吸尘清扫设施，经常性对车间地面、设备外表进行清洁，严格控制扬粉尘影响</w:t>
                  </w:r>
                  <w:r>
                    <w:rPr>
                      <w:rFonts w:hint="eastAsia" w:hAnsi="宋体" w:cs="宋体"/>
                      <w:color w:val="auto"/>
                      <w:u w:val="single"/>
                      <w:lang w:eastAsia="zh-CN"/>
                    </w:rPr>
                    <w:t>；</w:t>
                  </w:r>
                </w:p>
              </w:tc>
            </w:tr>
            <w:tr w14:paraId="0C342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366" w:type="dxa"/>
                  <w:vMerge w:val="continue"/>
                  <w:tcBorders>
                    <w:top w:val="nil"/>
                  </w:tcBorders>
                  <w:vAlign w:val="center"/>
                </w:tcPr>
                <w:p w14:paraId="67E51134">
                  <w:pPr>
                    <w:pStyle w:val="53"/>
                    <w:bidi w:val="0"/>
                    <w:spacing w:line="240" w:lineRule="auto"/>
                    <w:jc w:val="center"/>
                    <w:rPr>
                      <w:rFonts w:hint="default" w:ascii="Times New Roman" w:hAnsi="Times New Roman" w:cs="Times New Roman"/>
                      <w:color w:val="FF0000"/>
                    </w:rPr>
                  </w:pPr>
                </w:p>
              </w:tc>
              <w:tc>
                <w:tcPr>
                  <w:tcW w:w="1575" w:type="dxa"/>
                  <w:vAlign w:val="center"/>
                </w:tcPr>
                <w:p w14:paraId="7AFF1D74">
                  <w:pPr>
                    <w:pStyle w:val="53"/>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噪声治理</w:t>
                  </w:r>
                </w:p>
              </w:tc>
              <w:tc>
                <w:tcPr>
                  <w:tcW w:w="5383" w:type="dxa"/>
                  <w:vAlign w:val="center"/>
                </w:tcPr>
                <w:p w14:paraId="27FD27F3">
                  <w:pPr>
                    <w:pStyle w:val="53"/>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基础减振、厂房隔声、距离衰减。</w:t>
                  </w:r>
                </w:p>
              </w:tc>
            </w:tr>
            <w:tr w14:paraId="4B134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366" w:type="dxa"/>
                  <w:vMerge w:val="continue"/>
                  <w:tcBorders>
                    <w:top w:val="nil"/>
                  </w:tcBorders>
                  <w:vAlign w:val="center"/>
                </w:tcPr>
                <w:p w14:paraId="457826AB">
                  <w:pPr>
                    <w:pStyle w:val="53"/>
                    <w:bidi w:val="0"/>
                    <w:spacing w:line="240" w:lineRule="auto"/>
                    <w:jc w:val="center"/>
                    <w:rPr>
                      <w:rFonts w:hint="default" w:ascii="Times New Roman" w:hAnsi="Times New Roman" w:cs="Times New Roman"/>
                      <w:color w:val="FF0000"/>
                    </w:rPr>
                  </w:pPr>
                </w:p>
              </w:tc>
              <w:tc>
                <w:tcPr>
                  <w:tcW w:w="1575" w:type="dxa"/>
                  <w:vAlign w:val="center"/>
                </w:tcPr>
                <w:p w14:paraId="273C16B2">
                  <w:pPr>
                    <w:pStyle w:val="53"/>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固废处置</w:t>
                  </w:r>
                </w:p>
              </w:tc>
              <w:tc>
                <w:tcPr>
                  <w:tcW w:w="5383" w:type="dxa"/>
                  <w:vAlign w:val="center"/>
                </w:tcPr>
                <w:p w14:paraId="5EC20931">
                  <w:pPr>
                    <w:pStyle w:val="53"/>
                    <w:bidi w:val="0"/>
                    <w:spacing w:line="240" w:lineRule="auto"/>
                    <w:jc w:val="center"/>
                    <w:rPr>
                      <w:rFonts w:hint="default" w:ascii="Times New Roman" w:hAnsi="Times New Roman" w:cs="Times New Roman"/>
                      <w:color w:val="auto"/>
                    </w:rPr>
                  </w:pPr>
                  <w:r>
                    <w:rPr>
                      <w:rFonts w:hint="default" w:ascii="Times New Roman" w:hAnsi="Times New Roman" w:cs="Times New Roman"/>
                      <w:color w:val="auto"/>
                    </w:rPr>
                    <w:t>生活垃圾</w:t>
                  </w:r>
                  <w:r>
                    <w:rPr>
                      <w:rFonts w:hint="eastAsia" w:ascii="Times New Roman" w:cs="Times New Roman"/>
                      <w:color w:val="auto"/>
                      <w:lang w:val="en-US" w:eastAsia="zh-CN"/>
                    </w:rPr>
                    <w:t>交</w:t>
                  </w:r>
                  <w:r>
                    <w:rPr>
                      <w:rFonts w:hint="eastAsia" w:ascii="Times New Roman" w:hAnsi="Times New Roman" w:cs="Times New Roman"/>
                      <w:color w:val="auto"/>
                      <w:lang w:val="en-US" w:eastAsia="zh-CN"/>
                    </w:rPr>
                    <w:t>由环卫部门清运处置</w:t>
                  </w:r>
                  <w:r>
                    <w:rPr>
                      <w:rFonts w:hint="default" w:ascii="Times New Roman" w:hAnsi="Times New Roman" w:cs="Times New Roman"/>
                      <w:color w:val="auto"/>
                    </w:rPr>
                    <w:t>。</w:t>
                  </w:r>
                  <w:r>
                    <w:rPr>
                      <w:rFonts w:hint="eastAsia" w:ascii="Times New Roman" w:hAnsi="Times New Roman" w:cs="Times New Roman"/>
                      <w:color w:val="auto"/>
                      <w:lang w:val="en-US" w:eastAsia="zh-CN"/>
                    </w:rPr>
                    <w:t>筛分杂质及布袋除尘器收集粉尘袋装收集后用于合作社堆沤农家肥</w:t>
                  </w:r>
                  <w:r>
                    <w:rPr>
                      <w:rFonts w:hint="default" w:ascii="Times New Roman" w:hAnsi="Times New Roman" w:cs="Times New Roman"/>
                      <w:color w:val="auto"/>
                    </w:rPr>
                    <w:t>；</w:t>
                  </w:r>
                  <w:r>
                    <w:rPr>
                      <w:rFonts w:hint="eastAsia" w:ascii="Times New Roman" w:hAnsi="Times New Roman" w:cs="Times New Roman"/>
                      <w:color w:val="auto"/>
                      <w:lang w:val="en-US" w:eastAsia="zh-CN"/>
                    </w:rPr>
                    <w:t>炉渣</w:t>
                  </w:r>
                  <w:r>
                    <w:rPr>
                      <w:rFonts w:hint="default" w:ascii="Times New Roman" w:hAnsi="Times New Roman" w:cs="Times New Roman"/>
                      <w:color w:val="auto"/>
                    </w:rPr>
                    <w:t>炉灰袋装外售做农肥综合利用。</w:t>
                  </w:r>
                </w:p>
              </w:tc>
            </w:tr>
          </w:tbl>
          <w:p w14:paraId="47EDFE46">
            <w:pPr>
              <w:spacing w:line="360" w:lineRule="auto"/>
              <w:ind w:firstLine="472" w:firstLineChars="196"/>
              <w:textAlignment w:val="center"/>
              <w:rPr>
                <w:rFonts w:hint="eastAsia" w:ascii="宋体" w:hAnsi="宋体" w:eastAsia="宋体" w:cs="宋体"/>
                <w:b/>
                <w:bCs/>
                <w:color w:val="auto"/>
                <w:sz w:val="24"/>
                <w:lang w:val="en-GB"/>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lang w:val="en-GB"/>
              </w:rPr>
              <w:t>、产品方案</w:t>
            </w:r>
          </w:p>
          <w:p w14:paraId="67C52880">
            <w:pPr>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项目主要产品方案详见下表。</w:t>
            </w:r>
          </w:p>
          <w:p w14:paraId="46980200">
            <w:pPr>
              <w:pStyle w:val="41"/>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1"/>
                <w:szCs w:val="21"/>
                <w:lang w:val="en-GB"/>
              </w:rPr>
            </w:pPr>
            <w:r>
              <w:rPr>
                <w:rFonts w:hint="eastAsia" w:ascii="宋体" w:hAnsi="宋体" w:eastAsia="宋体" w:cs="宋体"/>
                <w:b/>
                <w:bCs/>
                <w:color w:val="auto"/>
                <w:sz w:val="21"/>
                <w:szCs w:val="21"/>
                <w:lang w:val="en-GB"/>
              </w:rPr>
              <w:t>表</w:t>
            </w:r>
            <w:r>
              <w:rPr>
                <w:rFonts w:hint="eastAsia" w:ascii="宋体" w:hAnsi="宋体" w:eastAsia="宋体" w:cs="宋体"/>
                <w:b/>
                <w:bCs/>
                <w:color w:val="auto"/>
                <w:sz w:val="21"/>
                <w:szCs w:val="21"/>
              </w:rPr>
              <w:t>2-2</w:t>
            </w:r>
            <w:r>
              <w:rPr>
                <w:rFonts w:hint="eastAsia" w:hAnsi="宋体" w:cs="宋体"/>
                <w:b/>
                <w:bCs/>
                <w:color w:val="auto"/>
                <w:sz w:val="21"/>
                <w:szCs w:val="21"/>
                <w:lang w:val="en-US" w:eastAsia="zh-CN"/>
              </w:rPr>
              <w:t xml:space="preserve"> </w:t>
            </w:r>
            <w:r>
              <w:rPr>
                <w:rFonts w:hint="eastAsia" w:ascii="宋体" w:hAnsi="宋体" w:eastAsia="宋体" w:cs="宋体"/>
                <w:b/>
                <w:bCs/>
                <w:color w:val="auto"/>
                <w:sz w:val="21"/>
                <w:szCs w:val="21"/>
                <w:lang w:val="en-GB" w:eastAsia="zh-CN"/>
              </w:rPr>
              <w:t>项目</w:t>
            </w:r>
            <w:r>
              <w:rPr>
                <w:rFonts w:hint="eastAsia" w:ascii="宋体" w:hAnsi="宋体" w:eastAsia="宋体" w:cs="宋体"/>
                <w:b/>
                <w:bCs/>
                <w:color w:val="auto"/>
                <w:sz w:val="21"/>
                <w:szCs w:val="21"/>
                <w:lang w:val="en-GB"/>
              </w:rPr>
              <w:t>产品方案一览表</w:t>
            </w:r>
          </w:p>
          <w:tbl>
            <w:tblPr>
              <w:tblStyle w:val="2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072"/>
              <w:gridCol w:w="2807"/>
              <w:gridCol w:w="2461"/>
            </w:tblGrid>
            <w:tr w14:paraId="49448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841" w:type="pct"/>
                  <w:vAlign w:val="center"/>
                </w:tcPr>
                <w:p w14:paraId="0F8A78A5">
                  <w:pPr>
                    <w:pStyle w:val="68"/>
                    <w:bidi w:val="0"/>
                    <w:jc w:val="center"/>
                    <w:rPr>
                      <w:rFonts w:hint="eastAsia" w:ascii="宋体" w:hAnsi="宋体" w:eastAsia="宋体" w:cs="宋体"/>
                      <w:b/>
                      <w:bCs/>
                      <w:color w:val="auto"/>
                    </w:rPr>
                  </w:pPr>
                  <w:r>
                    <w:rPr>
                      <w:rFonts w:hint="eastAsia" w:ascii="宋体" w:hAnsi="宋体" w:eastAsia="宋体" w:cs="宋体"/>
                      <w:b/>
                      <w:bCs/>
                      <w:color w:val="auto"/>
                    </w:rPr>
                    <w:t>产品名称</w:t>
                  </w:r>
                </w:p>
              </w:tc>
              <w:tc>
                <w:tcPr>
                  <w:tcW w:w="1682" w:type="pct"/>
                  <w:vAlign w:val="center"/>
                </w:tcPr>
                <w:p w14:paraId="0BF96E47">
                  <w:pPr>
                    <w:pStyle w:val="68"/>
                    <w:bidi w:val="0"/>
                    <w:jc w:val="center"/>
                    <w:rPr>
                      <w:rFonts w:hint="eastAsia" w:ascii="宋体" w:hAnsi="宋体" w:eastAsia="宋体" w:cs="宋体"/>
                      <w:b/>
                      <w:bCs/>
                      <w:color w:val="auto"/>
                    </w:rPr>
                  </w:pPr>
                  <w:r>
                    <w:rPr>
                      <w:rFonts w:hint="eastAsia" w:ascii="宋体" w:hAnsi="宋体" w:eastAsia="宋体" w:cs="宋体"/>
                      <w:b/>
                      <w:bCs/>
                      <w:color w:val="auto"/>
                    </w:rPr>
                    <w:t>单位</w:t>
                  </w:r>
                </w:p>
              </w:tc>
              <w:tc>
                <w:tcPr>
                  <w:tcW w:w="1475" w:type="pct"/>
                  <w:vAlign w:val="center"/>
                </w:tcPr>
                <w:p w14:paraId="603B4AD4">
                  <w:pPr>
                    <w:pStyle w:val="68"/>
                    <w:bidi w:val="0"/>
                    <w:jc w:val="center"/>
                    <w:rPr>
                      <w:rFonts w:hint="eastAsia" w:ascii="宋体" w:hAnsi="宋体" w:eastAsia="宋体" w:cs="宋体"/>
                      <w:b/>
                      <w:bCs/>
                      <w:color w:val="auto"/>
                    </w:rPr>
                  </w:pPr>
                  <w:r>
                    <w:rPr>
                      <w:rFonts w:hint="eastAsia" w:ascii="宋体" w:hAnsi="宋体" w:eastAsia="宋体" w:cs="宋体"/>
                      <w:b/>
                      <w:bCs/>
                      <w:color w:val="auto"/>
                    </w:rPr>
                    <w:t>产品产量</w:t>
                  </w:r>
                </w:p>
              </w:tc>
            </w:tr>
            <w:tr w14:paraId="2A92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841" w:type="pct"/>
                  <w:vAlign w:val="center"/>
                </w:tcPr>
                <w:p w14:paraId="31B182FA">
                  <w:pPr>
                    <w:pStyle w:val="68"/>
                    <w:bidi w:val="0"/>
                    <w:jc w:val="center"/>
                    <w:rPr>
                      <w:rFonts w:hint="eastAsia" w:ascii="宋体" w:hAnsi="宋体" w:eastAsia="宋体" w:cs="宋体"/>
                      <w:color w:val="auto"/>
                    </w:rPr>
                  </w:pPr>
                  <w:r>
                    <w:rPr>
                      <w:rFonts w:hint="eastAsia" w:ascii="宋体" w:hAnsi="宋体" w:eastAsia="宋体" w:cs="宋体"/>
                      <w:color w:val="auto"/>
                    </w:rPr>
                    <w:t>水稻（干燥后</w:t>
                  </w:r>
                  <w:r>
                    <w:rPr>
                      <w:rFonts w:hint="eastAsia" w:ascii="宋体" w:hAnsi="宋体" w:eastAsia="宋体" w:cs="宋体"/>
                      <w:color w:val="auto"/>
                      <w:lang w:val="en-US" w:eastAsia="zh-CN"/>
                    </w:rPr>
                    <w:t>13.5%</w:t>
                  </w:r>
                  <w:r>
                    <w:rPr>
                      <w:rFonts w:hint="eastAsia" w:ascii="宋体" w:hAnsi="宋体" w:eastAsia="宋体" w:cs="宋体"/>
                      <w:color w:val="auto"/>
                    </w:rPr>
                    <w:t>）</w:t>
                  </w:r>
                </w:p>
              </w:tc>
              <w:tc>
                <w:tcPr>
                  <w:tcW w:w="1682" w:type="pct"/>
                  <w:vAlign w:val="center"/>
                </w:tcPr>
                <w:p w14:paraId="3AD4607F">
                  <w:pPr>
                    <w:pStyle w:val="68"/>
                    <w:bidi w:val="0"/>
                    <w:jc w:val="center"/>
                    <w:rPr>
                      <w:rFonts w:hint="eastAsia" w:ascii="宋体" w:hAnsi="宋体" w:eastAsia="宋体" w:cs="宋体"/>
                      <w:color w:val="auto"/>
                    </w:rPr>
                  </w:pPr>
                  <w:r>
                    <w:rPr>
                      <w:rFonts w:hint="eastAsia" w:ascii="宋体" w:hAnsi="宋体" w:eastAsia="宋体" w:cs="宋体"/>
                      <w:color w:val="auto"/>
                    </w:rPr>
                    <w:t>t/a</w:t>
                  </w:r>
                </w:p>
              </w:tc>
              <w:tc>
                <w:tcPr>
                  <w:tcW w:w="1475" w:type="pct"/>
                  <w:vAlign w:val="center"/>
                </w:tcPr>
                <w:p w14:paraId="7AC5CEC0">
                  <w:pPr>
                    <w:pStyle w:val="68"/>
                    <w:bidi w:val="0"/>
                    <w:jc w:val="center"/>
                    <w:rPr>
                      <w:rFonts w:hint="default" w:ascii="宋体" w:hAnsi="宋体" w:eastAsia="宋体" w:cs="宋体"/>
                      <w:color w:val="auto"/>
                      <w:lang w:val="en-US" w:eastAsia="zh-CN"/>
                    </w:rPr>
                  </w:pPr>
                  <w:r>
                    <w:rPr>
                      <w:rFonts w:hint="eastAsia" w:ascii="宋体" w:hAnsi="宋体" w:cs="宋体"/>
                      <w:color w:val="auto"/>
                      <w:lang w:val="en-US" w:eastAsia="zh-CN"/>
                    </w:rPr>
                    <w:t>10000</w:t>
                  </w:r>
                </w:p>
              </w:tc>
            </w:tr>
          </w:tbl>
          <w:p w14:paraId="443937F0">
            <w:pPr>
              <w:spacing w:before="120" w:beforeLines="50" w:line="360" w:lineRule="auto"/>
              <w:ind w:firstLine="482" w:firstLineChars="200"/>
              <w:rPr>
                <w:rFonts w:hint="eastAsia" w:ascii="宋体" w:hAnsi="宋体" w:eastAsia="宋体" w:cs="宋体"/>
                <w:b/>
                <w:color w:val="auto"/>
                <w:sz w:val="24"/>
                <w:lang w:val="en-GB"/>
              </w:rPr>
            </w:pPr>
            <w:r>
              <w:rPr>
                <w:rFonts w:hint="eastAsia" w:ascii="宋体" w:hAnsi="宋体" w:eastAsia="宋体" w:cs="宋体"/>
                <w:b/>
                <w:color w:val="auto"/>
                <w:sz w:val="24"/>
                <w:lang w:val="en-US" w:eastAsia="zh-CN"/>
              </w:rPr>
              <w:t>3</w:t>
            </w:r>
            <w:r>
              <w:rPr>
                <w:rFonts w:hint="eastAsia" w:ascii="宋体" w:hAnsi="宋体" w:eastAsia="宋体" w:cs="宋体"/>
                <w:b/>
                <w:color w:val="auto"/>
                <w:sz w:val="24"/>
                <w:lang w:val="en-GB"/>
              </w:rPr>
              <w:t>、主要设备及数量</w:t>
            </w:r>
          </w:p>
          <w:p w14:paraId="1845E1CD">
            <w:pPr>
              <w:spacing w:line="276"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本项目主要设备见下表。</w:t>
            </w:r>
          </w:p>
          <w:p w14:paraId="0E858960">
            <w:pPr>
              <w:pStyle w:val="41"/>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1"/>
                <w:szCs w:val="21"/>
                <w:lang w:val="en-GB"/>
              </w:rPr>
            </w:pPr>
            <w:r>
              <w:rPr>
                <w:rFonts w:hint="eastAsia" w:ascii="宋体" w:hAnsi="宋体" w:eastAsia="宋体" w:cs="宋体"/>
                <w:b/>
                <w:bCs/>
                <w:color w:val="auto"/>
                <w:sz w:val="21"/>
                <w:szCs w:val="21"/>
                <w:lang w:val="en-GB"/>
              </w:rPr>
              <w:t>表</w:t>
            </w: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en-US" w:eastAsia="zh-CN"/>
              </w:rPr>
              <w:t xml:space="preserve">3 </w:t>
            </w:r>
            <w:r>
              <w:rPr>
                <w:rFonts w:hint="eastAsia" w:ascii="宋体" w:hAnsi="宋体" w:eastAsia="宋体" w:cs="宋体"/>
                <w:b/>
                <w:bCs/>
                <w:color w:val="auto"/>
                <w:sz w:val="21"/>
                <w:szCs w:val="21"/>
                <w:lang w:val="en-GB" w:eastAsia="zh-CN"/>
              </w:rPr>
              <w:t>项目</w:t>
            </w:r>
            <w:r>
              <w:rPr>
                <w:rFonts w:hint="eastAsia" w:ascii="宋体" w:hAnsi="宋体" w:eastAsia="宋体" w:cs="宋体"/>
                <w:b/>
                <w:bCs/>
                <w:color w:val="auto"/>
                <w:sz w:val="21"/>
                <w:szCs w:val="21"/>
                <w:lang w:val="en-GB"/>
              </w:rPr>
              <w:t>主要设备一览表</w:t>
            </w:r>
          </w:p>
          <w:tbl>
            <w:tblPr>
              <w:tblStyle w:val="2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1"/>
              <w:gridCol w:w="2668"/>
              <w:gridCol w:w="1022"/>
              <w:gridCol w:w="1652"/>
              <w:gridCol w:w="2436"/>
            </w:tblGrid>
            <w:tr w14:paraId="2C017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36" w:type="pct"/>
                  <w:vAlign w:val="center"/>
                </w:tcPr>
                <w:p w14:paraId="6CEC94BA">
                  <w:pPr>
                    <w:pStyle w:val="83"/>
                    <w:spacing w:before="49"/>
                    <w:ind w:left="173" w:right="167"/>
                    <w:jc w:val="center"/>
                    <w:rPr>
                      <w:rFonts w:hint="eastAsia" w:ascii="宋体" w:hAnsi="宋体" w:eastAsia="宋体" w:cs="宋体"/>
                      <w:b/>
                      <w:color w:val="auto"/>
                      <w:sz w:val="21"/>
                    </w:rPr>
                  </w:pPr>
                  <w:r>
                    <w:rPr>
                      <w:rFonts w:hint="eastAsia" w:ascii="宋体" w:hAnsi="宋体" w:eastAsia="宋体" w:cs="宋体"/>
                      <w:b/>
                      <w:color w:val="auto"/>
                      <w:sz w:val="21"/>
                    </w:rPr>
                    <w:t>序号</w:t>
                  </w:r>
                </w:p>
              </w:tc>
              <w:tc>
                <w:tcPr>
                  <w:tcW w:w="1599" w:type="pct"/>
                  <w:vAlign w:val="center"/>
                </w:tcPr>
                <w:p w14:paraId="55696C89">
                  <w:pPr>
                    <w:pStyle w:val="83"/>
                    <w:spacing w:before="49"/>
                    <w:ind w:left="1005" w:right="996"/>
                    <w:jc w:val="center"/>
                    <w:rPr>
                      <w:rFonts w:hint="eastAsia" w:ascii="宋体" w:hAnsi="宋体" w:eastAsia="宋体" w:cs="宋体"/>
                      <w:b/>
                      <w:color w:val="auto"/>
                      <w:sz w:val="21"/>
                    </w:rPr>
                  </w:pPr>
                  <w:r>
                    <w:rPr>
                      <w:rFonts w:hint="eastAsia" w:ascii="宋体" w:hAnsi="宋体" w:eastAsia="宋体" w:cs="宋体"/>
                      <w:b/>
                      <w:color w:val="auto"/>
                      <w:sz w:val="21"/>
                    </w:rPr>
                    <w:t>设备名称</w:t>
                  </w:r>
                </w:p>
              </w:tc>
              <w:tc>
                <w:tcPr>
                  <w:tcW w:w="612" w:type="pct"/>
                  <w:vAlign w:val="center"/>
                </w:tcPr>
                <w:p w14:paraId="4BF3E260">
                  <w:pPr>
                    <w:pStyle w:val="83"/>
                    <w:spacing w:before="49"/>
                    <w:ind w:left="192" w:right="187"/>
                    <w:jc w:val="center"/>
                    <w:rPr>
                      <w:rFonts w:hint="eastAsia" w:ascii="宋体" w:hAnsi="宋体" w:eastAsia="宋体" w:cs="宋体"/>
                      <w:b/>
                      <w:color w:val="auto"/>
                      <w:sz w:val="21"/>
                    </w:rPr>
                  </w:pPr>
                  <w:r>
                    <w:rPr>
                      <w:rFonts w:hint="eastAsia" w:ascii="宋体" w:hAnsi="宋体" w:eastAsia="宋体" w:cs="宋体"/>
                      <w:b/>
                      <w:color w:val="auto"/>
                      <w:sz w:val="21"/>
                    </w:rPr>
                    <w:t>数量（台）</w:t>
                  </w:r>
                </w:p>
              </w:tc>
              <w:tc>
                <w:tcPr>
                  <w:tcW w:w="990" w:type="pct"/>
                  <w:vAlign w:val="center"/>
                </w:tcPr>
                <w:p w14:paraId="6F56F17A">
                  <w:pPr>
                    <w:pStyle w:val="83"/>
                    <w:spacing w:before="49"/>
                    <w:ind w:left="158" w:right="150"/>
                    <w:jc w:val="center"/>
                    <w:rPr>
                      <w:rFonts w:hint="eastAsia" w:ascii="宋体" w:hAnsi="宋体" w:eastAsia="宋体" w:cs="宋体"/>
                      <w:b/>
                      <w:color w:val="auto"/>
                      <w:sz w:val="21"/>
                    </w:rPr>
                  </w:pPr>
                  <w:r>
                    <w:rPr>
                      <w:rFonts w:hint="eastAsia" w:ascii="宋体" w:hAnsi="宋体" w:eastAsia="宋体" w:cs="宋体"/>
                      <w:b/>
                      <w:color w:val="auto"/>
                      <w:sz w:val="21"/>
                    </w:rPr>
                    <w:t>型号</w:t>
                  </w:r>
                </w:p>
              </w:tc>
              <w:tc>
                <w:tcPr>
                  <w:tcW w:w="1460" w:type="pct"/>
                  <w:vAlign w:val="center"/>
                </w:tcPr>
                <w:p w14:paraId="3C33D09D">
                  <w:pPr>
                    <w:pStyle w:val="83"/>
                    <w:spacing w:before="49"/>
                    <w:ind w:left="158" w:right="150"/>
                    <w:jc w:val="center"/>
                    <w:rPr>
                      <w:rFonts w:hint="eastAsia" w:ascii="宋体" w:hAnsi="宋体" w:eastAsia="宋体" w:cs="宋体"/>
                      <w:b/>
                      <w:color w:val="auto"/>
                      <w:sz w:val="21"/>
                      <w:lang w:val="en-US" w:eastAsia="zh-CN"/>
                    </w:rPr>
                  </w:pPr>
                  <w:r>
                    <w:rPr>
                      <w:rFonts w:hint="eastAsia" w:ascii="宋体" w:hAnsi="宋体" w:eastAsia="宋体" w:cs="宋体"/>
                      <w:b/>
                      <w:color w:val="auto"/>
                      <w:sz w:val="21"/>
                      <w:lang w:val="en-US" w:eastAsia="zh-CN"/>
                    </w:rPr>
                    <w:t>备注</w:t>
                  </w:r>
                </w:p>
              </w:tc>
            </w:tr>
            <w:tr w14:paraId="535C0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36" w:type="pct"/>
                  <w:vAlign w:val="center"/>
                </w:tcPr>
                <w:p w14:paraId="23E48B0C">
                  <w:pPr>
                    <w:pStyle w:val="83"/>
                    <w:spacing w:before="64"/>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w:t>
                  </w:r>
                </w:p>
              </w:tc>
              <w:tc>
                <w:tcPr>
                  <w:tcW w:w="1599" w:type="pct"/>
                  <w:vAlign w:val="center"/>
                </w:tcPr>
                <w:p w14:paraId="12A99AE3">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批示谷物干燥机</w:t>
                  </w:r>
                </w:p>
              </w:tc>
              <w:tc>
                <w:tcPr>
                  <w:tcW w:w="612" w:type="pct"/>
                  <w:vAlign w:val="center"/>
                </w:tcPr>
                <w:p w14:paraId="6B749351">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10</w:t>
                  </w:r>
                </w:p>
              </w:tc>
              <w:tc>
                <w:tcPr>
                  <w:tcW w:w="990" w:type="pct"/>
                  <w:vAlign w:val="center"/>
                </w:tcPr>
                <w:p w14:paraId="776DABCA">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5HXG-30E</w:t>
                  </w:r>
                </w:p>
              </w:tc>
              <w:tc>
                <w:tcPr>
                  <w:tcW w:w="1460" w:type="pct"/>
                  <w:vAlign w:val="center"/>
                </w:tcPr>
                <w:p w14:paraId="2759BEAC">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批示谷物干燥机</w:t>
                  </w:r>
                </w:p>
              </w:tc>
            </w:tr>
            <w:tr w14:paraId="669EC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36" w:type="pct"/>
                  <w:vAlign w:val="center"/>
                </w:tcPr>
                <w:p w14:paraId="20BAD7DF">
                  <w:pPr>
                    <w:pStyle w:val="83"/>
                    <w:spacing w:before="64"/>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w:t>
                  </w:r>
                </w:p>
              </w:tc>
              <w:tc>
                <w:tcPr>
                  <w:tcW w:w="1599" w:type="pct"/>
                  <w:vAlign w:val="center"/>
                </w:tcPr>
                <w:p w14:paraId="7448A15C">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提升机</w:t>
                  </w:r>
                </w:p>
              </w:tc>
              <w:tc>
                <w:tcPr>
                  <w:tcW w:w="612" w:type="pct"/>
                  <w:vAlign w:val="center"/>
                </w:tcPr>
                <w:p w14:paraId="0351EE9E">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1</w:t>
                  </w:r>
                </w:p>
              </w:tc>
              <w:tc>
                <w:tcPr>
                  <w:tcW w:w="990" w:type="pct"/>
                  <w:vAlign w:val="center"/>
                </w:tcPr>
                <w:p w14:paraId="1F4435A9">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5HXG-30E</w:t>
                  </w:r>
                </w:p>
              </w:tc>
              <w:tc>
                <w:tcPr>
                  <w:tcW w:w="1460" w:type="pct"/>
                  <w:vAlign w:val="center"/>
                </w:tcPr>
                <w:p w14:paraId="290C0A36">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提升机</w:t>
                  </w:r>
                </w:p>
              </w:tc>
            </w:tr>
            <w:tr w14:paraId="0A433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36" w:type="pct"/>
                  <w:vAlign w:val="center"/>
                </w:tcPr>
                <w:p w14:paraId="2BB1DF8A">
                  <w:pPr>
                    <w:pStyle w:val="83"/>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w:t>
                  </w:r>
                </w:p>
              </w:tc>
              <w:tc>
                <w:tcPr>
                  <w:tcW w:w="1599" w:type="pct"/>
                  <w:vAlign w:val="center"/>
                </w:tcPr>
                <w:p w14:paraId="37A9F244">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清理筛（旋振筛）</w:t>
                  </w:r>
                </w:p>
              </w:tc>
              <w:tc>
                <w:tcPr>
                  <w:tcW w:w="612" w:type="pct"/>
                  <w:vAlign w:val="center"/>
                </w:tcPr>
                <w:p w14:paraId="526E5AF2">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1</w:t>
                  </w:r>
                </w:p>
              </w:tc>
              <w:tc>
                <w:tcPr>
                  <w:tcW w:w="990" w:type="pct"/>
                  <w:vAlign w:val="center"/>
                </w:tcPr>
                <w:p w14:paraId="6443E72A">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5HXG-30E</w:t>
                  </w:r>
                </w:p>
              </w:tc>
              <w:tc>
                <w:tcPr>
                  <w:tcW w:w="1460" w:type="pct"/>
                  <w:vAlign w:val="center"/>
                </w:tcPr>
                <w:p w14:paraId="38CA4890">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清理筛（旋振筛）</w:t>
                  </w:r>
                </w:p>
              </w:tc>
            </w:tr>
            <w:tr w14:paraId="205D7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36" w:type="pct"/>
                  <w:vAlign w:val="center"/>
                </w:tcPr>
                <w:p w14:paraId="1B834592">
                  <w:pPr>
                    <w:pStyle w:val="83"/>
                    <w:spacing w:before="64"/>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w:t>
                  </w:r>
                </w:p>
              </w:tc>
              <w:tc>
                <w:tcPr>
                  <w:tcW w:w="1599" w:type="pct"/>
                  <w:vAlign w:val="center"/>
                </w:tcPr>
                <w:p w14:paraId="4AC97A3C">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刮板输送机</w:t>
                  </w:r>
                </w:p>
              </w:tc>
              <w:tc>
                <w:tcPr>
                  <w:tcW w:w="612" w:type="pct"/>
                  <w:vAlign w:val="center"/>
                </w:tcPr>
                <w:p w14:paraId="1AA9AD25">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1</w:t>
                  </w:r>
                </w:p>
              </w:tc>
              <w:tc>
                <w:tcPr>
                  <w:tcW w:w="990" w:type="pct"/>
                  <w:vAlign w:val="center"/>
                </w:tcPr>
                <w:p w14:paraId="1BC18F09">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50型</w:t>
                  </w:r>
                </w:p>
              </w:tc>
              <w:tc>
                <w:tcPr>
                  <w:tcW w:w="1460" w:type="pct"/>
                  <w:vAlign w:val="center"/>
                </w:tcPr>
                <w:p w14:paraId="38CF0480">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刮板输送机</w:t>
                  </w:r>
                </w:p>
              </w:tc>
            </w:tr>
            <w:tr w14:paraId="48B10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36" w:type="pct"/>
                  <w:vAlign w:val="center"/>
                </w:tcPr>
                <w:p w14:paraId="3A374630">
                  <w:pPr>
                    <w:pStyle w:val="83"/>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w:t>
                  </w:r>
                </w:p>
              </w:tc>
              <w:tc>
                <w:tcPr>
                  <w:tcW w:w="1599" w:type="pct"/>
                  <w:vAlign w:val="center"/>
                </w:tcPr>
                <w:p w14:paraId="2AA90C69">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皮带输送机</w:t>
                  </w:r>
                </w:p>
              </w:tc>
              <w:tc>
                <w:tcPr>
                  <w:tcW w:w="612" w:type="pct"/>
                  <w:vAlign w:val="center"/>
                </w:tcPr>
                <w:p w14:paraId="523B6BBE">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2</w:t>
                  </w:r>
                </w:p>
              </w:tc>
              <w:tc>
                <w:tcPr>
                  <w:tcW w:w="990" w:type="pct"/>
                  <w:vAlign w:val="center"/>
                </w:tcPr>
                <w:p w14:paraId="72BDD601">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60型</w:t>
                  </w:r>
                </w:p>
              </w:tc>
              <w:tc>
                <w:tcPr>
                  <w:tcW w:w="1460" w:type="pct"/>
                  <w:vAlign w:val="center"/>
                </w:tcPr>
                <w:p w14:paraId="15481BD4">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皮带输送机</w:t>
                  </w:r>
                </w:p>
              </w:tc>
            </w:tr>
            <w:tr w14:paraId="5B168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36" w:type="pct"/>
                  <w:vAlign w:val="center"/>
                </w:tcPr>
                <w:p w14:paraId="62B891E7">
                  <w:pPr>
                    <w:pStyle w:val="83"/>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w:t>
                  </w:r>
                </w:p>
              </w:tc>
              <w:tc>
                <w:tcPr>
                  <w:tcW w:w="1599" w:type="pct"/>
                  <w:vAlign w:val="center"/>
                </w:tcPr>
                <w:p w14:paraId="6371E775">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生物质热风炉</w:t>
                  </w:r>
                </w:p>
              </w:tc>
              <w:tc>
                <w:tcPr>
                  <w:tcW w:w="612" w:type="pct"/>
                  <w:vAlign w:val="center"/>
                </w:tcPr>
                <w:p w14:paraId="01435F66">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990" w:type="pct"/>
                  <w:vAlign w:val="center"/>
                </w:tcPr>
                <w:p w14:paraId="073F1EF7">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GY-D800</w:t>
                  </w:r>
                </w:p>
              </w:tc>
              <w:tc>
                <w:tcPr>
                  <w:tcW w:w="1460" w:type="pct"/>
                  <w:vAlign w:val="center"/>
                </w:tcPr>
                <w:p w14:paraId="791519B8">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生物质热风炉</w:t>
                  </w:r>
                </w:p>
              </w:tc>
            </w:tr>
            <w:tr w14:paraId="0ADA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36" w:type="pct"/>
                  <w:vAlign w:val="center"/>
                </w:tcPr>
                <w:p w14:paraId="48A6C09B">
                  <w:pPr>
                    <w:pStyle w:val="83"/>
                    <w:spacing w:before="63"/>
                    <w:ind w:left="7"/>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w:t>
                  </w:r>
                </w:p>
              </w:tc>
              <w:tc>
                <w:tcPr>
                  <w:tcW w:w="1599" w:type="pct"/>
                  <w:vAlign w:val="center"/>
                </w:tcPr>
                <w:p w14:paraId="2DB626FA">
                  <w:pPr>
                    <w:pStyle w:val="68"/>
                    <w:bidi w:val="0"/>
                    <w:jc w:val="center"/>
                    <w:rPr>
                      <w:rFonts w:hint="eastAsia" w:ascii="宋体" w:hAnsi="宋体" w:eastAsia="宋体" w:cs="宋体"/>
                      <w:color w:val="auto"/>
                      <w:lang w:val="en-US" w:eastAsia="zh-CN"/>
                    </w:rPr>
                  </w:pPr>
                  <w:r>
                    <w:rPr>
                      <w:rFonts w:hint="eastAsia" w:ascii="宋体" w:hAnsi="宋体" w:cs="宋体"/>
                      <w:color w:val="auto"/>
                      <w:lang w:val="en-US" w:eastAsia="zh-CN"/>
                    </w:rPr>
                    <w:t>旋风+</w:t>
                  </w:r>
                  <w:r>
                    <w:rPr>
                      <w:rFonts w:hint="eastAsia" w:ascii="宋体" w:hAnsi="宋体" w:eastAsia="宋体" w:cs="宋体"/>
                      <w:color w:val="auto"/>
                    </w:rPr>
                    <w:t>布袋除尘器</w:t>
                  </w:r>
                </w:p>
              </w:tc>
              <w:tc>
                <w:tcPr>
                  <w:tcW w:w="612" w:type="pct"/>
                  <w:vAlign w:val="center"/>
                </w:tcPr>
                <w:p w14:paraId="2E5021AD">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1（套）</w:t>
                  </w:r>
                </w:p>
              </w:tc>
              <w:tc>
                <w:tcPr>
                  <w:tcW w:w="990" w:type="pct"/>
                  <w:vAlign w:val="center"/>
                </w:tcPr>
                <w:p w14:paraId="25A481A9">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30cm</w:t>
                  </w:r>
                </w:p>
              </w:tc>
              <w:tc>
                <w:tcPr>
                  <w:tcW w:w="1460" w:type="pct"/>
                  <w:vAlign w:val="center"/>
                </w:tcPr>
                <w:p w14:paraId="6AF9DB94">
                  <w:pPr>
                    <w:pStyle w:val="68"/>
                    <w:bidi w:val="0"/>
                    <w:jc w:val="center"/>
                    <w:rPr>
                      <w:rFonts w:hint="eastAsia" w:ascii="宋体" w:hAnsi="宋体" w:eastAsia="宋体" w:cs="宋体"/>
                      <w:color w:val="auto"/>
                      <w:lang w:val="en-US" w:eastAsia="zh-CN"/>
                    </w:rPr>
                  </w:pPr>
                  <w:r>
                    <w:rPr>
                      <w:rFonts w:hint="eastAsia" w:ascii="宋体" w:hAnsi="宋体" w:eastAsia="宋体" w:cs="宋体"/>
                      <w:color w:val="auto"/>
                    </w:rPr>
                    <w:t>布袋除尘器</w:t>
                  </w:r>
                </w:p>
              </w:tc>
            </w:tr>
          </w:tbl>
          <w:p w14:paraId="558365D3">
            <w:pPr>
              <w:spacing w:before="120" w:beforeLines="50" w:line="360" w:lineRule="auto"/>
              <w:ind w:firstLine="472" w:firstLineChars="196"/>
              <w:outlineLvl w:val="0"/>
              <w:rPr>
                <w:rFonts w:hint="eastAsia" w:ascii="宋体" w:hAnsi="宋体" w:eastAsia="宋体" w:cs="宋体"/>
                <w:b/>
                <w:color w:val="auto"/>
                <w:sz w:val="24"/>
                <w:lang w:val="en-GB"/>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w:t>
            </w:r>
            <w:r>
              <w:rPr>
                <w:rFonts w:hint="eastAsia" w:ascii="宋体" w:hAnsi="宋体" w:eastAsia="宋体" w:cs="宋体"/>
                <w:b/>
                <w:color w:val="auto"/>
                <w:sz w:val="24"/>
                <w:lang w:val="en-GB"/>
              </w:rPr>
              <w:t>主要原辅材料及能源消耗</w:t>
            </w:r>
          </w:p>
          <w:p w14:paraId="5B03357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根据建设方提供资料，</w:t>
            </w:r>
            <w:r>
              <w:rPr>
                <w:rFonts w:hint="eastAsia" w:ascii="宋体" w:hAnsi="宋体" w:eastAsia="宋体" w:cs="宋体"/>
                <w:color w:val="auto"/>
                <w:sz w:val="24"/>
                <w:lang w:eastAsia="zh-CN"/>
              </w:rPr>
              <w:t>项目</w:t>
            </w:r>
            <w:r>
              <w:rPr>
                <w:rFonts w:hint="eastAsia" w:ascii="宋体" w:hAnsi="宋体" w:eastAsia="宋体" w:cs="宋体"/>
                <w:color w:val="auto"/>
                <w:sz w:val="24"/>
              </w:rPr>
              <w:t>主要原辅材料及能源消耗见下表。</w:t>
            </w:r>
          </w:p>
          <w:p w14:paraId="2C9D48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lang w:val="en-GB"/>
              </w:rPr>
            </w:pPr>
            <w:r>
              <w:rPr>
                <w:rFonts w:hint="eastAsia" w:ascii="宋体" w:hAnsi="宋体" w:eastAsia="宋体" w:cs="宋体"/>
                <w:b/>
                <w:color w:val="auto"/>
                <w:szCs w:val="21"/>
                <w:lang w:val="en-GB"/>
              </w:rPr>
              <w:t>表</w:t>
            </w:r>
            <w:r>
              <w:rPr>
                <w:rFonts w:hint="eastAsia" w:ascii="宋体" w:hAnsi="宋体" w:eastAsia="宋体" w:cs="宋体"/>
                <w:b/>
                <w:color w:val="auto"/>
                <w:szCs w:val="21"/>
                <w:lang w:val="en-US" w:eastAsia="zh-CN"/>
              </w:rPr>
              <w:t>2-4</w:t>
            </w:r>
            <w:r>
              <w:rPr>
                <w:rFonts w:hint="eastAsia" w:ascii="宋体" w:hAnsi="宋体" w:eastAsia="宋体" w:cs="宋体"/>
                <w:b/>
                <w:color w:val="auto"/>
                <w:szCs w:val="21"/>
                <w:lang w:eastAsia="zh-CN"/>
              </w:rPr>
              <w:t>项目</w:t>
            </w:r>
            <w:r>
              <w:rPr>
                <w:rFonts w:hint="eastAsia" w:ascii="宋体" w:hAnsi="宋体" w:eastAsia="宋体" w:cs="宋体"/>
                <w:b/>
                <w:color w:val="auto"/>
                <w:szCs w:val="21"/>
                <w:lang w:val="en-GB"/>
              </w:rPr>
              <w:t>原辅材料及能源消耗一览表</w:t>
            </w:r>
          </w:p>
          <w:tbl>
            <w:tblPr>
              <w:tblStyle w:val="2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6"/>
              <w:gridCol w:w="2815"/>
              <w:gridCol w:w="2490"/>
              <w:gridCol w:w="1969"/>
            </w:tblGrid>
            <w:tr w14:paraId="5C3DA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9" w:type="pct"/>
                  <w:vAlign w:val="center"/>
                </w:tcPr>
                <w:p w14:paraId="02D77292">
                  <w:pPr>
                    <w:pStyle w:val="92"/>
                    <w:bidi w:val="0"/>
                    <w:rPr>
                      <w:rFonts w:hint="eastAsia" w:ascii="宋体" w:hAnsi="宋体" w:eastAsia="宋体" w:cs="宋体"/>
                      <w:color w:val="auto"/>
                    </w:rPr>
                  </w:pPr>
                  <w:r>
                    <w:rPr>
                      <w:rFonts w:hint="eastAsia" w:ascii="宋体" w:hAnsi="宋体" w:eastAsia="宋体" w:cs="宋体"/>
                      <w:color w:val="auto"/>
                    </w:rPr>
                    <w:t>类别</w:t>
                  </w:r>
                </w:p>
              </w:tc>
              <w:tc>
                <w:tcPr>
                  <w:tcW w:w="1687" w:type="pct"/>
                  <w:vAlign w:val="center"/>
                </w:tcPr>
                <w:p w14:paraId="7C53F261">
                  <w:pPr>
                    <w:pStyle w:val="92"/>
                    <w:bidi w:val="0"/>
                    <w:rPr>
                      <w:rFonts w:hint="eastAsia" w:ascii="宋体" w:hAnsi="宋体" w:eastAsia="宋体" w:cs="宋体"/>
                      <w:color w:val="auto"/>
                    </w:rPr>
                  </w:pPr>
                  <w:r>
                    <w:rPr>
                      <w:rFonts w:hint="eastAsia" w:ascii="宋体" w:hAnsi="宋体" w:eastAsia="宋体" w:cs="宋体"/>
                      <w:color w:val="auto"/>
                    </w:rPr>
                    <w:t>原辅材料名称</w:t>
                  </w:r>
                </w:p>
              </w:tc>
              <w:tc>
                <w:tcPr>
                  <w:tcW w:w="1492" w:type="pct"/>
                  <w:vAlign w:val="center"/>
                </w:tcPr>
                <w:p w14:paraId="70CC1564">
                  <w:pPr>
                    <w:pStyle w:val="92"/>
                    <w:bidi w:val="0"/>
                    <w:rPr>
                      <w:rFonts w:hint="eastAsia" w:ascii="宋体" w:hAnsi="宋体" w:eastAsia="宋体" w:cs="宋体"/>
                      <w:color w:val="auto"/>
                    </w:rPr>
                  </w:pPr>
                  <w:r>
                    <w:rPr>
                      <w:rFonts w:hint="eastAsia" w:ascii="宋体" w:hAnsi="宋体" w:eastAsia="宋体" w:cs="宋体"/>
                      <w:color w:val="auto"/>
                    </w:rPr>
                    <w:t>用量（t/a）</w:t>
                  </w:r>
                </w:p>
              </w:tc>
              <w:tc>
                <w:tcPr>
                  <w:tcW w:w="1180" w:type="pct"/>
                  <w:vAlign w:val="center"/>
                </w:tcPr>
                <w:p w14:paraId="40BBD14E">
                  <w:pPr>
                    <w:pStyle w:val="92"/>
                    <w:bidi w:val="0"/>
                    <w:rPr>
                      <w:rFonts w:hint="eastAsia" w:ascii="宋体" w:hAnsi="宋体" w:eastAsia="宋体" w:cs="宋体"/>
                      <w:color w:val="auto"/>
                    </w:rPr>
                  </w:pPr>
                  <w:r>
                    <w:rPr>
                      <w:rFonts w:hint="eastAsia" w:ascii="宋体" w:hAnsi="宋体" w:eastAsia="宋体" w:cs="宋体"/>
                      <w:color w:val="auto"/>
                    </w:rPr>
                    <w:t>备注</w:t>
                  </w:r>
                </w:p>
              </w:tc>
            </w:tr>
            <w:tr w14:paraId="0C7C9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9" w:type="pct"/>
                  <w:vAlign w:val="center"/>
                </w:tcPr>
                <w:p w14:paraId="015D2977">
                  <w:pPr>
                    <w:pStyle w:val="92"/>
                    <w:bidi w:val="0"/>
                    <w:rPr>
                      <w:rFonts w:hint="eastAsia" w:ascii="宋体" w:hAnsi="宋体" w:eastAsia="宋体" w:cs="宋体"/>
                      <w:color w:val="auto"/>
                    </w:rPr>
                  </w:pPr>
                  <w:r>
                    <w:rPr>
                      <w:rFonts w:hint="eastAsia" w:ascii="宋体" w:hAnsi="宋体" w:eastAsia="宋体" w:cs="宋体"/>
                      <w:color w:val="auto"/>
                    </w:rPr>
                    <w:t>原料</w:t>
                  </w:r>
                </w:p>
              </w:tc>
              <w:tc>
                <w:tcPr>
                  <w:tcW w:w="1687" w:type="pct"/>
                  <w:vAlign w:val="center"/>
                </w:tcPr>
                <w:p w14:paraId="3D146402">
                  <w:pPr>
                    <w:pStyle w:val="92"/>
                    <w:bidi w:val="0"/>
                    <w:rPr>
                      <w:rFonts w:hint="eastAsia" w:ascii="宋体" w:hAnsi="宋体" w:eastAsia="宋体" w:cs="宋体"/>
                      <w:color w:val="auto"/>
                    </w:rPr>
                  </w:pPr>
                  <w:r>
                    <w:rPr>
                      <w:rFonts w:hint="eastAsia" w:ascii="宋体" w:hAnsi="宋体" w:eastAsia="宋体" w:cs="宋体"/>
                      <w:color w:val="auto"/>
                    </w:rPr>
                    <w:t>水稻</w:t>
                  </w:r>
                </w:p>
              </w:tc>
              <w:tc>
                <w:tcPr>
                  <w:tcW w:w="1492" w:type="pct"/>
                  <w:vAlign w:val="center"/>
                </w:tcPr>
                <w:p w14:paraId="4ADDFC10">
                  <w:pPr>
                    <w:pStyle w:val="92"/>
                    <w:bidi w:val="0"/>
                    <w:rPr>
                      <w:rFonts w:hint="default" w:ascii="宋体" w:hAnsi="宋体" w:eastAsia="宋体" w:cs="宋体"/>
                      <w:color w:val="auto"/>
                      <w:lang w:val="en-US" w:eastAsia="zh-CN"/>
                    </w:rPr>
                  </w:pPr>
                  <w:r>
                    <w:rPr>
                      <w:rFonts w:hint="eastAsia" w:cs="宋体"/>
                      <w:color w:val="auto"/>
                      <w:lang w:val="en-US" w:eastAsia="zh-CN"/>
                    </w:rPr>
                    <w:t>13000</w:t>
                  </w:r>
                </w:p>
              </w:tc>
              <w:tc>
                <w:tcPr>
                  <w:tcW w:w="1180" w:type="pct"/>
                  <w:vAlign w:val="center"/>
                </w:tcPr>
                <w:p w14:paraId="29997BD7">
                  <w:pPr>
                    <w:pStyle w:val="92"/>
                    <w:bidi w:val="0"/>
                    <w:rPr>
                      <w:rFonts w:hint="eastAsia" w:ascii="宋体" w:hAnsi="宋体" w:eastAsia="宋体" w:cs="宋体"/>
                      <w:color w:val="auto"/>
                      <w:lang w:eastAsia="zh-CN"/>
                    </w:rPr>
                  </w:pPr>
                  <w:r>
                    <w:rPr>
                      <w:rFonts w:hint="eastAsia" w:ascii="宋体" w:hAnsi="宋体" w:eastAsia="宋体" w:cs="宋体"/>
                      <w:color w:val="auto"/>
                    </w:rPr>
                    <w:t>含水率约</w:t>
                  </w:r>
                  <w:r>
                    <w:rPr>
                      <w:rFonts w:hint="eastAsia" w:cs="宋体"/>
                      <w:color w:val="auto"/>
                      <w:lang w:val="en-US" w:eastAsia="zh-CN"/>
                    </w:rPr>
                    <w:t>34</w:t>
                  </w:r>
                  <w:r>
                    <w:rPr>
                      <w:rFonts w:hint="eastAsia" w:ascii="宋体" w:hAnsi="宋体" w:eastAsia="宋体" w:cs="宋体"/>
                      <w:color w:val="auto"/>
                    </w:rPr>
                    <w:t>%</w:t>
                  </w:r>
                  <w:r>
                    <w:rPr>
                      <w:rFonts w:hint="eastAsia" w:cs="宋体"/>
                      <w:color w:val="auto"/>
                      <w:lang w:eastAsia="zh-CN"/>
                    </w:rPr>
                    <w:t>，</w:t>
                  </w:r>
                </w:p>
              </w:tc>
            </w:tr>
            <w:tr w14:paraId="56C16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39" w:type="pct"/>
                  <w:vAlign w:val="center"/>
                </w:tcPr>
                <w:p w14:paraId="6996B416">
                  <w:pPr>
                    <w:pStyle w:val="92"/>
                    <w:bidi w:val="0"/>
                    <w:rPr>
                      <w:rFonts w:hint="eastAsia" w:ascii="宋体" w:hAnsi="宋体" w:eastAsia="宋体" w:cs="宋体"/>
                      <w:color w:val="auto"/>
                      <w:u w:val="single"/>
                    </w:rPr>
                  </w:pPr>
                  <w:r>
                    <w:rPr>
                      <w:rFonts w:hint="eastAsia" w:ascii="宋体" w:hAnsi="宋体" w:eastAsia="宋体" w:cs="宋体"/>
                      <w:color w:val="auto"/>
                      <w:u w:val="single"/>
                    </w:rPr>
                    <w:t>燃料</w:t>
                  </w:r>
                </w:p>
              </w:tc>
              <w:tc>
                <w:tcPr>
                  <w:tcW w:w="1687" w:type="pct"/>
                  <w:vAlign w:val="center"/>
                </w:tcPr>
                <w:p w14:paraId="2D230823">
                  <w:pPr>
                    <w:pStyle w:val="92"/>
                    <w:bidi w:val="0"/>
                    <w:rPr>
                      <w:rFonts w:hint="eastAsia" w:ascii="宋体" w:hAnsi="宋体" w:eastAsia="宋体" w:cs="宋体"/>
                      <w:color w:val="auto"/>
                      <w:u w:val="single"/>
                      <w:lang w:val="en-US" w:eastAsia="zh-CN"/>
                    </w:rPr>
                  </w:pPr>
                  <w:r>
                    <w:rPr>
                      <w:rFonts w:hint="eastAsia" w:ascii="宋体" w:hAnsi="宋体" w:eastAsia="宋体" w:cs="宋体"/>
                      <w:color w:val="auto"/>
                      <w:u w:val="single"/>
                    </w:rPr>
                    <w:t>成型生物质</w:t>
                  </w:r>
                  <w:r>
                    <w:rPr>
                      <w:rFonts w:hint="eastAsia" w:ascii="宋体" w:hAnsi="宋体" w:eastAsia="宋体" w:cs="宋体"/>
                      <w:color w:val="auto"/>
                      <w:u w:val="single"/>
                      <w:lang w:val="en-US" w:eastAsia="zh-CN"/>
                    </w:rPr>
                    <w:t>燃料</w:t>
                  </w:r>
                </w:p>
              </w:tc>
              <w:tc>
                <w:tcPr>
                  <w:tcW w:w="1492" w:type="pct"/>
                  <w:vAlign w:val="center"/>
                </w:tcPr>
                <w:p w14:paraId="43046C3A">
                  <w:pPr>
                    <w:pStyle w:val="92"/>
                    <w:bidi w:val="0"/>
                    <w:rPr>
                      <w:rFonts w:hint="default" w:ascii="宋体" w:hAnsi="宋体" w:eastAsia="宋体" w:cs="宋体"/>
                      <w:color w:val="auto"/>
                      <w:u w:val="single"/>
                      <w:lang w:val="en-US"/>
                    </w:rPr>
                  </w:pPr>
                  <w:r>
                    <w:rPr>
                      <w:rFonts w:hint="eastAsia" w:ascii="宋体" w:hAnsi="宋体" w:cs="宋体"/>
                      <w:color w:val="auto"/>
                      <w:sz w:val="24"/>
                      <w:u w:val="single"/>
                      <w:lang w:val="en-US" w:eastAsia="zh-CN"/>
                    </w:rPr>
                    <w:t>1214.85</w:t>
                  </w:r>
                </w:p>
              </w:tc>
              <w:tc>
                <w:tcPr>
                  <w:tcW w:w="1180" w:type="pct"/>
                  <w:vAlign w:val="center"/>
                </w:tcPr>
                <w:p w14:paraId="5F296921">
                  <w:pPr>
                    <w:pStyle w:val="92"/>
                    <w:bidi w:val="0"/>
                    <w:rPr>
                      <w:rFonts w:hint="eastAsia" w:ascii="宋体" w:hAnsi="宋体" w:eastAsia="宋体" w:cs="宋体"/>
                      <w:color w:val="auto"/>
                      <w:u w:val="single"/>
                    </w:rPr>
                  </w:pPr>
                  <w:r>
                    <w:rPr>
                      <w:rFonts w:hint="eastAsia" w:ascii="宋体" w:hAnsi="宋体" w:eastAsia="宋体" w:cs="宋体"/>
                      <w:color w:val="auto"/>
                      <w:u w:val="single"/>
                    </w:rPr>
                    <w:t>外购</w:t>
                  </w:r>
                </w:p>
              </w:tc>
            </w:tr>
          </w:tbl>
          <w:p w14:paraId="6E7620CE">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生物质成型燃料：</w:t>
            </w:r>
          </w:p>
          <w:p w14:paraId="68A6C6E8">
            <w:pPr>
              <w:bidi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简称“BMF”,是将农林废物作为原材料，经过粉粹、混合、挤压、烘干等工艺，制成颗粒状</w:t>
            </w:r>
            <w:r>
              <w:rPr>
                <w:rFonts w:hint="eastAsia" w:ascii="宋体" w:hAnsi="宋体" w:cs="宋体"/>
                <w:color w:val="auto"/>
                <w:sz w:val="24"/>
                <w:szCs w:val="24"/>
                <w:u w:val="single"/>
                <w:lang w:val="en-US" w:eastAsia="zh-CN"/>
              </w:rPr>
              <w:t>，根据临沂新方圆检验服务中心出具的检测报告，低位发热量为4054kcal/g，全水8.05%，灰分1.43%，检测报告详见附件；含硫量参照《生物质成型燃料》DB43/T 864-2014,含硫量≤0.2%。</w:t>
            </w:r>
          </w:p>
          <w:p w14:paraId="73EC02E0">
            <w:pPr>
              <w:keepNext w:val="0"/>
              <w:keepLines w:val="0"/>
              <w:pageBreakBefore w:val="0"/>
              <w:widowControl w:val="0"/>
              <w:numPr>
                <w:ilvl w:val="0"/>
                <w:numId w:val="2"/>
              </w:numPr>
              <w:shd w:val="clear"/>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给排水</w:t>
            </w:r>
          </w:p>
          <w:p w14:paraId="7D80F3BF">
            <w:pPr>
              <w:spacing w:line="360" w:lineRule="auto"/>
              <w:ind w:firstLine="480" w:firstLineChars="200"/>
              <w:textAlignment w:val="baseline"/>
              <w:rPr>
                <w:rFonts w:hint="eastAsia" w:ascii="宋体" w:hAnsi="宋体" w:eastAsia="宋体" w:cs="宋体"/>
                <w:color w:val="auto"/>
                <w:lang w:val="en-US" w:eastAsia="zh-CN"/>
              </w:rPr>
            </w:pPr>
            <w:r>
              <w:rPr>
                <w:rFonts w:hint="eastAsia" w:ascii="宋体" w:hAnsi="宋体" w:eastAsia="宋体" w:cs="宋体"/>
                <w:b w:val="0"/>
                <w:bCs w:val="0"/>
                <w:color w:val="auto"/>
                <w:sz w:val="24"/>
                <w:lang w:val="en-US" w:eastAsia="zh-CN"/>
              </w:rPr>
              <w:t>本项目废水仅生活用水。</w:t>
            </w:r>
            <w:r>
              <w:rPr>
                <w:rFonts w:hint="eastAsia" w:ascii="宋体" w:hAnsi="宋体" w:eastAsia="宋体" w:cs="宋体"/>
                <w:color w:val="auto"/>
                <w:sz w:val="24"/>
                <w:szCs w:val="24"/>
                <w:lang w:val="en-US" w:eastAsia="zh-CN"/>
              </w:rPr>
              <w:t>根据建设单位提供资料，项目劳动定员</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人，参考《湖南省用水定额地方标准》(DB43/T388--2020)可知，生活用水定为90L(人d)，则本项目生活用水量为</w:t>
            </w:r>
            <w:r>
              <w:rPr>
                <w:rFonts w:hint="eastAsia" w:ascii="宋体" w:hAnsi="宋体" w:cs="宋体"/>
                <w:color w:val="auto"/>
                <w:sz w:val="24"/>
                <w:szCs w:val="24"/>
                <w:lang w:val="en-US" w:eastAsia="zh-CN"/>
              </w:rPr>
              <w:t>0.72</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/d，</w:t>
            </w:r>
            <w:r>
              <w:rPr>
                <w:rFonts w:hint="eastAsia" w:ascii="宋体" w:hAnsi="宋体" w:cs="宋体"/>
                <w:color w:val="auto"/>
                <w:sz w:val="24"/>
                <w:szCs w:val="24"/>
                <w:lang w:val="en-US" w:eastAsia="zh-CN"/>
              </w:rPr>
              <w:t>86.4</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/a(按</w:t>
            </w:r>
            <w:r>
              <w:rPr>
                <w:rFonts w:hint="eastAsia" w:ascii="宋体" w:hAnsi="宋体" w:cs="宋体"/>
                <w:color w:val="auto"/>
                <w:sz w:val="24"/>
                <w:szCs w:val="24"/>
                <w:lang w:val="en-US" w:eastAsia="zh-CN"/>
              </w:rPr>
              <w:t>120</w:t>
            </w:r>
            <w:r>
              <w:rPr>
                <w:rFonts w:hint="eastAsia" w:ascii="宋体" w:hAnsi="宋体" w:eastAsia="宋体" w:cs="宋体"/>
                <w:color w:val="auto"/>
                <w:sz w:val="24"/>
                <w:szCs w:val="24"/>
                <w:lang w:val="en-US" w:eastAsia="zh-CN"/>
              </w:rPr>
              <w:t>天计)。生活污水经化粪池预处理后用于周边农田施肥，综合利用不外排，不会对周边水环境造成影响。</w:t>
            </w:r>
          </w:p>
          <w:p w14:paraId="5FAC8240">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w:t>
            </w:r>
            <w:r>
              <w:rPr>
                <w:rFonts w:hint="eastAsia" w:ascii="宋体" w:hAnsi="宋体" w:eastAsia="宋体" w:cs="宋体"/>
                <w:b/>
                <w:bCs/>
                <w:color w:val="auto"/>
                <w:sz w:val="24"/>
                <w:lang w:val="en-GB"/>
              </w:rPr>
              <w:t>劳</w:t>
            </w:r>
            <w:r>
              <w:rPr>
                <w:rFonts w:hint="eastAsia" w:ascii="宋体" w:hAnsi="宋体" w:eastAsia="宋体" w:cs="宋体"/>
                <w:b/>
                <w:color w:val="auto"/>
                <w:sz w:val="24"/>
                <w:lang w:val="en-GB"/>
              </w:rPr>
              <w:t>动定员及工作制度</w:t>
            </w:r>
          </w:p>
          <w:p w14:paraId="3444FDA6">
            <w:pPr>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本项目员工定员5人，均为周边居民，厂区不提供食宿。每天10h制，年工作时间</w:t>
            </w:r>
            <w:r>
              <w:rPr>
                <w:rFonts w:hint="eastAsia" w:ascii="宋体" w:hAnsi="宋体" w:cs="宋体"/>
                <w:color w:val="auto"/>
                <w:sz w:val="24"/>
                <w:szCs w:val="24"/>
                <w:lang w:val="en-US" w:eastAsia="zh-CN"/>
              </w:rPr>
              <w:t>120</w:t>
            </w:r>
            <w:r>
              <w:rPr>
                <w:rFonts w:hint="eastAsia" w:ascii="宋体" w:hAnsi="宋体" w:eastAsia="宋体" w:cs="宋体"/>
                <w:color w:val="auto"/>
                <w:sz w:val="24"/>
                <w:szCs w:val="24"/>
                <w:lang w:val="en-US" w:eastAsia="zh-CN"/>
              </w:rPr>
              <w:t>天（热风炉工作时间为</w:t>
            </w:r>
            <w:r>
              <w:rPr>
                <w:rFonts w:hint="eastAsia" w:ascii="宋体" w:hAnsi="宋体" w:cs="宋体"/>
                <w:color w:val="auto"/>
                <w:sz w:val="24"/>
                <w:szCs w:val="24"/>
                <w:lang w:val="en-US" w:eastAsia="zh-CN"/>
              </w:rPr>
              <w:t>120</w:t>
            </w:r>
            <w:r>
              <w:rPr>
                <w:rFonts w:hint="eastAsia" w:ascii="宋体" w:hAnsi="宋体" w:eastAsia="宋体" w:cs="宋体"/>
                <w:color w:val="auto"/>
                <w:sz w:val="24"/>
                <w:szCs w:val="24"/>
                <w:lang w:val="en-US" w:eastAsia="zh-CN"/>
              </w:rPr>
              <w:t>天,每天</w:t>
            </w:r>
            <w:r>
              <w:rPr>
                <w:rFonts w:hint="eastAsia" w:ascii="宋体" w:hAnsi="宋体" w:cs="宋体"/>
                <w:color w:val="auto"/>
                <w:sz w:val="24"/>
                <w:szCs w:val="24"/>
                <w:lang w:val="en-US" w:eastAsia="zh-CN"/>
              </w:rPr>
              <w:t>按12</w:t>
            </w:r>
            <w:r>
              <w:rPr>
                <w:rFonts w:hint="eastAsia" w:ascii="宋体" w:hAnsi="宋体" w:eastAsia="宋体" w:cs="宋体"/>
                <w:color w:val="auto"/>
                <w:sz w:val="24"/>
                <w:szCs w:val="24"/>
                <w:lang w:val="en-US" w:eastAsia="zh-CN"/>
              </w:rPr>
              <w:t>小时</w:t>
            </w:r>
            <w:r>
              <w:rPr>
                <w:rFonts w:hint="eastAsia" w:ascii="宋体" w:hAnsi="宋体" w:cs="宋体"/>
                <w:color w:val="auto"/>
                <w:sz w:val="24"/>
                <w:szCs w:val="24"/>
                <w:lang w:val="en-US" w:eastAsia="zh-CN"/>
              </w:rPr>
              <w:t>，5台热风炉同时使用</w:t>
            </w:r>
            <w:r>
              <w:rPr>
                <w:rFonts w:hint="eastAsia" w:ascii="宋体" w:hAnsi="宋体" w:eastAsia="宋体" w:cs="宋体"/>
                <w:color w:val="auto"/>
                <w:sz w:val="24"/>
                <w:szCs w:val="24"/>
                <w:lang w:val="en-US" w:eastAsia="zh-CN"/>
              </w:rPr>
              <w:t>）。本项目主要为满足</w:t>
            </w:r>
            <w:r>
              <w:rPr>
                <w:rFonts w:hint="eastAsia" w:ascii="宋体" w:hAnsi="宋体" w:cs="宋体"/>
                <w:color w:val="auto"/>
                <w:sz w:val="24"/>
                <w:szCs w:val="24"/>
                <w:lang w:val="en-US" w:eastAsia="zh-CN"/>
              </w:rPr>
              <w:t>澧县华鑫粮食购销有限公司</w:t>
            </w:r>
            <w:r>
              <w:rPr>
                <w:rFonts w:hint="eastAsia" w:ascii="宋体" w:hAnsi="宋体" w:eastAsia="宋体" w:cs="宋体"/>
                <w:color w:val="auto"/>
                <w:sz w:val="24"/>
                <w:szCs w:val="24"/>
                <w:lang w:val="en-US" w:eastAsia="zh-CN"/>
              </w:rPr>
              <w:t>生产的水稻烘干需求，水稻为季节性收取，在收获季节需及时将稻谷进行烘干，因此稻谷的烘干工作时长为季节性。</w:t>
            </w:r>
          </w:p>
          <w:p w14:paraId="63DB8DD7">
            <w:pPr>
              <w:spacing w:line="360" w:lineRule="auto"/>
              <w:ind w:firstLine="482" w:firstLineChars="200"/>
              <w:outlineLvl w:val="0"/>
              <w:rPr>
                <w:rFonts w:hint="eastAsia" w:ascii="宋体" w:hAnsi="宋体" w:eastAsia="宋体" w:cs="宋体"/>
                <w:b/>
                <w:color w:val="auto"/>
                <w:sz w:val="24"/>
                <w:lang w:val="en-GB"/>
              </w:rPr>
            </w:pPr>
            <w:r>
              <w:rPr>
                <w:rFonts w:hint="eastAsia" w:ascii="宋体" w:hAnsi="宋体" w:eastAsia="宋体" w:cs="宋体"/>
                <w:b/>
                <w:color w:val="auto"/>
                <w:sz w:val="24"/>
                <w:lang w:val="en-US" w:eastAsia="zh-CN"/>
              </w:rPr>
              <w:t>7</w:t>
            </w:r>
            <w:r>
              <w:rPr>
                <w:rFonts w:hint="eastAsia" w:ascii="宋体" w:hAnsi="宋体" w:eastAsia="宋体" w:cs="宋体"/>
                <w:b/>
                <w:color w:val="auto"/>
                <w:sz w:val="24"/>
              </w:rPr>
              <w:t>、</w:t>
            </w:r>
            <w:r>
              <w:rPr>
                <w:rFonts w:hint="eastAsia" w:ascii="宋体" w:hAnsi="宋体" w:eastAsia="宋体" w:cs="宋体"/>
                <w:b/>
                <w:color w:val="auto"/>
                <w:sz w:val="24"/>
                <w:lang w:val="en-GB"/>
              </w:rPr>
              <w:t>厂区平面布置</w:t>
            </w:r>
          </w:p>
          <w:p w14:paraId="4687C475">
            <w:pPr>
              <w:pStyle w:val="89"/>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cs="Times New Roman"/>
                <w:color w:val="FF0000"/>
                <w:sz w:val="24"/>
              </w:rPr>
            </w:pPr>
            <w:r>
              <w:rPr>
                <w:rFonts w:hint="eastAsia" w:ascii="宋体" w:hAnsi="宋体" w:eastAsia="宋体" w:cs="宋体"/>
                <w:color w:val="auto"/>
                <w:szCs w:val="24"/>
                <w:lang w:val="en-US" w:eastAsia="zh-CN"/>
              </w:rPr>
              <w:t>本项目</w:t>
            </w:r>
            <w:r>
              <w:rPr>
                <w:rFonts w:hint="eastAsia" w:cs="宋体"/>
                <w:color w:val="auto"/>
                <w:szCs w:val="24"/>
                <w:lang w:val="en-US" w:eastAsia="zh-CN"/>
              </w:rPr>
              <w:t>西侧</w:t>
            </w:r>
            <w:r>
              <w:rPr>
                <w:rFonts w:hint="eastAsia" w:ascii="宋体" w:hAnsi="宋体" w:eastAsia="宋体" w:cs="宋体"/>
                <w:color w:val="auto"/>
                <w:szCs w:val="24"/>
                <w:lang w:val="en-US" w:eastAsia="zh-CN"/>
              </w:rPr>
              <w:t>紧挨</w:t>
            </w:r>
            <w:r>
              <w:rPr>
                <w:rFonts w:hint="eastAsia" w:cs="宋体"/>
                <w:color w:val="auto"/>
                <w:szCs w:val="24"/>
                <w:lang w:val="en-US" w:eastAsia="zh-CN"/>
              </w:rPr>
              <w:t>村道</w:t>
            </w:r>
            <w:r>
              <w:rPr>
                <w:rFonts w:hint="eastAsia" w:ascii="宋体" w:hAnsi="宋体" w:eastAsia="宋体" w:cs="宋体"/>
                <w:color w:val="auto"/>
                <w:szCs w:val="24"/>
                <w:lang w:val="en-US" w:eastAsia="zh-CN"/>
              </w:rPr>
              <w:t>，</w:t>
            </w:r>
            <w:r>
              <w:rPr>
                <w:rFonts w:hint="eastAsia" w:cs="宋体"/>
                <w:color w:val="auto"/>
                <w:szCs w:val="24"/>
                <w:lang w:val="en-US" w:eastAsia="zh-CN"/>
              </w:rPr>
              <w:t>烘干车间位于南侧，设置生物质热风炉及谷物烘干机， 烘干车间后方为沉降室；北侧3个仓库，烘干区左侧1个仓库，</w:t>
            </w:r>
            <w:r>
              <w:rPr>
                <w:rFonts w:hint="eastAsia" w:ascii="宋体" w:hAnsi="宋体" w:eastAsia="宋体" w:cs="宋体"/>
                <w:color w:val="auto"/>
                <w:szCs w:val="24"/>
                <w:lang w:val="en-US" w:eastAsia="zh-CN"/>
              </w:rPr>
              <w:t>为粮食暂存区</w:t>
            </w:r>
            <w:r>
              <w:rPr>
                <w:rFonts w:hint="eastAsia" w:cs="宋体"/>
                <w:color w:val="auto"/>
                <w:szCs w:val="24"/>
                <w:lang w:val="en-US" w:eastAsia="zh-CN"/>
              </w:rPr>
              <w:t>。废气排放筒位于烘干车间东南侧</w:t>
            </w:r>
            <w:r>
              <w:rPr>
                <w:rFonts w:hint="eastAsia" w:ascii="宋体" w:hAnsi="宋体" w:eastAsia="宋体" w:cs="宋体"/>
                <w:color w:val="auto"/>
                <w:szCs w:val="24"/>
                <w:lang w:val="en-US" w:eastAsia="zh-CN"/>
              </w:rPr>
              <w:t>。</w:t>
            </w:r>
            <w:r>
              <w:rPr>
                <w:rFonts w:hint="eastAsia" w:ascii="宋体" w:hAnsi="宋体" w:eastAsia="宋体" w:cs="宋体"/>
                <w:color w:val="auto"/>
                <w:szCs w:val="24"/>
              </w:rPr>
              <w:t>遵循紧凑布局、节约用地的原则，厂区及厂房布置设计符合设计规范，交通方便，布置合理，能够满足项目生产要求和相关环保要求</w:t>
            </w:r>
            <w:r>
              <w:rPr>
                <w:rFonts w:hint="eastAsia" w:ascii="宋体" w:hAnsi="宋体" w:eastAsia="宋体" w:cs="宋体"/>
                <w:color w:val="auto"/>
                <w:szCs w:val="24"/>
                <w:lang w:eastAsia="zh-CN"/>
              </w:rPr>
              <w:t>。</w:t>
            </w:r>
            <w:r>
              <w:rPr>
                <w:rFonts w:hint="eastAsia" w:ascii="宋体" w:hAnsi="宋体" w:eastAsia="宋体" w:cs="宋体"/>
                <w:color w:val="auto"/>
                <w:szCs w:val="24"/>
              </w:rPr>
              <w:t>厂区平面布置详见附图。</w:t>
            </w:r>
          </w:p>
        </w:tc>
      </w:tr>
      <w:tr w14:paraId="5483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2" w:hRule="atLeast"/>
          <w:jc w:val="center"/>
        </w:trPr>
        <w:tc>
          <w:tcPr>
            <w:tcW w:w="257" w:type="pct"/>
            <w:vAlign w:val="center"/>
          </w:tcPr>
          <w:p w14:paraId="1EFC34A5">
            <w:pPr>
              <w:pStyle w:val="26"/>
              <w:adjustRightInd w:val="0"/>
              <w:snapToGrid w:val="0"/>
              <w:spacing w:before="0" w:beforeAutospacing="0" w:after="0" w:afterAutospacing="0"/>
              <w:jc w:val="center"/>
              <w:rPr>
                <w:rFonts w:hint="default" w:ascii="Times New Roman" w:hAnsi="Times New Roman" w:cs="Times New Roman"/>
                <w:color w:val="FF0000"/>
                <w:sz w:val="21"/>
                <w:szCs w:val="21"/>
              </w:rPr>
            </w:pPr>
            <w:r>
              <w:rPr>
                <w:rFonts w:hint="eastAsia" w:ascii="宋体" w:hAnsi="宋体" w:eastAsia="宋体" w:cs="宋体"/>
                <w:color w:val="auto"/>
                <w:szCs w:val="24"/>
              </w:rPr>
              <w:t>工艺流程和产排污环节</w:t>
            </w:r>
          </w:p>
        </w:tc>
        <w:tc>
          <w:tcPr>
            <w:tcW w:w="4742" w:type="pct"/>
          </w:tcPr>
          <w:p w14:paraId="0CB312F8">
            <w:pPr>
              <w:pStyle w:val="83"/>
              <w:keepNext w:val="0"/>
              <w:keepLines w:val="0"/>
              <w:pageBreakBefore w:val="0"/>
              <w:widowControl w:val="0"/>
              <w:numPr>
                <w:ilvl w:val="0"/>
                <w:numId w:val="3"/>
              </w:numPr>
              <w:kinsoku/>
              <w:wordWrap/>
              <w:overflowPunct/>
              <w:topLinePunct w:val="0"/>
              <w:autoSpaceDE/>
              <w:autoSpaceDN/>
              <w:bidi w:val="0"/>
              <w:adjustRightInd/>
              <w:snapToGrid/>
              <w:spacing w:before="1"/>
              <w:ind w:left="-60" w:leftChars="0" w:firstLine="480" w:firstLineChars="0"/>
              <w:textAlignment w:val="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cs="Times New Roman"/>
                <w:b/>
                <w:bCs/>
                <w:color w:val="auto"/>
                <w:sz w:val="24"/>
                <w:lang w:eastAsia="zh-CN"/>
              </w:rPr>
              <w:t>营运期</w:t>
            </w:r>
            <w:r>
              <w:rPr>
                <w:rFonts w:hint="default" w:ascii="Times New Roman" w:hAnsi="Times New Roman" w:eastAsia="宋体" w:cs="Times New Roman"/>
                <w:b/>
                <w:bCs/>
                <w:color w:val="auto"/>
                <w:sz w:val="24"/>
              </w:rPr>
              <w:t>工艺流程</w:t>
            </w:r>
            <w:r>
              <w:rPr>
                <w:rFonts w:hint="default" w:ascii="Times New Roman" w:hAnsi="Times New Roman" w:eastAsia="宋体" w:cs="Times New Roman"/>
                <w:b/>
                <w:bCs/>
                <w:color w:val="auto"/>
                <w:sz w:val="24"/>
                <w:lang w:eastAsia="zh-CN"/>
              </w:rPr>
              <w:t>及产物环节</w:t>
            </w:r>
          </w:p>
          <w:p w14:paraId="33C0AFA3">
            <w:pPr>
              <w:spacing w:line="360" w:lineRule="auto"/>
              <w:rPr>
                <w:rFonts w:hint="default" w:ascii="Times New Roman" w:hAnsi="Times New Roman" w:cs="Times New Roman"/>
                <w:b/>
                <w:bCs/>
                <w:color w:val="FF0000"/>
                <w:szCs w:val="21"/>
                <w:u w:val="none"/>
                <w:lang w:val="en-US" w:eastAsia="zh-CN"/>
              </w:rPr>
            </w:pPr>
            <w:r>
              <w:rPr>
                <w:rFonts w:hint="default" w:ascii="Times New Roman" w:hAnsi="Times New Roman" w:cs="Times New Roman"/>
                <w:color w:val="FF0000"/>
                <w:u w:val="none"/>
              </w:rPr>
              <w:drawing>
                <wp:inline distT="0" distB="0" distL="114300" distR="114300">
                  <wp:extent cx="5295900" cy="2522220"/>
                  <wp:effectExtent l="0" t="0" r="7620" b="762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5295900" cy="2522220"/>
                          </a:xfrm>
                          <a:prstGeom prst="rect">
                            <a:avLst/>
                          </a:prstGeom>
                          <a:noFill/>
                          <a:ln>
                            <a:noFill/>
                          </a:ln>
                        </pic:spPr>
                      </pic:pic>
                    </a:graphicData>
                  </a:graphic>
                </wp:inline>
              </w:drawing>
            </w:r>
          </w:p>
          <w:p w14:paraId="42F06E33">
            <w:pPr>
              <w:spacing w:line="360" w:lineRule="auto"/>
              <w:jc w:val="center"/>
              <w:rPr>
                <w:rFonts w:hint="eastAsia" w:ascii="宋体" w:hAnsi="宋体" w:eastAsia="宋体" w:cs="宋体"/>
                <w:bCs/>
                <w:color w:val="auto"/>
                <w:sz w:val="21"/>
                <w:szCs w:val="21"/>
                <w:u w:val="single"/>
              </w:rPr>
            </w:pPr>
            <w:r>
              <w:rPr>
                <w:rFonts w:hint="eastAsia" w:ascii="宋体" w:hAnsi="宋体" w:eastAsia="宋体" w:cs="宋体"/>
                <w:b/>
                <w:bCs/>
                <w:color w:val="auto"/>
                <w:sz w:val="21"/>
                <w:szCs w:val="21"/>
                <w:u w:val="single"/>
              </w:rPr>
              <w:t>图</w:t>
            </w:r>
            <w:r>
              <w:rPr>
                <w:rFonts w:hint="eastAsia" w:ascii="宋体" w:hAnsi="宋体" w:eastAsia="宋体" w:cs="宋体"/>
                <w:b/>
                <w:bCs/>
                <w:color w:val="auto"/>
                <w:sz w:val="21"/>
                <w:szCs w:val="21"/>
                <w:u w:val="single"/>
                <w:lang w:val="en-US" w:eastAsia="zh-CN"/>
              </w:rPr>
              <w:t>2-1</w:t>
            </w:r>
            <w:r>
              <w:rPr>
                <w:rFonts w:hint="eastAsia" w:ascii="宋体" w:hAnsi="宋体" w:eastAsia="宋体" w:cs="宋体"/>
                <w:b/>
                <w:bCs/>
                <w:color w:val="auto"/>
                <w:sz w:val="21"/>
                <w:szCs w:val="21"/>
                <w:u w:val="single"/>
              </w:rPr>
              <w:t>工艺流程及产污环节图</w:t>
            </w:r>
          </w:p>
          <w:p w14:paraId="02A73E70">
            <w:pPr>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hint="eastAsia" w:ascii="宋体" w:hAnsi="宋体" w:eastAsia="宋体" w:cs="宋体"/>
                <w:b/>
                <w:bCs w:val="0"/>
                <w:color w:val="auto"/>
                <w:sz w:val="24"/>
                <w:u w:val="none"/>
                <w:lang w:val="en-US" w:eastAsia="zh-CN"/>
              </w:rPr>
            </w:pPr>
            <w:r>
              <w:rPr>
                <w:rFonts w:hint="eastAsia" w:ascii="宋体" w:hAnsi="宋体" w:eastAsia="宋体" w:cs="宋体"/>
                <w:b/>
                <w:bCs w:val="0"/>
                <w:color w:val="auto"/>
                <w:sz w:val="24"/>
                <w:u w:val="none"/>
                <w:lang w:val="en-US" w:eastAsia="zh-CN"/>
              </w:rPr>
              <w:t>工艺流程说明：</w:t>
            </w:r>
          </w:p>
          <w:p w14:paraId="6C3910A8">
            <w:pPr>
              <w:pStyle w:val="83"/>
              <w:keepNext w:val="0"/>
              <w:keepLines w:val="0"/>
              <w:pageBreakBefore w:val="0"/>
              <w:numPr>
                <w:ilvl w:val="0"/>
                <w:numId w:val="0"/>
              </w:numPr>
              <w:tabs>
                <w:tab w:val="left" w:pos="1189"/>
              </w:tabs>
              <w:kinsoku/>
              <w:wordWrap/>
              <w:overflowPunct/>
              <w:topLinePunct w:val="0"/>
              <w:autoSpaceDE/>
              <w:autoSpaceDN/>
              <w:bidi w:val="0"/>
              <w:adjustRightInd/>
              <w:spacing w:line="360" w:lineRule="auto"/>
              <w:ind w:left="0" w:right="0" w:rightChars="0" w:firstLine="482" w:firstLineChars="200"/>
              <w:jc w:val="left"/>
              <w:textAlignment w:val="auto"/>
              <w:rPr>
                <w:rFonts w:hint="eastAsia" w:ascii="宋体" w:hAnsi="宋体" w:eastAsia="宋体" w:cs="宋体"/>
                <w:b/>
                <w:color w:val="auto"/>
                <w:sz w:val="24"/>
                <w:u w:val="none"/>
              </w:rPr>
            </w:pPr>
            <w:r>
              <w:rPr>
                <w:rFonts w:hint="eastAsia" w:ascii="宋体" w:hAnsi="宋体" w:eastAsia="宋体" w:cs="宋体"/>
                <w:b/>
                <w:color w:val="auto"/>
                <w:sz w:val="24"/>
                <w:u w:val="none"/>
                <w:lang w:val="en-US" w:eastAsia="zh-CN"/>
              </w:rPr>
              <w:t>①</w:t>
            </w:r>
            <w:r>
              <w:rPr>
                <w:rFonts w:hint="eastAsia" w:ascii="宋体" w:hAnsi="宋体" w:eastAsia="宋体" w:cs="宋体"/>
                <w:b/>
                <w:color w:val="auto"/>
                <w:sz w:val="24"/>
                <w:u w:val="none"/>
              </w:rPr>
              <w:t>卸料</w:t>
            </w:r>
          </w:p>
          <w:p w14:paraId="2A93ADFD">
            <w:pPr>
              <w:pStyle w:val="83"/>
              <w:keepNext w:val="0"/>
              <w:keepLines w:val="0"/>
              <w:pageBreakBefore w:val="0"/>
              <w:kinsoku/>
              <w:wordWrap/>
              <w:overflowPunct/>
              <w:topLinePunct w:val="0"/>
              <w:autoSpaceDE/>
              <w:autoSpaceDN/>
              <w:bidi w:val="0"/>
              <w:adjustRightInd/>
              <w:spacing w:line="360" w:lineRule="auto"/>
              <w:ind w:left="0" w:right="0" w:firstLine="432" w:firstLineChars="200"/>
              <w:textAlignment w:val="auto"/>
              <w:rPr>
                <w:rFonts w:hint="eastAsia" w:ascii="宋体" w:hAnsi="宋体" w:eastAsia="宋体" w:cs="宋体"/>
                <w:color w:val="auto"/>
                <w:sz w:val="24"/>
                <w:u w:val="none"/>
              </w:rPr>
            </w:pPr>
            <w:r>
              <w:rPr>
                <w:rFonts w:hint="eastAsia" w:ascii="宋体" w:hAnsi="宋体" w:eastAsia="宋体" w:cs="宋体"/>
                <w:color w:val="auto"/>
                <w:spacing w:val="-12"/>
                <w:sz w:val="24"/>
                <w:u w:val="none"/>
              </w:rPr>
              <w:t>湿粮经过铲车运输至烘干区，倾倒至地埋式投料口，粮食自流入斗式提升机，</w:t>
            </w:r>
            <w:r>
              <w:rPr>
                <w:rFonts w:hint="eastAsia" w:ascii="宋体" w:hAnsi="宋体" w:eastAsia="宋体" w:cs="宋体"/>
                <w:color w:val="auto"/>
                <w:spacing w:val="-15"/>
                <w:sz w:val="24"/>
                <w:u w:val="none"/>
              </w:rPr>
              <w:t>通过提升机机械输送至清理筛。产污环节：谷物在卸料过程中会产生扬尘</w:t>
            </w:r>
            <w:r>
              <w:rPr>
                <w:rFonts w:hint="eastAsia" w:ascii="宋体" w:hAnsi="宋体" w:eastAsia="宋体" w:cs="宋体"/>
                <w:color w:val="auto"/>
                <w:sz w:val="24"/>
                <w:u w:val="none"/>
              </w:rPr>
              <w:t>（颗粒物）。</w:t>
            </w:r>
          </w:p>
          <w:p w14:paraId="699B155F">
            <w:pPr>
              <w:pStyle w:val="83"/>
              <w:keepNext w:val="0"/>
              <w:keepLines w:val="0"/>
              <w:pageBreakBefore w:val="0"/>
              <w:numPr>
                <w:ilvl w:val="0"/>
                <w:numId w:val="0"/>
              </w:numPr>
              <w:tabs>
                <w:tab w:val="left" w:pos="1189"/>
              </w:tabs>
              <w:kinsoku/>
              <w:wordWrap/>
              <w:overflowPunct/>
              <w:topLinePunct w:val="0"/>
              <w:autoSpaceDE/>
              <w:autoSpaceDN/>
              <w:bidi w:val="0"/>
              <w:adjustRightInd/>
              <w:spacing w:line="360" w:lineRule="auto"/>
              <w:ind w:left="0" w:right="0" w:rightChars="0" w:firstLine="482" w:firstLineChars="200"/>
              <w:jc w:val="left"/>
              <w:textAlignment w:val="auto"/>
              <w:rPr>
                <w:rFonts w:hint="eastAsia" w:ascii="宋体" w:hAnsi="宋体" w:eastAsia="宋体" w:cs="宋体"/>
                <w:b/>
                <w:color w:val="auto"/>
                <w:sz w:val="24"/>
                <w:u w:val="none"/>
              </w:rPr>
            </w:pPr>
            <w:r>
              <w:rPr>
                <w:rFonts w:hint="eastAsia" w:ascii="宋体" w:hAnsi="宋体" w:eastAsia="宋体" w:cs="宋体"/>
                <w:b/>
                <w:color w:val="auto"/>
                <w:sz w:val="24"/>
                <w:u w:val="none"/>
                <w:lang w:val="en-US" w:eastAsia="zh-CN"/>
              </w:rPr>
              <w:t>②</w:t>
            </w:r>
            <w:r>
              <w:rPr>
                <w:rFonts w:hint="eastAsia" w:ascii="宋体" w:hAnsi="宋体" w:eastAsia="宋体" w:cs="宋体"/>
                <w:b/>
                <w:color w:val="auto"/>
                <w:sz w:val="24"/>
                <w:u w:val="none"/>
              </w:rPr>
              <w:t>清理筛分</w:t>
            </w:r>
          </w:p>
          <w:p w14:paraId="41751EAF">
            <w:pPr>
              <w:pStyle w:val="83"/>
              <w:keepNext w:val="0"/>
              <w:keepLines w:val="0"/>
              <w:pageBreakBefore w:val="0"/>
              <w:kinsoku/>
              <w:wordWrap/>
              <w:overflowPunct/>
              <w:topLinePunct w:val="0"/>
              <w:autoSpaceDE/>
              <w:autoSpaceDN/>
              <w:bidi w:val="0"/>
              <w:adjustRightInd/>
              <w:spacing w:line="360" w:lineRule="auto"/>
              <w:ind w:left="0" w:right="0" w:firstLine="448" w:firstLineChars="200"/>
              <w:jc w:val="both"/>
              <w:textAlignment w:val="auto"/>
              <w:rPr>
                <w:rFonts w:hint="eastAsia" w:ascii="宋体" w:hAnsi="宋体" w:eastAsia="宋体" w:cs="宋体"/>
                <w:color w:val="auto"/>
                <w:sz w:val="24"/>
                <w:u w:val="none"/>
              </w:rPr>
            </w:pPr>
            <w:r>
              <w:rPr>
                <w:rFonts w:hint="eastAsia" w:ascii="宋体" w:hAnsi="宋体" w:eastAsia="宋体" w:cs="宋体"/>
                <w:color w:val="auto"/>
                <w:spacing w:val="-8"/>
                <w:sz w:val="24"/>
                <w:u w:val="none"/>
              </w:rPr>
              <w:t>对原料进行去杂，去除茎秆、</w:t>
            </w:r>
            <w:r>
              <w:rPr>
                <w:rFonts w:hint="eastAsia" w:ascii="宋体" w:hAnsi="宋体" w:eastAsia="宋体" w:cs="宋体"/>
                <w:color w:val="auto"/>
                <w:spacing w:val="-8"/>
                <w:sz w:val="24"/>
                <w:u w:val="none"/>
                <w:lang w:val="en-US" w:eastAsia="zh-CN"/>
              </w:rPr>
              <w:t>杂草</w:t>
            </w:r>
            <w:r>
              <w:rPr>
                <w:rFonts w:hint="eastAsia" w:ascii="宋体" w:hAnsi="宋体" w:eastAsia="宋体" w:cs="宋体"/>
                <w:color w:val="auto"/>
                <w:spacing w:val="-8"/>
                <w:sz w:val="24"/>
                <w:u w:val="none"/>
              </w:rPr>
              <w:t>等杂质，项目采用旋振筛，旋振筛为四层</w:t>
            </w:r>
            <w:r>
              <w:rPr>
                <w:rFonts w:hint="eastAsia" w:ascii="宋体" w:hAnsi="宋体" w:eastAsia="宋体" w:cs="宋体"/>
                <w:color w:val="auto"/>
                <w:spacing w:val="-10"/>
                <w:sz w:val="24"/>
                <w:u w:val="none"/>
              </w:rPr>
              <w:t>封闭结构，清理筛配套风机，清理过程产生的粉尘通过风机收集至末端除尘器处</w:t>
            </w:r>
            <w:r>
              <w:rPr>
                <w:rFonts w:hint="eastAsia" w:ascii="宋体" w:hAnsi="宋体" w:eastAsia="宋体" w:cs="宋体"/>
                <w:color w:val="auto"/>
                <w:sz w:val="24"/>
                <w:u w:val="none"/>
              </w:rPr>
              <w:t>理后排放。产污环节：筛分废气（颗粒物）、清理杂物、设备噪声。</w:t>
            </w:r>
          </w:p>
          <w:p w14:paraId="533A26FD">
            <w:pPr>
              <w:pStyle w:val="2"/>
              <w:keepNext w:val="0"/>
              <w:keepLines w:val="0"/>
              <w:pageBreakBefore w:val="0"/>
              <w:kinsoku/>
              <w:wordWrap/>
              <w:overflowPunct/>
              <w:topLinePunct w:val="0"/>
              <w:autoSpaceDE/>
              <w:autoSpaceDN/>
              <w:bidi w:val="0"/>
              <w:adjustRightInd/>
              <w:spacing w:before="0" w:after="0" w:line="360" w:lineRule="auto"/>
              <w:ind w:left="0" w:right="0" w:firstLine="482" w:firstLineChars="200"/>
              <w:textAlignment w:val="auto"/>
              <w:rPr>
                <w:rFonts w:hint="eastAsia" w:ascii="宋体" w:hAnsi="宋体" w:eastAsia="宋体" w:cs="宋体"/>
                <w:color w:val="auto"/>
                <w:u w:val="none"/>
                <w:lang w:val="en-US" w:eastAsia="zh-CN"/>
              </w:rPr>
            </w:pPr>
            <w:r>
              <w:rPr>
                <w:rFonts w:hint="eastAsia" w:ascii="宋体" w:hAnsi="宋体" w:eastAsia="宋体" w:cs="宋体"/>
                <w:b/>
                <w:color w:val="auto"/>
                <w:sz w:val="24"/>
                <w:u w:val="none"/>
                <w:lang w:val="en-US" w:eastAsia="zh-CN"/>
              </w:rPr>
              <w:t>③</w:t>
            </w:r>
            <w:r>
              <w:rPr>
                <w:rFonts w:hint="eastAsia" w:ascii="宋体" w:hAnsi="宋体" w:eastAsia="宋体" w:cs="宋体"/>
                <w:b/>
                <w:color w:val="auto"/>
                <w:sz w:val="24"/>
                <w:u w:val="none"/>
              </w:rPr>
              <w:t>烘干</w:t>
            </w:r>
          </w:p>
          <w:p w14:paraId="1BC8C7FB">
            <w:pPr>
              <w:pStyle w:val="83"/>
              <w:keepNext w:val="0"/>
              <w:keepLines w:val="0"/>
              <w:pageBreakBefore w:val="0"/>
              <w:kinsoku/>
              <w:wordWrap/>
              <w:overflowPunct/>
              <w:topLinePunct w:val="0"/>
              <w:autoSpaceDE/>
              <w:autoSpaceDN/>
              <w:bidi w:val="0"/>
              <w:adjustRightInd/>
              <w:spacing w:line="360" w:lineRule="auto"/>
              <w:ind w:left="0" w:right="0" w:firstLine="464" w:firstLineChars="200"/>
              <w:textAlignment w:val="auto"/>
              <w:rPr>
                <w:rFonts w:hint="eastAsia" w:ascii="宋体" w:hAnsi="宋体" w:eastAsia="宋体" w:cs="宋体"/>
                <w:color w:val="auto"/>
                <w:sz w:val="24"/>
                <w:u w:val="none"/>
              </w:rPr>
            </w:pPr>
            <w:r>
              <w:rPr>
                <w:rFonts w:hint="eastAsia" w:ascii="宋体" w:hAnsi="宋体" w:eastAsia="宋体" w:cs="宋体"/>
                <w:color w:val="auto"/>
                <w:spacing w:val="-4"/>
                <w:sz w:val="24"/>
                <w:u w:val="none"/>
              </w:rPr>
              <w:t>湿粮在干燥机中使用热风干燥，去除粮食中的多余水分，全程自控，干燥均匀，烘干时控制温度不超过</w:t>
            </w:r>
            <w:r>
              <w:rPr>
                <w:rFonts w:hint="eastAsia" w:ascii="宋体" w:hAnsi="宋体" w:eastAsia="宋体" w:cs="宋体"/>
                <w:color w:val="auto"/>
                <w:sz w:val="24"/>
                <w:u w:val="none"/>
              </w:rPr>
              <w:t>38</w:t>
            </w:r>
            <w:r>
              <w:rPr>
                <w:rFonts w:hint="eastAsia" w:ascii="宋体" w:hAnsi="宋体" w:eastAsia="宋体" w:cs="宋体"/>
                <w:i/>
                <w:color w:val="auto"/>
                <w:sz w:val="24"/>
                <w:u w:val="none"/>
              </w:rPr>
              <w:t>°</w:t>
            </w:r>
            <w:r>
              <w:rPr>
                <w:rFonts w:hint="eastAsia" w:ascii="宋体" w:hAnsi="宋体" w:eastAsia="宋体" w:cs="宋体"/>
                <w:color w:val="auto"/>
                <w:sz w:val="24"/>
                <w:u w:val="none"/>
              </w:rPr>
              <w:t>C。烘干机配套热风炉，由热风炉提供热量，热</w:t>
            </w:r>
            <w:r>
              <w:rPr>
                <w:rFonts w:hint="eastAsia" w:ascii="宋体" w:hAnsi="宋体" w:eastAsia="宋体" w:cs="宋体"/>
                <w:color w:val="auto"/>
                <w:spacing w:val="3"/>
                <w:sz w:val="24"/>
                <w:u w:val="none"/>
              </w:rPr>
              <w:t>风炉使用成型生物质燃料，燃烧产生的热气经过热交换器后直接排</w:t>
            </w:r>
            <w:r>
              <w:rPr>
                <w:rFonts w:hint="eastAsia" w:ascii="宋体" w:hAnsi="宋体" w:eastAsia="宋体" w:cs="宋体"/>
                <w:color w:val="auto"/>
                <w:spacing w:val="-8"/>
                <w:sz w:val="24"/>
                <w:u w:val="none"/>
              </w:rPr>
              <w:t>放，不与烘干物料接触</w:t>
            </w:r>
            <w:r>
              <w:rPr>
                <w:rFonts w:hint="eastAsia" w:ascii="宋体" w:hAnsi="宋体" w:eastAsia="宋体" w:cs="宋体"/>
                <w:color w:val="auto"/>
                <w:spacing w:val="-11"/>
                <w:sz w:val="24"/>
                <w:u w:val="none"/>
              </w:rPr>
              <w:t>。烘干系统的目的是去除粮</w:t>
            </w:r>
            <w:r>
              <w:rPr>
                <w:rFonts w:hint="eastAsia" w:ascii="宋体" w:hAnsi="宋体" w:eastAsia="宋体" w:cs="宋体"/>
                <w:color w:val="auto"/>
                <w:spacing w:val="-13"/>
                <w:sz w:val="24"/>
                <w:u w:val="none"/>
              </w:rPr>
              <w:t>食中的所含的部分水分，将其控制在安全水分以下</w:t>
            </w:r>
            <w:r>
              <w:rPr>
                <w:rFonts w:hint="eastAsia" w:ascii="宋体" w:hAnsi="宋体" w:eastAsia="宋体" w:cs="宋体"/>
                <w:color w:val="auto"/>
                <w:sz w:val="24"/>
                <w:u w:val="none"/>
              </w:rPr>
              <w:t>（</w:t>
            </w:r>
            <w:r>
              <w:rPr>
                <w:rFonts w:hint="eastAsia" w:ascii="宋体" w:hAnsi="宋体" w:eastAsia="宋体" w:cs="宋体"/>
                <w:color w:val="auto"/>
                <w:spacing w:val="-20"/>
                <w:sz w:val="24"/>
                <w:u w:val="none"/>
              </w:rPr>
              <w:t>稻谷</w:t>
            </w:r>
            <w:r>
              <w:rPr>
                <w:rFonts w:hint="eastAsia" w:ascii="宋体" w:hAnsi="宋体" w:eastAsia="宋体" w:cs="宋体"/>
                <w:color w:val="auto"/>
                <w:sz w:val="24"/>
                <w:u w:val="none"/>
              </w:rPr>
              <w:t>13.5%</w:t>
            </w:r>
            <w:r>
              <w:rPr>
                <w:rFonts w:hint="eastAsia" w:ascii="宋体" w:hAnsi="宋体" w:eastAsia="宋体" w:cs="宋体"/>
                <w:color w:val="auto"/>
                <w:spacing w:val="-5"/>
                <w:sz w:val="24"/>
                <w:u w:val="none"/>
              </w:rPr>
              <w:t>）</w:t>
            </w:r>
            <w:r>
              <w:rPr>
                <w:rFonts w:hint="eastAsia" w:ascii="宋体" w:hAnsi="宋体" w:eastAsia="宋体" w:cs="宋体"/>
                <w:color w:val="auto"/>
                <w:sz w:val="24"/>
                <w:u w:val="none"/>
              </w:rPr>
              <w:t>。烘干后的粮食使用输送带输送至仓库内储存。</w:t>
            </w:r>
          </w:p>
          <w:p w14:paraId="38A2C896">
            <w:pPr>
              <w:pStyle w:val="83"/>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hint="eastAsia" w:ascii="宋体" w:hAnsi="宋体" w:eastAsia="宋体" w:cs="宋体"/>
                <w:color w:val="auto"/>
                <w:sz w:val="24"/>
                <w:u w:val="none"/>
              </w:rPr>
            </w:pPr>
            <w:r>
              <w:rPr>
                <w:rFonts w:hint="eastAsia" w:ascii="宋体" w:hAnsi="宋体" w:eastAsia="宋体" w:cs="宋体"/>
                <w:b/>
                <w:bCs/>
                <w:color w:val="auto"/>
                <w:sz w:val="24"/>
                <w:u w:val="none"/>
              </w:rPr>
              <w:t>粮食烘干机的工作原理</w:t>
            </w:r>
            <w:r>
              <w:rPr>
                <w:rFonts w:hint="eastAsia" w:ascii="宋体" w:hAnsi="宋体" w:eastAsia="宋体" w:cs="宋体"/>
                <w:b/>
                <w:bCs/>
                <w:color w:val="auto"/>
                <w:sz w:val="24"/>
                <w:u w:val="none"/>
                <w:lang w:val="en-US" w:eastAsia="zh-CN"/>
              </w:rPr>
              <w:t>和烘干过程</w:t>
            </w:r>
            <w:r>
              <w:rPr>
                <w:rFonts w:hint="eastAsia" w:ascii="宋体" w:hAnsi="宋体" w:eastAsia="宋体" w:cs="宋体"/>
                <w:b/>
                <w:bCs/>
                <w:color w:val="auto"/>
                <w:sz w:val="24"/>
                <w:u w:val="none"/>
              </w:rPr>
              <w:t>：</w:t>
            </w:r>
            <w:r>
              <w:rPr>
                <w:rFonts w:hint="eastAsia" w:ascii="宋体" w:hAnsi="宋体" w:eastAsia="宋体" w:cs="宋体"/>
                <w:color w:val="auto"/>
                <w:sz w:val="24"/>
                <w:u w:val="none"/>
              </w:rPr>
              <w:t>粮食烘干机工作时，点燃热风炉，启动风机，洁净空气经热风炉热交换散热器加热，</w:t>
            </w:r>
            <w:r>
              <w:rPr>
                <w:rFonts w:hint="eastAsia" w:ascii="宋体" w:hAnsi="宋体" w:eastAsia="宋体" w:cs="宋体"/>
                <w:color w:val="auto"/>
                <w:sz w:val="24"/>
                <w:u w:val="none"/>
                <w:lang w:val="en-US" w:eastAsia="zh-CN"/>
              </w:rPr>
              <w:t>烟气进入废气处理设施，</w:t>
            </w:r>
            <w:r>
              <w:rPr>
                <w:rFonts w:hint="eastAsia" w:ascii="宋体" w:hAnsi="宋体" w:eastAsia="宋体" w:cs="宋体"/>
                <w:color w:val="auto"/>
                <w:sz w:val="24"/>
                <w:u w:val="none"/>
              </w:rPr>
              <w:t>加热后的洁净空气经进风道进入热空气分配器，由热风进气孔均匀的吹向烘粮斗加热烘烤</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rPr>
              <w:t>与此同时，待烘干的粮食由进料输送带进入烘干机，经下料分配控制器均匀的进入烘粮斗烘烤除湿后由出料口排出，经出料输送带送入进料输送带循环烘干，待检测达到干燥标准后，关闭热风炉燃烧室，再由风机吹入冷风循环冷却降温，待粮温冷却接近气温后，烘干后的粮食由出粮口经出料输送带入仓。</w:t>
            </w:r>
          </w:p>
          <w:p w14:paraId="3EAA5A66">
            <w:pPr>
              <w:pStyle w:val="83"/>
              <w:keepNext w:val="0"/>
              <w:keepLines w:val="0"/>
              <w:pageBreakBefore w:val="0"/>
              <w:kinsoku/>
              <w:wordWrap/>
              <w:overflowPunct/>
              <w:topLinePunct w:val="0"/>
              <w:autoSpaceDE/>
              <w:autoSpaceDN/>
              <w:bidi w:val="0"/>
              <w:adjustRightInd/>
              <w:spacing w:line="360" w:lineRule="auto"/>
              <w:ind w:left="0" w:right="0" w:firstLine="482" w:firstLineChars="200"/>
              <w:textAlignment w:val="auto"/>
              <w:rPr>
                <w:rFonts w:hint="eastAsia" w:ascii="宋体" w:hAnsi="宋体" w:eastAsia="宋体" w:cs="宋体"/>
                <w:b/>
                <w:color w:val="auto"/>
                <w:sz w:val="24"/>
                <w:u w:val="none"/>
              </w:rPr>
            </w:pPr>
            <w:r>
              <w:rPr>
                <w:rFonts w:hint="eastAsia" w:ascii="宋体" w:hAnsi="宋体" w:eastAsia="宋体" w:cs="宋体"/>
                <w:b/>
                <w:color w:val="auto"/>
                <w:sz w:val="24"/>
                <w:u w:val="none"/>
                <w:lang w:val="en-US" w:eastAsia="zh-CN"/>
              </w:rPr>
              <w:t>④</w:t>
            </w:r>
            <w:r>
              <w:rPr>
                <w:rFonts w:hint="eastAsia" w:ascii="宋体" w:hAnsi="宋体" w:eastAsia="宋体" w:cs="宋体"/>
                <w:b/>
                <w:color w:val="auto"/>
                <w:sz w:val="24"/>
                <w:u w:val="none"/>
              </w:rPr>
              <w:t>输送储存</w:t>
            </w:r>
          </w:p>
          <w:p w14:paraId="7AB191E8">
            <w:pPr>
              <w:pStyle w:val="83"/>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default" w:ascii="Times New Roman" w:hAnsi="Times New Roman" w:eastAsia="宋体" w:cs="Times New Roman"/>
                <w:color w:val="auto"/>
                <w:sz w:val="24"/>
                <w:lang w:val="en-US" w:eastAsia="zh-CN"/>
              </w:rPr>
            </w:pPr>
            <w:r>
              <w:rPr>
                <w:rFonts w:hint="eastAsia" w:ascii="宋体" w:hAnsi="宋体" w:eastAsia="宋体" w:cs="宋体"/>
                <w:color w:val="auto"/>
                <w:sz w:val="24"/>
                <w:u w:val="none"/>
              </w:rPr>
              <w:t>从</w:t>
            </w:r>
            <w:r>
              <w:rPr>
                <w:rFonts w:hint="eastAsia" w:ascii="宋体" w:hAnsi="宋体" w:eastAsia="宋体" w:cs="宋体"/>
                <w:color w:val="auto"/>
                <w:sz w:val="24"/>
                <w:u w:val="none"/>
                <w:lang w:val="en-US" w:eastAsia="zh-CN"/>
              </w:rPr>
              <w:t>烘干机</w:t>
            </w:r>
            <w:r>
              <w:rPr>
                <w:rFonts w:hint="eastAsia" w:ascii="宋体" w:hAnsi="宋体" w:eastAsia="宋体" w:cs="宋体"/>
                <w:color w:val="auto"/>
                <w:sz w:val="24"/>
                <w:u w:val="none"/>
              </w:rPr>
              <w:t>下</w:t>
            </w:r>
            <w:r>
              <w:rPr>
                <w:rFonts w:hint="eastAsia" w:ascii="宋体" w:hAnsi="宋体" w:eastAsia="宋体" w:cs="宋体"/>
                <w:color w:val="auto"/>
                <w:sz w:val="24"/>
                <w:u w:val="none"/>
                <w:lang w:val="en-US" w:eastAsia="zh-CN"/>
              </w:rPr>
              <w:t>方</w:t>
            </w:r>
            <w:r>
              <w:rPr>
                <w:rFonts w:hint="eastAsia" w:ascii="宋体" w:hAnsi="宋体" w:eastAsia="宋体" w:cs="宋体"/>
                <w:color w:val="auto"/>
                <w:sz w:val="24"/>
                <w:u w:val="none"/>
              </w:rPr>
              <w:t>经皮带输送机送至</w:t>
            </w:r>
            <w:r>
              <w:rPr>
                <w:rFonts w:hint="eastAsia" w:ascii="宋体" w:hAnsi="宋体" w:eastAsia="宋体" w:cs="宋体"/>
                <w:color w:val="auto"/>
                <w:sz w:val="24"/>
                <w:u w:val="none"/>
                <w:lang w:val="en-US" w:eastAsia="zh-CN"/>
              </w:rPr>
              <w:t>粮食暂存区</w:t>
            </w:r>
            <w:r>
              <w:rPr>
                <w:rFonts w:hint="eastAsia" w:eastAsia="宋体" w:cs="Times New Roman"/>
                <w:color w:val="auto"/>
                <w:sz w:val="24"/>
                <w:lang w:val="en-US" w:eastAsia="zh-CN"/>
              </w:rPr>
              <w:t>。</w:t>
            </w:r>
          </w:p>
          <w:p w14:paraId="27C10D22">
            <w:pPr>
              <w:numPr>
                <w:ilvl w:val="0"/>
                <w:numId w:val="3"/>
              </w:numPr>
              <w:spacing w:line="360" w:lineRule="auto"/>
              <w:ind w:left="-60" w:leftChars="0" w:firstLine="482" w:firstLineChars="0"/>
              <w:jc w:val="left"/>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运营期主要污染工序</w:t>
            </w:r>
          </w:p>
          <w:p w14:paraId="0F2CCB38">
            <w:pPr>
              <w:keepNext w:val="0"/>
              <w:keepLines w:val="0"/>
              <w:pageBreakBefore w:val="0"/>
              <w:widowControl w:val="0"/>
              <w:tabs>
                <w:tab w:val="left" w:pos="2548"/>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表</w:t>
            </w:r>
            <w:r>
              <w:rPr>
                <w:rFonts w:hint="eastAsia" w:ascii="宋体" w:hAnsi="宋体" w:eastAsia="宋体" w:cs="宋体"/>
                <w:b/>
                <w:color w:val="auto"/>
                <w:szCs w:val="21"/>
                <w:lang w:val="en-US" w:eastAsia="zh-CN"/>
              </w:rPr>
              <w:t xml:space="preserve">2-5 </w:t>
            </w:r>
            <w:r>
              <w:rPr>
                <w:rFonts w:hint="eastAsia" w:ascii="宋体" w:hAnsi="宋体" w:eastAsia="宋体" w:cs="宋体"/>
                <w:b/>
                <w:color w:val="auto"/>
                <w:szCs w:val="21"/>
              </w:rPr>
              <w:t>项目运营期工艺过程产污情况一览表</w:t>
            </w:r>
          </w:p>
          <w:tbl>
            <w:tblPr>
              <w:tblStyle w:val="2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79"/>
              <w:gridCol w:w="2023"/>
              <w:gridCol w:w="2010"/>
              <w:gridCol w:w="2912"/>
            </w:tblGrid>
            <w:tr w14:paraId="35C1F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Align w:val="center"/>
                </w:tcPr>
                <w:p w14:paraId="57E8D594">
                  <w:pPr>
                    <w:pStyle w:val="83"/>
                    <w:spacing w:before="48"/>
                    <w:ind w:left="455" w:right="450"/>
                    <w:jc w:val="center"/>
                    <w:rPr>
                      <w:rFonts w:hint="default" w:ascii="Times New Roman" w:hAnsi="Times New Roman" w:cs="Times New Roman"/>
                      <w:b/>
                      <w:color w:val="auto"/>
                      <w:sz w:val="21"/>
                    </w:rPr>
                  </w:pPr>
                  <w:bookmarkStart w:id="8" w:name="3.2.3物料平衡"/>
                  <w:bookmarkEnd w:id="8"/>
                  <w:r>
                    <w:rPr>
                      <w:rFonts w:hint="default" w:ascii="Times New Roman" w:hAnsi="Times New Roman" w:cs="Times New Roman"/>
                      <w:b/>
                      <w:color w:val="auto"/>
                      <w:sz w:val="21"/>
                    </w:rPr>
                    <w:t>类别</w:t>
                  </w:r>
                </w:p>
              </w:tc>
              <w:tc>
                <w:tcPr>
                  <w:tcW w:w="2023" w:type="dxa"/>
                  <w:vAlign w:val="center"/>
                </w:tcPr>
                <w:p w14:paraId="6E831B79">
                  <w:pPr>
                    <w:pStyle w:val="83"/>
                    <w:spacing w:before="48"/>
                    <w:ind w:left="570" w:right="563"/>
                    <w:jc w:val="center"/>
                    <w:rPr>
                      <w:rFonts w:hint="default" w:ascii="Times New Roman" w:hAnsi="Times New Roman" w:cs="Times New Roman"/>
                      <w:b/>
                      <w:color w:val="auto"/>
                      <w:sz w:val="21"/>
                    </w:rPr>
                  </w:pPr>
                  <w:r>
                    <w:rPr>
                      <w:rFonts w:hint="default" w:ascii="Times New Roman" w:hAnsi="Times New Roman" w:cs="Times New Roman"/>
                      <w:b/>
                      <w:color w:val="auto"/>
                      <w:sz w:val="21"/>
                    </w:rPr>
                    <w:t>项目</w:t>
                  </w:r>
                </w:p>
              </w:tc>
              <w:tc>
                <w:tcPr>
                  <w:tcW w:w="2010" w:type="dxa"/>
                  <w:vAlign w:val="center"/>
                </w:tcPr>
                <w:p w14:paraId="7366A962">
                  <w:pPr>
                    <w:pStyle w:val="83"/>
                    <w:spacing w:before="48"/>
                    <w:ind w:left="38" w:right="32"/>
                    <w:jc w:val="center"/>
                    <w:rPr>
                      <w:rFonts w:hint="default" w:ascii="Times New Roman" w:hAnsi="Times New Roman" w:cs="Times New Roman"/>
                      <w:b/>
                      <w:color w:val="auto"/>
                      <w:sz w:val="21"/>
                    </w:rPr>
                  </w:pPr>
                  <w:r>
                    <w:rPr>
                      <w:rFonts w:hint="default" w:ascii="Times New Roman" w:hAnsi="Times New Roman" w:cs="Times New Roman"/>
                      <w:b/>
                      <w:color w:val="auto"/>
                      <w:sz w:val="21"/>
                    </w:rPr>
                    <w:t>产污环节</w:t>
                  </w:r>
                  <w:r>
                    <w:rPr>
                      <w:rFonts w:hint="default" w:ascii="Times New Roman" w:hAnsi="Times New Roman" w:eastAsia="Times New Roman" w:cs="Times New Roman"/>
                      <w:b/>
                      <w:color w:val="auto"/>
                      <w:sz w:val="21"/>
                    </w:rPr>
                    <w:t>/</w:t>
                  </w:r>
                  <w:r>
                    <w:rPr>
                      <w:rFonts w:hint="default" w:ascii="Times New Roman" w:hAnsi="Times New Roman" w:cs="Times New Roman"/>
                      <w:b/>
                      <w:color w:val="auto"/>
                      <w:sz w:val="21"/>
                    </w:rPr>
                    <w:t>设备</w:t>
                  </w:r>
                </w:p>
              </w:tc>
              <w:tc>
                <w:tcPr>
                  <w:tcW w:w="2912" w:type="dxa"/>
                  <w:vAlign w:val="center"/>
                </w:tcPr>
                <w:p w14:paraId="242765A9">
                  <w:pPr>
                    <w:pStyle w:val="83"/>
                    <w:spacing w:before="48"/>
                    <w:ind w:left="227" w:right="221"/>
                    <w:jc w:val="center"/>
                    <w:rPr>
                      <w:rFonts w:hint="default" w:ascii="Times New Roman" w:hAnsi="Times New Roman" w:cs="Times New Roman"/>
                      <w:b/>
                      <w:color w:val="auto"/>
                      <w:sz w:val="21"/>
                    </w:rPr>
                  </w:pPr>
                  <w:r>
                    <w:rPr>
                      <w:rFonts w:hint="default" w:ascii="Times New Roman" w:hAnsi="Times New Roman" w:cs="Times New Roman"/>
                      <w:b/>
                      <w:color w:val="auto"/>
                      <w:sz w:val="21"/>
                    </w:rPr>
                    <w:t>主要污染物</w:t>
                  </w:r>
                </w:p>
              </w:tc>
            </w:tr>
            <w:tr w14:paraId="1E195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restart"/>
                  <w:vAlign w:val="center"/>
                </w:tcPr>
                <w:p w14:paraId="28A6A2FE">
                  <w:pPr>
                    <w:pStyle w:val="83"/>
                    <w:ind w:left="456" w:right="448"/>
                    <w:jc w:val="center"/>
                    <w:rPr>
                      <w:rFonts w:hint="eastAsia" w:ascii="宋体" w:hAnsi="宋体" w:eastAsia="宋体" w:cs="宋体"/>
                      <w:color w:val="auto"/>
                      <w:sz w:val="21"/>
                    </w:rPr>
                  </w:pPr>
                  <w:r>
                    <w:rPr>
                      <w:rFonts w:hint="eastAsia" w:ascii="宋体" w:hAnsi="宋体" w:eastAsia="宋体" w:cs="宋体"/>
                      <w:color w:val="auto"/>
                      <w:sz w:val="21"/>
                    </w:rPr>
                    <w:t>废气</w:t>
                  </w:r>
                </w:p>
              </w:tc>
              <w:tc>
                <w:tcPr>
                  <w:tcW w:w="2023" w:type="dxa"/>
                  <w:vAlign w:val="center"/>
                </w:tcPr>
                <w:p w14:paraId="238A0DEC">
                  <w:pPr>
                    <w:pStyle w:val="83"/>
                    <w:spacing w:before="50"/>
                    <w:ind w:left="567" w:right="563"/>
                    <w:jc w:val="center"/>
                    <w:rPr>
                      <w:rFonts w:hint="default" w:ascii="宋体" w:hAnsi="宋体" w:eastAsia="宋体" w:cs="宋体"/>
                      <w:color w:val="auto"/>
                      <w:sz w:val="21"/>
                      <w:lang w:val="en-US" w:eastAsia="zh-CN"/>
                    </w:rPr>
                  </w:pPr>
                  <w:r>
                    <w:rPr>
                      <w:rFonts w:hint="eastAsia" w:ascii="宋体" w:hAnsi="宋体" w:eastAsia="宋体" w:cs="宋体"/>
                      <w:color w:val="auto"/>
                      <w:sz w:val="21"/>
                    </w:rPr>
                    <w:t>卸料</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出渣</w:t>
                  </w:r>
                </w:p>
              </w:tc>
              <w:tc>
                <w:tcPr>
                  <w:tcW w:w="2010" w:type="dxa"/>
                  <w:vAlign w:val="center"/>
                </w:tcPr>
                <w:p w14:paraId="42E66C89">
                  <w:pPr>
                    <w:pStyle w:val="83"/>
                    <w:spacing w:before="50"/>
                    <w:ind w:left="38" w:right="32"/>
                    <w:jc w:val="center"/>
                    <w:rPr>
                      <w:rFonts w:hint="default" w:ascii="宋体" w:hAnsi="宋体" w:eastAsia="宋体" w:cs="宋体"/>
                      <w:color w:val="auto"/>
                      <w:sz w:val="21"/>
                      <w:lang w:val="en-US" w:eastAsia="zh-CN"/>
                    </w:rPr>
                  </w:pPr>
                  <w:r>
                    <w:rPr>
                      <w:rFonts w:hint="eastAsia" w:ascii="宋体" w:hAnsi="宋体" w:eastAsia="宋体" w:cs="宋体"/>
                      <w:color w:val="auto"/>
                      <w:sz w:val="21"/>
                    </w:rPr>
                    <w:t>粮食卸料</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出渣</w:t>
                  </w:r>
                </w:p>
              </w:tc>
              <w:tc>
                <w:tcPr>
                  <w:tcW w:w="2912" w:type="dxa"/>
                  <w:vAlign w:val="center"/>
                </w:tcPr>
                <w:p w14:paraId="1E8E873A">
                  <w:pPr>
                    <w:pStyle w:val="83"/>
                    <w:spacing w:before="50"/>
                    <w:ind w:left="227" w:right="221"/>
                    <w:jc w:val="center"/>
                    <w:rPr>
                      <w:rFonts w:hint="eastAsia" w:ascii="宋体" w:hAnsi="宋体" w:eastAsia="宋体" w:cs="宋体"/>
                      <w:color w:val="auto"/>
                      <w:sz w:val="21"/>
                    </w:rPr>
                  </w:pPr>
                  <w:r>
                    <w:rPr>
                      <w:rFonts w:hint="eastAsia" w:ascii="宋体" w:hAnsi="宋体" w:eastAsia="宋体" w:cs="宋体"/>
                      <w:color w:val="auto"/>
                      <w:sz w:val="21"/>
                    </w:rPr>
                    <w:t>颗粒物</w:t>
                  </w:r>
                </w:p>
              </w:tc>
            </w:tr>
            <w:tr w14:paraId="7D888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continue"/>
                  <w:tcBorders>
                    <w:top w:val="nil"/>
                  </w:tcBorders>
                  <w:vAlign w:val="center"/>
                </w:tcPr>
                <w:p w14:paraId="27871E74">
                  <w:pPr>
                    <w:jc w:val="center"/>
                    <w:rPr>
                      <w:rFonts w:hint="eastAsia" w:ascii="宋体" w:hAnsi="宋体" w:eastAsia="宋体" w:cs="宋体"/>
                      <w:color w:val="auto"/>
                      <w:sz w:val="2"/>
                      <w:szCs w:val="2"/>
                    </w:rPr>
                  </w:pPr>
                </w:p>
              </w:tc>
              <w:tc>
                <w:tcPr>
                  <w:tcW w:w="2023" w:type="dxa"/>
                  <w:vAlign w:val="center"/>
                </w:tcPr>
                <w:p w14:paraId="3FD4EE23">
                  <w:pPr>
                    <w:pStyle w:val="83"/>
                    <w:spacing w:before="48"/>
                    <w:ind w:left="570" w:right="563"/>
                    <w:jc w:val="center"/>
                    <w:rPr>
                      <w:rFonts w:hint="eastAsia" w:ascii="宋体" w:hAnsi="宋体" w:eastAsia="宋体" w:cs="宋体"/>
                      <w:color w:val="auto"/>
                      <w:sz w:val="21"/>
                    </w:rPr>
                  </w:pPr>
                  <w:r>
                    <w:rPr>
                      <w:rFonts w:hint="eastAsia" w:ascii="宋体" w:hAnsi="宋体" w:eastAsia="宋体" w:cs="宋体"/>
                      <w:color w:val="auto"/>
                      <w:sz w:val="21"/>
                    </w:rPr>
                    <w:t>筛分废气</w:t>
                  </w:r>
                </w:p>
              </w:tc>
              <w:tc>
                <w:tcPr>
                  <w:tcW w:w="2010" w:type="dxa"/>
                  <w:vAlign w:val="center"/>
                </w:tcPr>
                <w:p w14:paraId="092DE5BA">
                  <w:pPr>
                    <w:pStyle w:val="83"/>
                    <w:spacing w:before="48"/>
                    <w:ind w:left="38" w:right="32"/>
                    <w:jc w:val="center"/>
                    <w:rPr>
                      <w:rFonts w:hint="eastAsia" w:ascii="宋体" w:hAnsi="宋体" w:eastAsia="宋体" w:cs="宋体"/>
                      <w:color w:val="auto"/>
                      <w:sz w:val="21"/>
                    </w:rPr>
                  </w:pPr>
                  <w:r>
                    <w:rPr>
                      <w:rFonts w:hint="eastAsia" w:ascii="宋体" w:hAnsi="宋体" w:eastAsia="宋体" w:cs="宋体"/>
                      <w:color w:val="auto"/>
                      <w:sz w:val="21"/>
                    </w:rPr>
                    <w:t>清理筛分</w:t>
                  </w:r>
                </w:p>
              </w:tc>
              <w:tc>
                <w:tcPr>
                  <w:tcW w:w="2912" w:type="dxa"/>
                  <w:vAlign w:val="center"/>
                </w:tcPr>
                <w:p w14:paraId="79423D76">
                  <w:pPr>
                    <w:pStyle w:val="83"/>
                    <w:spacing w:before="48"/>
                    <w:ind w:left="227" w:right="221"/>
                    <w:jc w:val="center"/>
                    <w:rPr>
                      <w:rFonts w:hint="eastAsia" w:ascii="宋体" w:hAnsi="宋体" w:eastAsia="宋体" w:cs="宋体"/>
                      <w:color w:val="auto"/>
                      <w:sz w:val="21"/>
                    </w:rPr>
                  </w:pPr>
                  <w:r>
                    <w:rPr>
                      <w:rFonts w:hint="eastAsia" w:ascii="宋体" w:hAnsi="宋体" w:eastAsia="宋体" w:cs="宋体"/>
                      <w:color w:val="auto"/>
                      <w:sz w:val="21"/>
                    </w:rPr>
                    <w:t>颗粒物</w:t>
                  </w:r>
                </w:p>
              </w:tc>
            </w:tr>
            <w:tr w14:paraId="7ADF5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continue"/>
                  <w:tcBorders>
                    <w:top w:val="nil"/>
                  </w:tcBorders>
                  <w:vAlign w:val="center"/>
                </w:tcPr>
                <w:p w14:paraId="5902F708">
                  <w:pPr>
                    <w:jc w:val="center"/>
                    <w:rPr>
                      <w:rFonts w:hint="eastAsia" w:ascii="宋体" w:hAnsi="宋体" w:eastAsia="宋体" w:cs="宋体"/>
                      <w:color w:val="auto"/>
                      <w:sz w:val="2"/>
                      <w:szCs w:val="2"/>
                    </w:rPr>
                  </w:pPr>
                </w:p>
              </w:tc>
              <w:tc>
                <w:tcPr>
                  <w:tcW w:w="2023" w:type="dxa"/>
                  <w:vAlign w:val="center"/>
                </w:tcPr>
                <w:p w14:paraId="31B29E7D">
                  <w:pPr>
                    <w:pStyle w:val="83"/>
                    <w:spacing w:before="49"/>
                    <w:ind w:left="570" w:right="563"/>
                    <w:jc w:val="center"/>
                    <w:rPr>
                      <w:rFonts w:hint="eastAsia" w:ascii="宋体" w:hAnsi="宋体" w:eastAsia="宋体" w:cs="宋体"/>
                      <w:color w:val="auto"/>
                      <w:sz w:val="21"/>
                    </w:rPr>
                  </w:pPr>
                  <w:r>
                    <w:rPr>
                      <w:rFonts w:hint="eastAsia" w:ascii="宋体" w:hAnsi="宋体" w:eastAsia="宋体" w:cs="宋体"/>
                      <w:color w:val="auto"/>
                      <w:sz w:val="21"/>
                    </w:rPr>
                    <w:t>烘干废气</w:t>
                  </w:r>
                </w:p>
              </w:tc>
              <w:tc>
                <w:tcPr>
                  <w:tcW w:w="2010" w:type="dxa"/>
                  <w:vAlign w:val="center"/>
                </w:tcPr>
                <w:p w14:paraId="320869B6">
                  <w:pPr>
                    <w:pStyle w:val="83"/>
                    <w:spacing w:before="49"/>
                    <w:ind w:left="38" w:right="30"/>
                    <w:jc w:val="center"/>
                    <w:rPr>
                      <w:rFonts w:hint="eastAsia" w:ascii="宋体" w:hAnsi="宋体" w:eastAsia="宋体" w:cs="宋体"/>
                      <w:color w:val="auto"/>
                      <w:sz w:val="21"/>
                    </w:rPr>
                  </w:pPr>
                  <w:r>
                    <w:rPr>
                      <w:rFonts w:hint="eastAsia" w:ascii="宋体" w:hAnsi="宋体" w:eastAsia="宋体" w:cs="宋体"/>
                      <w:color w:val="auto"/>
                      <w:sz w:val="21"/>
                    </w:rPr>
                    <w:t>烘干机</w:t>
                  </w:r>
                </w:p>
              </w:tc>
              <w:tc>
                <w:tcPr>
                  <w:tcW w:w="2912" w:type="dxa"/>
                  <w:vAlign w:val="center"/>
                </w:tcPr>
                <w:p w14:paraId="19D049DD">
                  <w:pPr>
                    <w:pStyle w:val="83"/>
                    <w:spacing w:before="49"/>
                    <w:ind w:left="227" w:right="221"/>
                    <w:jc w:val="center"/>
                    <w:rPr>
                      <w:rFonts w:hint="eastAsia" w:ascii="宋体" w:hAnsi="宋体" w:eastAsia="宋体" w:cs="宋体"/>
                      <w:color w:val="auto"/>
                      <w:sz w:val="21"/>
                    </w:rPr>
                  </w:pPr>
                  <w:r>
                    <w:rPr>
                      <w:rFonts w:hint="eastAsia" w:ascii="宋体" w:hAnsi="宋体" w:eastAsia="宋体" w:cs="宋体"/>
                      <w:color w:val="auto"/>
                      <w:sz w:val="21"/>
                    </w:rPr>
                    <w:t>颗粒物</w:t>
                  </w:r>
                </w:p>
              </w:tc>
            </w:tr>
            <w:tr w14:paraId="0AAC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continue"/>
                  <w:tcBorders>
                    <w:top w:val="nil"/>
                  </w:tcBorders>
                  <w:vAlign w:val="center"/>
                </w:tcPr>
                <w:p w14:paraId="3BE23E47">
                  <w:pPr>
                    <w:jc w:val="center"/>
                    <w:rPr>
                      <w:rFonts w:hint="eastAsia" w:ascii="宋体" w:hAnsi="宋体" w:eastAsia="宋体" w:cs="宋体"/>
                      <w:color w:val="auto"/>
                      <w:sz w:val="2"/>
                      <w:szCs w:val="2"/>
                    </w:rPr>
                  </w:pPr>
                </w:p>
              </w:tc>
              <w:tc>
                <w:tcPr>
                  <w:tcW w:w="2023" w:type="dxa"/>
                  <w:vAlign w:val="center"/>
                </w:tcPr>
                <w:p w14:paraId="24A7448A">
                  <w:pPr>
                    <w:pStyle w:val="83"/>
                    <w:spacing w:before="48"/>
                    <w:ind w:left="570" w:right="563"/>
                    <w:jc w:val="center"/>
                    <w:rPr>
                      <w:rFonts w:hint="eastAsia" w:ascii="宋体" w:hAnsi="宋体" w:eastAsia="宋体" w:cs="宋体"/>
                      <w:color w:val="auto"/>
                      <w:sz w:val="21"/>
                    </w:rPr>
                  </w:pPr>
                  <w:r>
                    <w:rPr>
                      <w:rFonts w:hint="eastAsia" w:ascii="宋体" w:hAnsi="宋体" w:eastAsia="宋体" w:cs="宋体"/>
                      <w:color w:val="auto"/>
                      <w:sz w:val="21"/>
                      <w:lang w:val="en-US" w:eastAsia="zh-CN"/>
                    </w:rPr>
                    <w:t>燃烧</w:t>
                  </w:r>
                  <w:r>
                    <w:rPr>
                      <w:rFonts w:hint="eastAsia" w:ascii="宋体" w:hAnsi="宋体" w:eastAsia="宋体" w:cs="宋体"/>
                      <w:color w:val="auto"/>
                      <w:sz w:val="21"/>
                    </w:rPr>
                    <w:t>废气</w:t>
                  </w:r>
                </w:p>
              </w:tc>
              <w:tc>
                <w:tcPr>
                  <w:tcW w:w="2010" w:type="dxa"/>
                  <w:vAlign w:val="center"/>
                </w:tcPr>
                <w:p w14:paraId="62F70FC0">
                  <w:pPr>
                    <w:pStyle w:val="83"/>
                    <w:spacing w:before="48"/>
                    <w:ind w:left="38" w:right="30"/>
                    <w:jc w:val="center"/>
                    <w:rPr>
                      <w:rFonts w:hint="eastAsia" w:ascii="宋体" w:hAnsi="宋体" w:eastAsia="宋体" w:cs="宋体"/>
                      <w:color w:val="auto"/>
                      <w:sz w:val="21"/>
                    </w:rPr>
                  </w:pPr>
                  <w:r>
                    <w:rPr>
                      <w:rFonts w:hint="eastAsia" w:ascii="宋体" w:hAnsi="宋体" w:eastAsia="宋体" w:cs="宋体"/>
                      <w:color w:val="auto"/>
                      <w:sz w:val="21"/>
                    </w:rPr>
                    <w:t>生物质热风炉</w:t>
                  </w:r>
                </w:p>
              </w:tc>
              <w:tc>
                <w:tcPr>
                  <w:tcW w:w="2912" w:type="dxa"/>
                  <w:vAlign w:val="center"/>
                </w:tcPr>
                <w:p w14:paraId="4828494D">
                  <w:pPr>
                    <w:pStyle w:val="83"/>
                    <w:spacing w:before="45"/>
                    <w:ind w:left="227" w:right="218"/>
                    <w:jc w:val="center"/>
                    <w:rPr>
                      <w:rFonts w:hint="eastAsia" w:ascii="宋体" w:hAnsi="宋体" w:eastAsia="宋体" w:cs="宋体"/>
                      <w:color w:val="auto"/>
                      <w:sz w:val="21"/>
                    </w:rPr>
                  </w:pPr>
                  <w:r>
                    <w:rPr>
                      <w:rFonts w:hint="eastAsia" w:ascii="宋体" w:hAnsi="宋体" w:eastAsia="宋体" w:cs="宋体"/>
                      <w:color w:val="auto"/>
                      <w:position w:val="2"/>
                      <w:sz w:val="21"/>
                    </w:rPr>
                    <w:t>颗粒物、SO</w:t>
                  </w:r>
                  <w:r>
                    <w:rPr>
                      <w:rFonts w:hint="eastAsia" w:ascii="宋体" w:hAnsi="宋体" w:eastAsia="宋体" w:cs="宋体"/>
                      <w:color w:val="auto"/>
                      <w:position w:val="2"/>
                      <w:sz w:val="21"/>
                      <w:vertAlign w:val="subscript"/>
                    </w:rPr>
                    <w:t>2</w:t>
                  </w:r>
                  <w:r>
                    <w:rPr>
                      <w:rFonts w:hint="eastAsia" w:ascii="宋体" w:hAnsi="宋体" w:eastAsia="宋体" w:cs="宋体"/>
                      <w:color w:val="auto"/>
                      <w:position w:val="2"/>
                      <w:sz w:val="21"/>
                      <w:vertAlign w:val="baseline"/>
                    </w:rPr>
                    <w:t>、NO</w:t>
                  </w:r>
                  <w:r>
                    <w:rPr>
                      <w:rFonts w:hint="eastAsia" w:ascii="宋体" w:hAnsi="宋体" w:eastAsia="宋体" w:cs="宋体"/>
                      <w:color w:val="auto"/>
                      <w:position w:val="2"/>
                      <w:sz w:val="21"/>
                      <w:vertAlign w:val="subscript"/>
                    </w:rPr>
                    <w:t>X</w:t>
                  </w:r>
                </w:p>
              </w:tc>
            </w:tr>
            <w:tr w14:paraId="16680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Align w:val="center"/>
                </w:tcPr>
                <w:p w14:paraId="61B0E893">
                  <w:pPr>
                    <w:pStyle w:val="83"/>
                    <w:spacing w:before="49"/>
                    <w:ind w:left="456" w:right="448"/>
                    <w:jc w:val="center"/>
                    <w:rPr>
                      <w:rFonts w:hint="eastAsia" w:ascii="宋体" w:hAnsi="宋体" w:eastAsia="宋体" w:cs="宋体"/>
                      <w:color w:val="auto"/>
                      <w:sz w:val="21"/>
                    </w:rPr>
                  </w:pPr>
                  <w:r>
                    <w:rPr>
                      <w:rFonts w:hint="eastAsia" w:ascii="宋体" w:hAnsi="宋体" w:eastAsia="宋体" w:cs="宋体"/>
                      <w:color w:val="auto"/>
                      <w:sz w:val="21"/>
                    </w:rPr>
                    <w:t>噪声</w:t>
                  </w:r>
                </w:p>
              </w:tc>
              <w:tc>
                <w:tcPr>
                  <w:tcW w:w="2023" w:type="dxa"/>
                  <w:vAlign w:val="center"/>
                </w:tcPr>
                <w:p w14:paraId="536483F5">
                  <w:pPr>
                    <w:pStyle w:val="83"/>
                    <w:spacing w:before="49"/>
                    <w:ind w:left="570" w:right="563"/>
                    <w:jc w:val="center"/>
                    <w:rPr>
                      <w:rFonts w:hint="eastAsia" w:ascii="宋体" w:hAnsi="宋体" w:eastAsia="宋体" w:cs="宋体"/>
                      <w:color w:val="auto"/>
                      <w:sz w:val="21"/>
                    </w:rPr>
                  </w:pPr>
                  <w:r>
                    <w:rPr>
                      <w:rFonts w:hint="eastAsia" w:ascii="宋体" w:hAnsi="宋体" w:eastAsia="宋体" w:cs="宋体"/>
                      <w:color w:val="auto"/>
                      <w:sz w:val="21"/>
                    </w:rPr>
                    <w:t>设备噪声</w:t>
                  </w:r>
                </w:p>
              </w:tc>
              <w:tc>
                <w:tcPr>
                  <w:tcW w:w="2010" w:type="dxa"/>
                  <w:vAlign w:val="center"/>
                </w:tcPr>
                <w:p w14:paraId="529DCB1C">
                  <w:pPr>
                    <w:pStyle w:val="83"/>
                    <w:spacing w:before="49"/>
                    <w:ind w:left="38" w:right="32"/>
                    <w:jc w:val="center"/>
                    <w:rPr>
                      <w:rFonts w:hint="eastAsia" w:ascii="宋体" w:hAnsi="宋体" w:eastAsia="宋体" w:cs="宋体"/>
                      <w:color w:val="auto"/>
                      <w:sz w:val="21"/>
                    </w:rPr>
                  </w:pPr>
                  <w:r>
                    <w:rPr>
                      <w:rFonts w:hint="eastAsia" w:ascii="宋体" w:hAnsi="宋体" w:eastAsia="宋体" w:cs="宋体"/>
                      <w:color w:val="auto"/>
                      <w:sz w:val="21"/>
                    </w:rPr>
                    <w:t>烘干炉、风机等设备</w:t>
                  </w:r>
                </w:p>
              </w:tc>
              <w:tc>
                <w:tcPr>
                  <w:tcW w:w="2912" w:type="dxa"/>
                  <w:vAlign w:val="center"/>
                </w:tcPr>
                <w:p w14:paraId="0345D543">
                  <w:pPr>
                    <w:pStyle w:val="83"/>
                    <w:spacing w:before="49"/>
                    <w:ind w:left="226" w:right="222"/>
                    <w:jc w:val="center"/>
                    <w:rPr>
                      <w:rFonts w:hint="eastAsia" w:ascii="宋体" w:hAnsi="宋体" w:eastAsia="宋体" w:cs="宋体"/>
                      <w:color w:val="auto"/>
                      <w:sz w:val="21"/>
                    </w:rPr>
                  </w:pPr>
                  <w:r>
                    <w:rPr>
                      <w:rFonts w:hint="eastAsia" w:ascii="宋体" w:hAnsi="宋体" w:eastAsia="宋体" w:cs="宋体"/>
                      <w:color w:val="auto"/>
                      <w:sz w:val="21"/>
                    </w:rPr>
                    <w:t>等效连续A声级</w:t>
                  </w:r>
                </w:p>
              </w:tc>
            </w:tr>
            <w:tr w14:paraId="4EAE9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restart"/>
                  <w:vAlign w:val="center"/>
                </w:tcPr>
                <w:p w14:paraId="105AADA1">
                  <w:pPr>
                    <w:pStyle w:val="83"/>
                    <w:spacing w:before="171"/>
                    <w:ind w:left="456" w:right="448"/>
                    <w:jc w:val="center"/>
                    <w:rPr>
                      <w:rFonts w:hint="eastAsia" w:ascii="宋体" w:hAnsi="宋体" w:eastAsia="宋体" w:cs="宋体"/>
                      <w:color w:val="auto"/>
                      <w:sz w:val="21"/>
                    </w:rPr>
                  </w:pPr>
                  <w:r>
                    <w:rPr>
                      <w:rFonts w:hint="eastAsia" w:ascii="宋体" w:hAnsi="宋体" w:eastAsia="宋体" w:cs="宋体"/>
                      <w:color w:val="auto"/>
                      <w:sz w:val="21"/>
                    </w:rPr>
                    <w:t>固废</w:t>
                  </w:r>
                </w:p>
              </w:tc>
              <w:tc>
                <w:tcPr>
                  <w:tcW w:w="2023" w:type="dxa"/>
                  <w:vMerge w:val="restart"/>
                  <w:vAlign w:val="center"/>
                </w:tcPr>
                <w:p w14:paraId="792E164B">
                  <w:pPr>
                    <w:pStyle w:val="83"/>
                    <w:spacing w:before="171"/>
                    <w:ind w:left="379"/>
                    <w:jc w:val="center"/>
                    <w:rPr>
                      <w:rFonts w:hint="eastAsia" w:ascii="宋体" w:hAnsi="宋体" w:eastAsia="宋体" w:cs="宋体"/>
                      <w:color w:val="auto"/>
                      <w:sz w:val="21"/>
                    </w:rPr>
                  </w:pPr>
                  <w:r>
                    <w:rPr>
                      <w:rFonts w:hint="eastAsia" w:ascii="宋体" w:hAnsi="宋体" w:eastAsia="宋体" w:cs="宋体"/>
                      <w:color w:val="auto"/>
                      <w:sz w:val="21"/>
                    </w:rPr>
                    <w:t>一般工业固废</w:t>
                  </w:r>
                </w:p>
              </w:tc>
              <w:tc>
                <w:tcPr>
                  <w:tcW w:w="2010" w:type="dxa"/>
                  <w:vAlign w:val="center"/>
                </w:tcPr>
                <w:p w14:paraId="1C573494">
                  <w:pPr>
                    <w:pStyle w:val="83"/>
                    <w:spacing w:before="48"/>
                    <w:ind w:left="38" w:right="32"/>
                    <w:jc w:val="center"/>
                    <w:rPr>
                      <w:rFonts w:hint="eastAsia" w:ascii="宋体" w:hAnsi="宋体" w:eastAsia="宋体" w:cs="宋体"/>
                      <w:color w:val="auto"/>
                      <w:sz w:val="21"/>
                    </w:rPr>
                  </w:pPr>
                  <w:r>
                    <w:rPr>
                      <w:rFonts w:hint="eastAsia" w:ascii="宋体" w:hAnsi="宋体" w:eastAsia="宋体" w:cs="宋体"/>
                      <w:color w:val="auto"/>
                      <w:sz w:val="21"/>
                    </w:rPr>
                    <w:t>清理筛分</w:t>
                  </w:r>
                </w:p>
              </w:tc>
              <w:tc>
                <w:tcPr>
                  <w:tcW w:w="2912" w:type="dxa"/>
                  <w:vAlign w:val="center"/>
                </w:tcPr>
                <w:p w14:paraId="2FD7B429">
                  <w:pPr>
                    <w:pStyle w:val="83"/>
                    <w:spacing w:before="48"/>
                    <w:ind w:left="227" w:right="219"/>
                    <w:jc w:val="center"/>
                    <w:rPr>
                      <w:rFonts w:hint="eastAsia" w:ascii="宋体" w:hAnsi="宋体" w:eastAsia="宋体" w:cs="宋体"/>
                      <w:color w:val="auto"/>
                      <w:sz w:val="21"/>
                    </w:rPr>
                  </w:pPr>
                  <w:r>
                    <w:rPr>
                      <w:rFonts w:hint="eastAsia" w:ascii="宋体" w:hAnsi="宋体" w:eastAsia="宋体" w:cs="宋体"/>
                      <w:color w:val="auto"/>
                      <w:sz w:val="21"/>
                    </w:rPr>
                    <w:t>石子</w:t>
                  </w:r>
                  <w:r>
                    <w:rPr>
                      <w:rFonts w:hint="eastAsia" w:ascii="宋体" w:hAnsi="宋体" w:eastAsia="宋体" w:cs="宋体"/>
                      <w:color w:val="auto"/>
                      <w:sz w:val="21"/>
                      <w:lang w:eastAsia="zh-CN"/>
                    </w:rPr>
                    <w:t>、</w:t>
                  </w:r>
                  <w:r>
                    <w:rPr>
                      <w:rFonts w:hint="eastAsia" w:ascii="宋体" w:hAnsi="宋体" w:eastAsia="宋体" w:cs="宋体"/>
                      <w:color w:val="auto"/>
                      <w:sz w:val="21"/>
                    </w:rPr>
                    <w:t>杂草</w:t>
                  </w:r>
                </w:p>
              </w:tc>
            </w:tr>
            <w:tr w14:paraId="5998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continue"/>
                  <w:tcBorders>
                    <w:top w:val="nil"/>
                  </w:tcBorders>
                  <w:vAlign w:val="center"/>
                </w:tcPr>
                <w:p w14:paraId="136A4A3B">
                  <w:pPr>
                    <w:jc w:val="center"/>
                    <w:rPr>
                      <w:rFonts w:hint="eastAsia" w:ascii="宋体" w:hAnsi="宋体" w:eastAsia="宋体" w:cs="宋体"/>
                      <w:color w:val="auto"/>
                      <w:sz w:val="2"/>
                      <w:szCs w:val="2"/>
                    </w:rPr>
                  </w:pPr>
                </w:p>
              </w:tc>
              <w:tc>
                <w:tcPr>
                  <w:tcW w:w="2023" w:type="dxa"/>
                  <w:vMerge w:val="continue"/>
                  <w:tcBorders>
                    <w:top w:val="nil"/>
                  </w:tcBorders>
                  <w:vAlign w:val="center"/>
                </w:tcPr>
                <w:p w14:paraId="21DE65BD">
                  <w:pPr>
                    <w:jc w:val="center"/>
                    <w:rPr>
                      <w:rFonts w:hint="eastAsia" w:ascii="宋体" w:hAnsi="宋体" w:eastAsia="宋体" w:cs="宋体"/>
                      <w:color w:val="auto"/>
                      <w:sz w:val="2"/>
                      <w:szCs w:val="2"/>
                    </w:rPr>
                  </w:pPr>
                </w:p>
              </w:tc>
              <w:tc>
                <w:tcPr>
                  <w:tcW w:w="2010" w:type="dxa"/>
                  <w:vAlign w:val="center"/>
                </w:tcPr>
                <w:p w14:paraId="37104735">
                  <w:pPr>
                    <w:pStyle w:val="83"/>
                    <w:spacing w:before="50"/>
                    <w:ind w:left="38" w:right="32"/>
                    <w:jc w:val="center"/>
                    <w:rPr>
                      <w:rFonts w:hint="eastAsia" w:ascii="宋体" w:hAnsi="宋体" w:eastAsia="宋体" w:cs="宋体"/>
                      <w:color w:val="auto"/>
                      <w:sz w:val="21"/>
                    </w:rPr>
                  </w:pPr>
                  <w:r>
                    <w:rPr>
                      <w:rFonts w:hint="eastAsia" w:ascii="宋体" w:hAnsi="宋体" w:eastAsia="宋体" w:cs="宋体"/>
                      <w:color w:val="auto"/>
                      <w:sz w:val="21"/>
                    </w:rPr>
                    <w:t>除尘器收集</w:t>
                  </w:r>
                </w:p>
              </w:tc>
              <w:tc>
                <w:tcPr>
                  <w:tcW w:w="2912" w:type="dxa"/>
                  <w:vAlign w:val="center"/>
                </w:tcPr>
                <w:p w14:paraId="2D47F0EF">
                  <w:pPr>
                    <w:pStyle w:val="83"/>
                    <w:spacing w:before="50"/>
                    <w:ind w:left="227" w:right="221"/>
                    <w:jc w:val="center"/>
                    <w:rPr>
                      <w:rFonts w:hint="eastAsia" w:ascii="宋体" w:hAnsi="宋体" w:eastAsia="宋体" w:cs="宋体"/>
                      <w:color w:val="auto"/>
                      <w:sz w:val="21"/>
                    </w:rPr>
                  </w:pPr>
                  <w:r>
                    <w:rPr>
                      <w:rFonts w:hint="eastAsia" w:ascii="宋体" w:hAnsi="宋体" w:eastAsia="宋体" w:cs="宋体"/>
                      <w:color w:val="auto"/>
                      <w:sz w:val="21"/>
                    </w:rPr>
                    <w:t>粉尘（谷壳等）</w:t>
                  </w:r>
                </w:p>
              </w:tc>
            </w:tr>
            <w:tr w14:paraId="5CE4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Merge w:val="continue"/>
                  <w:tcBorders>
                    <w:top w:val="nil"/>
                  </w:tcBorders>
                  <w:vAlign w:val="center"/>
                </w:tcPr>
                <w:p w14:paraId="44FC9BC5">
                  <w:pPr>
                    <w:jc w:val="center"/>
                    <w:rPr>
                      <w:rFonts w:hint="eastAsia" w:ascii="宋体" w:hAnsi="宋体" w:eastAsia="宋体" w:cs="宋体"/>
                      <w:color w:val="auto"/>
                      <w:sz w:val="2"/>
                      <w:szCs w:val="2"/>
                    </w:rPr>
                  </w:pPr>
                </w:p>
              </w:tc>
              <w:tc>
                <w:tcPr>
                  <w:tcW w:w="2023" w:type="dxa"/>
                  <w:vMerge w:val="continue"/>
                  <w:tcBorders>
                    <w:top w:val="nil"/>
                  </w:tcBorders>
                  <w:vAlign w:val="center"/>
                </w:tcPr>
                <w:p w14:paraId="23A79DDC">
                  <w:pPr>
                    <w:jc w:val="center"/>
                    <w:rPr>
                      <w:rFonts w:hint="eastAsia" w:ascii="宋体" w:hAnsi="宋体" w:eastAsia="宋体" w:cs="宋体"/>
                      <w:color w:val="auto"/>
                      <w:sz w:val="2"/>
                      <w:szCs w:val="2"/>
                    </w:rPr>
                  </w:pPr>
                </w:p>
              </w:tc>
              <w:tc>
                <w:tcPr>
                  <w:tcW w:w="2010" w:type="dxa"/>
                  <w:vAlign w:val="center"/>
                </w:tcPr>
                <w:p w14:paraId="44FF1CA8">
                  <w:pPr>
                    <w:pStyle w:val="83"/>
                    <w:spacing w:before="48"/>
                    <w:ind w:left="38" w:right="30"/>
                    <w:jc w:val="center"/>
                    <w:rPr>
                      <w:rFonts w:hint="eastAsia" w:ascii="宋体" w:hAnsi="宋体" w:eastAsia="宋体" w:cs="宋体"/>
                      <w:color w:val="auto"/>
                      <w:sz w:val="21"/>
                    </w:rPr>
                  </w:pPr>
                  <w:r>
                    <w:rPr>
                      <w:rFonts w:hint="eastAsia" w:ascii="宋体" w:hAnsi="宋体" w:eastAsia="宋体" w:cs="宋体"/>
                      <w:color w:val="auto"/>
                      <w:sz w:val="21"/>
                    </w:rPr>
                    <w:t>生物质热风炉</w:t>
                  </w:r>
                </w:p>
              </w:tc>
              <w:tc>
                <w:tcPr>
                  <w:tcW w:w="2912" w:type="dxa"/>
                  <w:vAlign w:val="center"/>
                </w:tcPr>
                <w:p w14:paraId="3B24E0E0">
                  <w:pPr>
                    <w:pStyle w:val="83"/>
                    <w:spacing w:before="48"/>
                    <w:ind w:left="227" w:right="221"/>
                    <w:jc w:val="center"/>
                    <w:rPr>
                      <w:rFonts w:hint="default" w:ascii="宋体" w:hAnsi="宋体" w:eastAsia="宋体" w:cs="宋体"/>
                      <w:color w:val="auto"/>
                      <w:sz w:val="21"/>
                      <w:lang w:val="en-US" w:eastAsia="zh-CN"/>
                    </w:rPr>
                  </w:pPr>
                  <w:r>
                    <w:rPr>
                      <w:rFonts w:hint="eastAsia" w:ascii="宋体" w:hAnsi="宋体" w:eastAsia="宋体" w:cs="宋体"/>
                      <w:color w:val="auto"/>
                      <w:sz w:val="21"/>
                    </w:rPr>
                    <w:t>炉灰</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炉渣</w:t>
                  </w:r>
                </w:p>
              </w:tc>
            </w:tr>
            <w:tr w14:paraId="49A0D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9" w:type="dxa"/>
                  <w:vAlign w:val="center"/>
                </w:tcPr>
                <w:p w14:paraId="6E01BD9F">
                  <w:pPr>
                    <w:pStyle w:val="83"/>
                    <w:spacing w:before="50"/>
                    <w:ind w:left="456" w:right="448"/>
                    <w:jc w:val="center"/>
                    <w:rPr>
                      <w:rFonts w:hint="eastAsia" w:ascii="宋体" w:hAnsi="宋体" w:eastAsia="宋体" w:cs="宋体"/>
                      <w:color w:val="auto"/>
                      <w:sz w:val="21"/>
                    </w:rPr>
                  </w:pPr>
                  <w:r>
                    <w:rPr>
                      <w:rFonts w:hint="eastAsia" w:ascii="宋体" w:hAnsi="宋体" w:eastAsia="宋体" w:cs="宋体"/>
                      <w:color w:val="auto"/>
                      <w:sz w:val="21"/>
                    </w:rPr>
                    <w:t>废水</w:t>
                  </w:r>
                </w:p>
              </w:tc>
              <w:tc>
                <w:tcPr>
                  <w:tcW w:w="2023" w:type="dxa"/>
                  <w:vAlign w:val="center"/>
                </w:tcPr>
                <w:p w14:paraId="2204E9AD">
                  <w:pPr>
                    <w:pStyle w:val="83"/>
                    <w:spacing w:before="50"/>
                    <w:ind w:left="570" w:right="563"/>
                    <w:jc w:val="center"/>
                    <w:rPr>
                      <w:rFonts w:hint="eastAsia" w:ascii="宋体" w:hAnsi="宋体" w:eastAsia="宋体" w:cs="宋体"/>
                      <w:color w:val="auto"/>
                      <w:sz w:val="21"/>
                    </w:rPr>
                  </w:pPr>
                  <w:r>
                    <w:rPr>
                      <w:rFonts w:hint="eastAsia" w:ascii="宋体" w:hAnsi="宋体" w:eastAsia="宋体" w:cs="宋体"/>
                      <w:color w:val="auto"/>
                      <w:sz w:val="21"/>
                    </w:rPr>
                    <w:t>生活污水</w:t>
                  </w:r>
                </w:p>
              </w:tc>
              <w:tc>
                <w:tcPr>
                  <w:tcW w:w="2010" w:type="dxa"/>
                  <w:vAlign w:val="center"/>
                </w:tcPr>
                <w:p w14:paraId="50AE6B5D">
                  <w:pPr>
                    <w:pStyle w:val="83"/>
                    <w:spacing w:before="50"/>
                    <w:ind w:left="38" w:right="30"/>
                    <w:jc w:val="center"/>
                    <w:rPr>
                      <w:rFonts w:hint="eastAsia" w:ascii="宋体" w:hAnsi="宋体" w:eastAsia="宋体" w:cs="宋体"/>
                      <w:color w:val="auto"/>
                      <w:sz w:val="21"/>
                    </w:rPr>
                  </w:pPr>
                  <w:r>
                    <w:rPr>
                      <w:rFonts w:hint="eastAsia" w:ascii="宋体" w:hAnsi="宋体" w:eastAsia="宋体" w:cs="宋体"/>
                      <w:color w:val="auto"/>
                      <w:sz w:val="21"/>
                    </w:rPr>
                    <w:t>生活区</w:t>
                  </w:r>
                </w:p>
              </w:tc>
              <w:tc>
                <w:tcPr>
                  <w:tcW w:w="2912" w:type="dxa"/>
                  <w:vAlign w:val="center"/>
                </w:tcPr>
                <w:p w14:paraId="3B800ECA">
                  <w:pPr>
                    <w:pStyle w:val="83"/>
                    <w:spacing w:before="46"/>
                    <w:ind w:left="227" w:right="222"/>
                    <w:jc w:val="center"/>
                    <w:rPr>
                      <w:rFonts w:hint="eastAsia" w:ascii="宋体" w:hAnsi="宋体" w:eastAsia="宋体" w:cs="宋体"/>
                      <w:color w:val="auto"/>
                      <w:sz w:val="21"/>
                    </w:rPr>
                  </w:pPr>
                  <w:r>
                    <w:rPr>
                      <w:rFonts w:hint="eastAsia" w:ascii="宋体" w:hAnsi="宋体" w:eastAsia="宋体" w:cs="宋体"/>
                      <w:color w:val="auto"/>
                      <w:position w:val="2"/>
                      <w:sz w:val="21"/>
                    </w:rPr>
                    <w:t>COD、BOD</w:t>
                  </w:r>
                  <w:r>
                    <w:rPr>
                      <w:rFonts w:hint="eastAsia" w:ascii="宋体" w:hAnsi="宋体" w:eastAsia="宋体" w:cs="宋体"/>
                      <w:color w:val="auto"/>
                      <w:position w:val="2"/>
                      <w:sz w:val="21"/>
                      <w:vertAlign w:val="subscript"/>
                    </w:rPr>
                    <w:t>5</w:t>
                  </w:r>
                  <w:r>
                    <w:rPr>
                      <w:rFonts w:hint="eastAsia" w:ascii="宋体" w:hAnsi="宋体" w:eastAsia="宋体" w:cs="宋体"/>
                      <w:color w:val="auto"/>
                      <w:position w:val="2"/>
                      <w:sz w:val="21"/>
                      <w:vertAlign w:val="baseline"/>
                    </w:rPr>
                    <w:t>、NH</w:t>
                  </w:r>
                  <w:r>
                    <w:rPr>
                      <w:rFonts w:hint="eastAsia" w:ascii="宋体" w:hAnsi="宋体" w:eastAsia="宋体" w:cs="宋体"/>
                      <w:color w:val="auto"/>
                      <w:position w:val="2"/>
                      <w:sz w:val="21"/>
                      <w:vertAlign w:val="subscript"/>
                    </w:rPr>
                    <w:t>3</w:t>
                  </w:r>
                  <w:r>
                    <w:rPr>
                      <w:rFonts w:hint="eastAsia" w:ascii="宋体" w:hAnsi="宋体" w:eastAsia="宋体" w:cs="宋体"/>
                      <w:color w:val="auto"/>
                      <w:position w:val="2"/>
                      <w:sz w:val="21"/>
                      <w:vertAlign w:val="baseline"/>
                    </w:rPr>
                    <w:t>-N、SS</w:t>
                  </w:r>
                </w:p>
              </w:tc>
            </w:tr>
          </w:tbl>
          <w:p w14:paraId="70857928">
            <w:pPr>
              <w:pStyle w:val="83"/>
              <w:numPr>
                <w:ilvl w:val="0"/>
                <w:numId w:val="0"/>
              </w:numPr>
              <w:spacing w:before="161" w:line="360" w:lineRule="auto"/>
              <w:rPr>
                <w:rFonts w:hint="default" w:ascii="Times New Roman" w:hAnsi="Times New Roman" w:eastAsia="宋体" w:cs="Times New Roman"/>
                <w:color w:val="FF0000"/>
                <w:sz w:val="24"/>
                <w:lang w:val="en-US" w:eastAsia="zh-CN"/>
              </w:rPr>
            </w:pPr>
          </w:p>
          <w:p w14:paraId="65E2F26F">
            <w:pPr>
              <w:spacing w:line="360" w:lineRule="auto"/>
              <w:rPr>
                <w:rFonts w:hint="default" w:ascii="Times New Roman" w:hAnsi="Times New Roman" w:cs="Times New Roman"/>
                <w:color w:val="FF0000"/>
              </w:rPr>
            </w:pPr>
          </w:p>
        </w:tc>
      </w:tr>
      <w:tr w14:paraId="1F89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6" w:hRule="atLeast"/>
          <w:jc w:val="center"/>
        </w:trPr>
        <w:tc>
          <w:tcPr>
            <w:tcW w:w="257" w:type="pct"/>
            <w:vAlign w:val="center"/>
          </w:tcPr>
          <w:p w14:paraId="173ED839">
            <w:pPr>
              <w:pStyle w:val="26"/>
              <w:adjustRightInd w:val="0"/>
              <w:snapToGrid w:val="0"/>
              <w:spacing w:before="0" w:beforeAutospacing="0" w:after="0" w:afterAutospacing="0"/>
              <w:jc w:val="center"/>
              <w:rPr>
                <w:rFonts w:hint="default" w:ascii="Times New Roman" w:hAnsi="Times New Roman" w:cs="Times New Roman"/>
                <w:color w:val="auto"/>
                <w:sz w:val="21"/>
                <w:szCs w:val="21"/>
              </w:rPr>
            </w:pPr>
            <w:r>
              <w:rPr>
                <w:rFonts w:hint="default" w:ascii="Times New Roman" w:hAnsi="Times New Roman" w:cs="Times New Roman"/>
                <w:bCs/>
                <w:color w:val="auto"/>
                <w:kern w:val="2"/>
                <w:szCs w:val="24"/>
              </w:rPr>
              <w:t>与项目有关的原有环境污染问题</w:t>
            </w:r>
          </w:p>
        </w:tc>
        <w:tc>
          <w:tcPr>
            <w:tcW w:w="4742" w:type="pct"/>
          </w:tcPr>
          <w:p w14:paraId="45677A79">
            <w:pPr>
              <w:bidi w:val="0"/>
              <w:spacing w:line="360" w:lineRule="auto"/>
              <w:ind w:firstLine="480" w:firstLineChars="200"/>
              <w:rPr>
                <w:rFonts w:hint="eastAsia" w:ascii="宋体" w:hAnsi="宋体" w:eastAsia="宋体" w:cs="宋体"/>
                <w:color w:val="FF0000"/>
                <w:sz w:val="24"/>
                <w:szCs w:val="24"/>
                <w:u w:val="single"/>
                <w:lang w:eastAsia="zh-CN"/>
              </w:rPr>
            </w:pPr>
            <w:r>
              <w:rPr>
                <w:rFonts w:hint="eastAsia" w:ascii="宋体" w:hAnsi="宋体" w:cs="宋体"/>
                <w:color w:val="auto"/>
                <w:sz w:val="24"/>
                <w:szCs w:val="24"/>
                <w:u w:val="single"/>
                <w:lang w:eastAsia="zh-CN"/>
              </w:rPr>
              <w:t>澧县华鑫粮食购销有限公司南岳粮库烘干厂建设项目</w:t>
            </w:r>
            <w:r>
              <w:rPr>
                <w:rFonts w:hint="eastAsia" w:ascii="宋体" w:hAnsi="宋体" w:eastAsia="宋体" w:cs="宋体"/>
                <w:color w:val="auto"/>
                <w:sz w:val="24"/>
                <w:szCs w:val="24"/>
                <w:u w:val="single"/>
                <w:lang w:eastAsia="zh-CN"/>
              </w:rPr>
              <w:t>”由澧县华鑫粮食购销有限公司投资建设，粮食收购、储存、加工、销售；农作物种植；农产品收购、储存、加工、销售；牲畜养殖、收购、加工、销售；食品加工、销售；普通道路货物运输。（依法须经批准的项目，经相关部门批准后方可开展经营活动）</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附近居民</w:t>
            </w:r>
            <w:r>
              <w:rPr>
                <w:rFonts w:hint="eastAsia" w:ascii="宋体" w:hAnsi="宋体" w:eastAsia="宋体" w:cs="宋体"/>
                <w:color w:val="auto"/>
                <w:sz w:val="24"/>
                <w:szCs w:val="24"/>
                <w:u w:val="single"/>
                <w:lang w:eastAsia="zh-CN"/>
              </w:rPr>
              <w:t>水稻收割后，通常需要在晾晒场进行晾晒干燥，由于近期城镇化发展，晾晒场所逐渐减少，且传统晾晒方式，受天气、人工等因素制约，尤其受阴雨天气影响较大，为了满足种植生产需求，</w:t>
            </w:r>
            <w:r>
              <w:rPr>
                <w:rFonts w:hint="eastAsia" w:ascii="宋体" w:hAnsi="宋体" w:cs="宋体"/>
                <w:color w:val="auto"/>
                <w:sz w:val="24"/>
                <w:szCs w:val="24"/>
                <w:u w:val="single"/>
                <w:lang w:eastAsia="zh-CN"/>
              </w:rPr>
              <w:t>澧县华鑫粮食购销有限公司</w:t>
            </w:r>
            <w:r>
              <w:rPr>
                <w:rFonts w:hint="eastAsia" w:ascii="宋体" w:hAnsi="宋体" w:eastAsia="宋体" w:cs="宋体"/>
                <w:color w:val="auto"/>
                <w:sz w:val="24"/>
                <w:szCs w:val="24"/>
                <w:u w:val="single"/>
                <w:lang w:eastAsia="zh-CN"/>
              </w:rPr>
              <w:t>建设烘干加工生产线，项目建成后，年烘干</w:t>
            </w:r>
            <w:r>
              <w:rPr>
                <w:rFonts w:hint="eastAsia" w:ascii="宋体" w:hAnsi="宋体" w:cs="宋体"/>
                <w:color w:val="auto"/>
                <w:sz w:val="24"/>
                <w:szCs w:val="24"/>
                <w:u w:val="single"/>
                <w:lang w:val="en-US" w:eastAsia="zh-CN"/>
              </w:rPr>
              <w:t>湿</w:t>
            </w:r>
            <w:r>
              <w:rPr>
                <w:rFonts w:hint="eastAsia" w:ascii="宋体" w:hAnsi="宋体" w:eastAsia="宋体" w:cs="宋体"/>
                <w:color w:val="auto"/>
                <w:sz w:val="24"/>
                <w:szCs w:val="24"/>
                <w:u w:val="single"/>
                <w:lang w:eastAsia="zh-CN"/>
              </w:rPr>
              <w:t>水稻</w:t>
            </w:r>
            <w:r>
              <w:rPr>
                <w:rFonts w:hint="eastAsia" w:ascii="宋体" w:hAnsi="宋体" w:cs="宋体"/>
                <w:color w:val="auto"/>
                <w:sz w:val="24"/>
                <w:szCs w:val="24"/>
                <w:u w:val="single"/>
                <w:lang w:val="en-US" w:eastAsia="zh-CN"/>
              </w:rPr>
              <w:t>13000</w:t>
            </w:r>
            <w:r>
              <w:rPr>
                <w:rFonts w:hint="eastAsia" w:ascii="宋体" w:hAnsi="宋体" w:eastAsia="宋体" w:cs="宋体"/>
                <w:color w:val="auto"/>
                <w:sz w:val="24"/>
                <w:szCs w:val="24"/>
                <w:u w:val="single"/>
                <w:lang w:eastAsia="zh-CN"/>
              </w:rPr>
              <w:t>吨。</w:t>
            </w:r>
          </w:p>
          <w:p w14:paraId="791785E4">
            <w:pPr>
              <w:pStyle w:val="40"/>
              <w:rPr>
                <w:rFonts w:hint="default" w:ascii="Times New Roman" w:hAnsi="Times New Roman" w:cs="Times New Roman"/>
                <w:color w:val="auto"/>
                <w:lang w:val="en-US" w:eastAsia="zh-CN"/>
              </w:rPr>
            </w:pPr>
            <w:r>
              <w:rPr>
                <w:rFonts w:hint="eastAsia" w:ascii="Times New Roman" w:hAnsi="Times New Roman" w:cs="Times New Roman"/>
                <w:color w:val="auto"/>
                <w:u w:val="single"/>
                <w:lang w:val="en-US" w:eastAsia="zh-CN"/>
              </w:rPr>
              <w:t>本项目租用位于利用位于湖南省常德市</w:t>
            </w:r>
            <w:r>
              <w:rPr>
                <w:rFonts w:hint="eastAsia" w:ascii="宋体" w:hAnsi="宋体" w:cs="宋体"/>
                <w:color w:val="000000" w:themeColor="text1"/>
                <w:kern w:val="0"/>
                <w:sz w:val="24"/>
                <w:u w:val="single"/>
                <w:lang w:val="en-US" w:eastAsia="zh-CN" w:bidi="ar"/>
                <w14:textFill>
                  <w14:solidFill>
                    <w14:schemeClr w14:val="tx1"/>
                  </w14:solidFill>
                </w14:textFill>
              </w:rPr>
              <w:t>澧县城头山镇南岳村二组</w:t>
            </w:r>
            <w:r>
              <w:rPr>
                <w:rFonts w:hint="eastAsia" w:cs="宋体"/>
                <w:color w:val="000000" w:themeColor="text1"/>
                <w:kern w:val="0"/>
                <w:sz w:val="24"/>
                <w:u w:val="single"/>
                <w:lang w:val="en-US" w:eastAsia="zh-CN" w:bidi="ar"/>
                <w14:textFill>
                  <w14:solidFill>
                    <w14:schemeClr w14:val="tx1"/>
                  </w14:solidFill>
                </w14:textFill>
              </w:rPr>
              <w:t>原有仓库进行改建，项目原有仓库仅进行粮食储存，无原有环境问题。</w:t>
            </w:r>
          </w:p>
        </w:tc>
      </w:tr>
    </w:tbl>
    <w:p w14:paraId="1B7D8271">
      <w:pPr>
        <w:pStyle w:val="26"/>
        <w:jc w:val="center"/>
        <w:rPr>
          <w:rFonts w:ascii="黑体" w:hAnsi="黑体" w:eastAsia="黑体"/>
          <w:snapToGrid w:val="0"/>
          <w:color w:val="FF000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39040593">
      <w:pPr>
        <w:spacing w:line="360" w:lineRule="auto"/>
        <w:jc w:val="center"/>
        <w:outlineLvl w:val="0"/>
        <w:rPr>
          <w:rFonts w:hint="eastAsia"/>
          <w:b/>
          <w:bCs/>
          <w:color w:val="auto"/>
          <w:sz w:val="32"/>
          <w:szCs w:val="32"/>
        </w:rPr>
      </w:pPr>
      <w:bookmarkStart w:id="9" w:name="_Toc1246"/>
      <w:bookmarkStart w:id="10" w:name="_Toc26159"/>
      <w:r>
        <w:rPr>
          <w:rFonts w:hint="eastAsia"/>
          <w:b/>
          <w:bCs/>
          <w:color w:val="auto"/>
          <w:sz w:val="32"/>
          <w:szCs w:val="32"/>
        </w:rPr>
        <w:t>三、区域环境质量现状、环境保护目标及评价标准</w:t>
      </w:r>
      <w:bookmarkEnd w:id="9"/>
      <w:bookmarkEnd w:id="10"/>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527"/>
      </w:tblGrid>
      <w:tr w14:paraId="40BF8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31" w:hRule="atLeast"/>
          <w:jc w:val="center"/>
        </w:trPr>
        <w:tc>
          <w:tcPr>
            <w:tcW w:w="430" w:type="dxa"/>
            <w:vAlign w:val="center"/>
          </w:tcPr>
          <w:p w14:paraId="50C5F08B">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区域</w:t>
            </w:r>
          </w:p>
          <w:p w14:paraId="124F191A">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w:t>
            </w:r>
          </w:p>
          <w:p w14:paraId="25050A63">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质量</w:t>
            </w:r>
          </w:p>
          <w:p w14:paraId="14B2A9B4">
            <w:pPr>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szCs w:val="21"/>
              </w:rPr>
              <w:t>现状</w:t>
            </w:r>
          </w:p>
        </w:tc>
        <w:tc>
          <w:tcPr>
            <w:tcW w:w="8527" w:type="dxa"/>
            <w:vAlign w:val="center"/>
          </w:tcPr>
          <w:p w14:paraId="3CD1FCC2">
            <w:pPr>
              <w:spacing w:line="360" w:lineRule="auto"/>
              <w:outlineLvl w:val="0"/>
              <w:rPr>
                <w:rFonts w:hint="eastAsia" w:ascii="宋体" w:hAnsi="宋体" w:eastAsia="宋体" w:cs="宋体"/>
                <w:b/>
                <w:bCs/>
                <w:color w:val="auto"/>
                <w:sz w:val="24"/>
              </w:rPr>
            </w:pPr>
            <w:r>
              <w:rPr>
                <w:rFonts w:hint="eastAsia" w:ascii="宋体" w:hAnsi="宋体" w:eastAsia="宋体" w:cs="宋体"/>
                <w:b/>
                <w:bCs/>
                <w:color w:val="auto"/>
                <w:sz w:val="24"/>
              </w:rPr>
              <w:t>1、环境空气质量现状</w:t>
            </w:r>
          </w:p>
          <w:p w14:paraId="7ABC1827">
            <w:pPr>
              <w:keepNext w:val="0"/>
              <w:keepLines w:val="0"/>
              <w:numPr>
                <w:ilvl w:val="0"/>
                <w:numId w:val="0"/>
              </w:numPr>
              <w:suppressLineNumbers w:val="0"/>
              <w:spacing w:before="0" w:beforeAutospacing="0" w:after="0" w:afterAutospacing="0" w:line="360" w:lineRule="auto"/>
              <w:ind w:left="480" w:leftChars="0" w:right="0" w:rightChars="0"/>
              <w:rPr>
                <w:rFonts w:hint="eastAsia" w:ascii="宋体" w:hAnsi="宋体" w:eastAsia="宋体" w:cs="宋体"/>
                <w:color w:val="auto"/>
                <w:sz w:val="24"/>
              </w:rPr>
            </w:pPr>
            <w:r>
              <w:rPr>
                <w:rFonts w:hint="eastAsia" w:ascii="宋体" w:hAnsi="宋体" w:eastAsia="宋体" w:cs="宋体"/>
                <w:color w:val="auto"/>
                <w:sz w:val="24"/>
              </w:rPr>
              <w:t>①</w:t>
            </w:r>
            <w:r>
              <w:rPr>
                <w:rFonts w:hint="eastAsia" w:ascii="宋体" w:hAnsi="宋体" w:eastAsia="宋体" w:cs="宋体"/>
                <w:bCs/>
                <w:color w:val="auto"/>
                <w:sz w:val="24"/>
              </w:rPr>
              <w:t>区域环境空气质量现状调查</w:t>
            </w:r>
          </w:p>
          <w:p w14:paraId="239A24AE">
            <w:pPr>
              <w:pStyle w:val="75"/>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项目所在区域的大气环境属于二类功能区，执行《环境空气质量标准》（GB3095-2012）二级标准。为了解本项目所在区域大气环境质量现状，本次评价</w:t>
            </w:r>
            <w:r>
              <w:rPr>
                <w:rFonts w:hint="eastAsia" w:ascii="宋体" w:hAnsi="宋体" w:eastAsia="宋体" w:cs="宋体"/>
                <w:color w:val="auto"/>
                <w:sz w:val="24"/>
                <w:szCs w:val="20"/>
                <w:lang w:val="en-US" w:eastAsia="zh-CN"/>
              </w:rPr>
              <w:t>采用</w:t>
            </w:r>
            <w:r>
              <w:rPr>
                <w:rFonts w:hint="eastAsia" w:ascii="宋体" w:hAnsi="宋体" w:eastAsia="宋体" w:cs="宋体"/>
                <w:color w:val="auto"/>
                <w:sz w:val="24"/>
                <w:szCs w:val="20"/>
              </w:rPr>
              <w:t>《20</w:t>
            </w:r>
            <w:r>
              <w:rPr>
                <w:rFonts w:hint="eastAsia" w:ascii="宋体" w:hAnsi="宋体" w:eastAsia="宋体" w:cs="宋体"/>
                <w:color w:val="auto"/>
                <w:sz w:val="24"/>
                <w:szCs w:val="20"/>
                <w:lang w:val="en-US" w:eastAsia="zh-CN"/>
              </w:rPr>
              <w:t>23</w:t>
            </w:r>
            <w:r>
              <w:rPr>
                <w:rFonts w:hint="eastAsia" w:ascii="宋体" w:hAnsi="宋体" w:eastAsia="宋体" w:cs="宋体"/>
                <w:color w:val="auto"/>
                <w:sz w:val="24"/>
                <w:szCs w:val="20"/>
              </w:rPr>
              <w:t>年1-12月常德市环境空气质量状况》中</w:t>
            </w:r>
            <w:r>
              <w:rPr>
                <w:rFonts w:hint="eastAsia" w:ascii="宋体" w:hAnsi="宋体" w:eastAsia="宋体" w:cs="宋体"/>
                <w:color w:val="auto"/>
                <w:sz w:val="24"/>
                <w:szCs w:val="20"/>
                <w:lang w:val="en-US" w:eastAsia="zh-CN"/>
              </w:rPr>
              <w:t>澧县</w:t>
            </w:r>
            <w:r>
              <w:rPr>
                <w:rFonts w:hint="eastAsia" w:ascii="宋体" w:hAnsi="宋体" w:eastAsia="宋体" w:cs="宋体"/>
                <w:color w:val="auto"/>
                <w:sz w:val="24"/>
                <w:szCs w:val="20"/>
              </w:rPr>
              <w:t>环境空气质量数据，根据</w:t>
            </w:r>
            <w:r>
              <w:rPr>
                <w:rFonts w:hint="eastAsia" w:ascii="宋体" w:hAnsi="宋体" w:eastAsia="宋体" w:cs="宋体"/>
                <w:color w:val="auto"/>
                <w:sz w:val="24"/>
              </w:rPr>
              <w:t>《环境空气质量标准》（GB3095-2012）二级标准</w:t>
            </w:r>
            <w:r>
              <w:rPr>
                <w:rFonts w:hint="eastAsia" w:ascii="宋体" w:hAnsi="宋体" w:eastAsia="宋体" w:cs="宋体"/>
                <w:color w:val="auto"/>
                <w:sz w:val="24"/>
                <w:szCs w:val="20"/>
              </w:rPr>
              <w:t>对建设项目所在地区环境空气质量现状进行达标判定，判定情况详见下表。</w:t>
            </w:r>
          </w:p>
          <w:p w14:paraId="09CD974D">
            <w:pPr>
              <w:snapToGrid w:val="0"/>
              <w:spacing w:line="360" w:lineRule="auto"/>
              <w:jc w:val="center"/>
              <w:rPr>
                <w:rFonts w:hint="eastAsia" w:ascii="宋体" w:hAnsi="宋体" w:eastAsia="宋体" w:cs="宋体"/>
                <w:color w:val="auto"/>
                <w:szCs w:val="21"/>
              </w:rPr>
            </w:pPr>
            <w:r>
              <w:rPr>
                <w:rFonts w:hint="eastAsia" w:ascii="宋体" w:hAnsi="宋体" w:eastAsia="宋体" w:cs="宋体"/>
                <w:b/>
                <w:bCs/>
                <w:color w:val="auto"/>
                <w:szCs w:val="21"/>
              </w:rPr>
              <w:t>表3-1区域空气质量现状评价表（202</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年）</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735"/>
              <w:gridCol w:w="1642"/>
              <w:gridCol w:w="1809"/>
              <w:gridCol w:w="1617"/>
            </w:tblGrid>
            <w:tr w14:paraId="0A3E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Merge w:val="restart"/>
                  <w:vAlign w:val="center"/>
                </w:tcPr>
                <w:p w14:paraId="7292E859">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auto"/>
                      <w:szCs w:val="21"/>
                    </w:rPr>
                  </w:pPr>
                  <w:r>
                    <w:rPr>
                      <w:rFonts w:hint="eastAsia" w:ascii="宋体" w:hAnsi="宋体" w:eastAsia="宋体" w:cs="宋体"/>
                      <w:b/>
                      <w:bCs/>
                      <w:color w:val="auto"/>
                      <w:szCs w:val="21"/>
                    </w:rPr>
                    <w:t>评价因子</w:t>
                  </w:r>
                </w:p>
              </w:tc>
              <w:tc>
                <w:tcPr>
                  <w:tcW w:w="1045" w:type="pct"/>
                  <w:vMerge w:val="restart"/>
                  <w:vAlign w:val="center"/>
                </w:tcPr>
                <w:p w14:paraId="47773851">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auto"/>
                      <w:szCs w:val="21"/>
                    </w:rPr>
                  </w:pPr>
                  <w:r>
                    <w:rPr>
                      <w:rFonts w:hint="eastAsia" w:ascii="宋体" w:hAnsi="宋体" w:eastAsia="宋体" w:cs="宋体"/>
                      <w:b/>
                      <w:bCs/>
                      <w:color w:val="auto"/>
                      <w:szCs w:val="21"/>
                    </w:rPr>
                    <w:t>年评价指标</w:t>
                  </w:r>
                </w:p>
              </w:tc>
              <w:tc>
                <w:tcPr>
                  <w:tcW w:w="989" w:type="pct"/>
                  <w:vMerge w:val="restart"/>
                  <w:vAlign w:val="center"/>
                </w:tcPr>
                <w:p w14:paraId="0A85E70C">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auto"/>
                      <w:szCs w:val="21"/>
                    </w:rPr>
                  </w:pPr>
                  <w:r>
                    <w:rPr>
                      <w:rFonts w:hint="eastAsia" w:ascii="宋体" w:hAnsi="宋体" w:eastAsia="宋体" w:cs="宋体"/>
                      <w:b/>
                      <w:bCs/>
                      <w:color w:val="auto"/>
                      <w:szCs w:val="21"/>
                    </w:rPr>
                    <w:t>评价标准(ug/m</w:t>
                  </w:r>
                  <w:r>
                    <w:rPr>
                      <w:rFonts w:hint="eastAsia" w:ascii="宋体" w:hAnsi="宋体" w:eastAsia="宋体" w:cs="宋体"/>
                      <w:b/>
                      <w:bCs/>
                      <w:color w:val="auto"/>
                      <w:szCs w:val="21"/>
                      <w:vertAlign w:val="superscript"/>
                    </w:rPr>
                    <w:t>3</w:t>
                  </w:r>
                  <w:r>
                    <w:rPr>
                      <w:rFonts w:hint="eastAsia" w:ascii="宋体" w:hAnsi="宋体" w:eastAsia="宋体" w:cs="宋体"/>
                      <w:b/>
                      <w:bCs/>
                      <w:color w:val="auto"/>
                      <w:szCs w:val="21"/>
                    </w:rPr>
                    <w:t>)</w:t>
                  </w:r>
                </w:p>
              </w:tc>
              <w:tc>
                <w:tcPr>
                  <w:tcW w:w="1090" w:type="pct"/>
                  <w:vMerge w:val="restart"/>
                  <w:vAlign w:val="center"/>
                </w:tcPr>
                <w:p w14:paraId="5FE7BD66">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auto"/>
                      <w:szCs w:val="21"/>
                    </w:rPr>
                  </w:pPr>
                  <w:r>
                    <w:rPr>
                      <w:rFonts w:hint="eastAsia" w:ascii="宋体" w:hAnsi="宋体" w:eastAsia="宋体" w:cs="宋体"/>
                      <w:b/>
                      <w:bCs/>
                      <w:color w:val="auto"/>
                      <w:szCs w:val="21"/>
                    </w:rPr>
                    <w:t>现状浓度(ug/m</w:t>
                  </w:r>
                  <w:r>
                    <w:rPr>
                      <w:rFonts w:hint="eastAsia" w:ascii="宋体" w:hAnsi="宋体" w:eastAsia="宋体" w:cs="宋体"/>
                      <w:b/>
                      <w:bCs/>
                      <w:color w:val="auto"/>
                      <w:szCs w:val="21"/>
                      <w:vertAlign w:val="superscript"/>
                    </w:rPr>
                    <w:t>3</w:t>
                  </w:r>
                  <w:r>
                    <w:rPr>
                      <w:rFonts w:hint="eastAsia" w:ascii="宋体" w:hAnsi="宋体" w:eastAsia="宋体" w:cs="宋体"/>
                      <w:b/>
                      <w:bCs/>
                      <w:color w:val="auto"/>
                      <w:szCs w:val="21"/>
                    </w:rPr>
                    <w:t>)</w:t>
                  </w:r>
                </w:p>
              </w:tc>
              <w:tc>
                <w:tcPr>
                  <w:tcW w:w="974" w:type="pct"/>
                  <w:vMerge w:val="restart"/>
                  <w:vAlign w:val="center"/>
                </w:tcPr>
                <w:p w14:paraId="55C41FAD">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auto"/>
                      <w:szCs w:val="21"/>
                    </w:rPr>
                  </w:pPr>
                  <w:r>
                    <w:rPr>
                      <w:rFonts w:hint="eastAsia" w:ascii="宋体" w:hAnsi="宋体" w:eastAsia="宋体" w:cs="宋体"/>
                      <w:b/>
                      <w:bCs/>
                      <w:color w:val="auto"/>
                      <w:szCs w:val="21"/>
                    </w:rPr>
                    <w:t>达标情况</w:t>
                  </w:r>
                </w:p>
              </w:tc>
            </w:tr>
            <w:tr w14:paraId="58C6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Merge w:val="continue"/>
                  <w:vAlign w:val="center"/>
                </w:tcPr>
                <w:p w14:paraId="46CBCF32">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auto"/>
                      <w:szCs w:val="21"/>
                    </w:rPr>
                  </w:pPr>
                </w:p>
              </w:tc>
              <w:tc>
                <w:tcPr>
                  <w:tcW w:w="1045" w:type="pct"/>
                  <w:vMerge w:val="continue"/>
                  <w:vAlign w:val="center"/>
                </w:tcPr>
                <w:p w14:paraId="7EFE9413">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auto"/>
                      <w:szCs w:val="21"/>
                    </w:rPr>
                  </w:pPr>
                </w:p>
              </w:tc>
              <w:tc>
                <w:tcPr>
                  <w:tcW w:w="989" w:type="pct"/>
                  <w:vMerge w:val="continue"/>
                  <w:vAlign w:val="center"/>
                </w:tcPr>
                <w:p w14:paraId="0D92A26B">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auto"/>
                      <w:szCs w:val="21"/>
                    </w:rPr>
                  </w:pPr>
                </w:p>
              </w:tc>
              <w:tc>
                <w:tcPr>
                  <w:tcW w:w="1090" w:type="pct"/>
                  <w:vMerge w:val="continue"/>
                  <w:vAlign w:val="center"/>
                </w:tcPr>
                <w:p w14:paraId="782F4776">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auto"/>
                      <w:szCs w:val="21"/>
                    </w:rPr>
                  </w:pPr>
                </w:p>
              </w:tc>
              <w:tc>
                <w:tcPr>
                  <w:tcW w:w="974" w:type="pct"/>
                  <w:vMerge w:val="continue"/>
                  <w:vAlign w:val="center"/>
                </w:tcPr>
                <w:p w14:paraId="3FB91788">
                  <w:pPr>
                    <w:pBdr>
                      <w:top w:val="none" w:color="auto" w:sz="0" w:space="1"/>
                      <w:left w:val="none" w:color="auto" w:sz="0" w:space="4"/>
                      <w:bottom w:val="none" w:color="auto" w:sz="0" w:space="1"/>
                      <w:right w:val="none" w:color="auto" w:sz="0" w:space="4"/>
                    </w:pBdr>
                    <w:jc w:val="center"/>
                    <w:rPr>
                      <w:rFonts w:hint="eastAsia" w:ascii="宋体" w:hAnsi="宋体" w:eastAsia="宋体" w:cs="宋体"/>
                      <w:b/>
                      <w:bCs/>
                      <w:color w:val="auto"/>
                      <w:szCs w:val="21"/>
                    </w:rPr>
                  </w:pPr>
                </w:p>
              </w:tc>
            </w:tr>
            <w:tr w14:paraId="643C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Align w:val="center"/>
                </w:tcPr>
                <w:p w14:paraId="06244A7F">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SO</w:t>
                  </w:r>
                  <w:r>
                    <w:rPr>
                      <w:rFonts w:hint="eastAsia" w:ascii="宋体" w:hAnsi="宋体" w:eastAsia="宋体" w:cs="宋体"/>
                      <w:color w:val="auto"/>
                      <w:szCs w:val="21"/>
                      <w:vertAlign w:val="subscript"/>
                    </w:rPr>
                    <w:t>2</w:t>
                  </w:r>
                </w:p>
              </w:tc>
              <w:tc>
                <w:tcPr>
                  <w:tcW w:w="1757" w:type="dxa"/>
                  <w:vAlign w:val="center"/>
                </w:tcPr>
                <w:p w14:paraId="1E784B6B">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年均值</w:t>
                  </w:r>
                </w:p>
              </w:tc>
              <w:tc>
                <w:tcPr>
                  <w:tcW w:w="1663" w:type="dxa"/>
                  <w:vAlign w:val="center"/>
                </w:tcPr>
                <w:p w14:paraId="3B7ADC56">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60</w:t>
                  </w:r>
                </w:p>
              </w:tc>
              <w:tc>
                <w:tcPr>
                  <w:tcW w:w="1832" w:type="dxa"/>
                  <w:vAlign w:val="center"/>
                </w:tcPr>
                <w:p w14:paraId="2F48EFF8">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5</w:t>
                  </w:r>
                </w:p>
              </w:tc>
              <w:tc>
                <w:tcPr>
                  <w:tcW w:w="1637" w:type="dxa"/>
                  <w:vAlign w:val="center"/>
                </w:tcPr>
                <w:p w14:paraId="725B3491">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8.3</w:t>
                  </w:r>
                </w:p>
              </w:tc>
            </w:tr>
            <w:tr w14:paraId="529D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Align w:val="center"/>
                </w:tcPr>
                <w:p w14:paraId="4F08E92A">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NO</w:t>
                  </w:r>
                  <w:r>
                    <w:rPr>
                      <w:rFonts w:hint="eastAsia" w:ascii="宋体" w:hAnsi="宋体" w:eastAsia="宋体" w:cs="宋体"/>
                      <w:color w:val="auto"/>
                      <w:szCs w:val="21"/>
                      <w:vertAlign w:val="subscript"/>
                    </w:rPr>
                    <w:t>2</w:t>
                  </w:r>
                </w:p>
              </w:tc>
              <w:tc>
                <w:tcPr>
                  <w:tcW w:w="1757" w:type="dxa"/>
                  <w:vAlign w:val="center"/>
                </w:tcPr>
                <w:p w14:paraId="66479200">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年均值</w:t>
                  </w:r>
                </w:p>
              </w:tc>
              <w:tc>
                <w:tcPr>
                  <w:tcW w:w="1663" w:type="dxa"/>
                  <w:vAlign w:val="center"/>
                </w:tcPr>
                <w:p w14:paraId="1DDDFECB">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40</w:t>
                  </w:r>
                </w:p>
              </w:tc>
              <w:tc>
                <w:tcPr>
                  <w:tcW w:w="1832" w:type="dxa"/>
                  <w:vAlign w:val="center"/>
                </w:tcPr>
                <w:p w14:paraId="12207D98">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rPr>
                  </w:pPr>
                  <w:r>
                    <w:rPr>
                      <w:rFonts w:hint="eastAsia" w:ascii="宋体" w:hAnsi="宋体" w:eastAsia="宋体" w:cs="宋体"/>
                      <w:color w:val="auto"/>
                      <w:szCs w:val="21"/>
                    </w:rPr>
                    <w:t>13</w:t>
                  </w:r>
                </w:p>
              </w:tc>
              <w:tc>
                <w:tcPr>
                  <w:tcW w:w="1637" w:type="dxa"/>
                  <w:vAlign w:val="center"/>
                </w:tcPr>
                <w:p w14:paraId="76591E1E">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32.5</w:t>
                  </w:r>
                </w:p>
              </w:tc>
            </w:tr>
            <w:tr w14:paraId="5D58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Align w:val="center"/>
                </w:tcPr>
                <w:p w14:paraId="37482451">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PM</w:t>
                  </w:r>
                  <w:r>
                    <w:rPr>
                      <w:rFonts w:hint="eastAsia" w:ascii="宋体" w:hAnsi="宋体" w:eastAsia="宋体" w:cs="宋体"/>
                      <w:color w:val="auto"/>
                      <w:szCs w:val="21"/>
                      <w:vertAlign w:val="subscript"/>
                    </w:rPr>
                    <w:t>10</w:t>
                  </w:r>
                </w:p>
              </w:tc>
              <w:tc>
                <w:tcPr>
                  <w:tcW w:w="1757" w:type="dxa"/>
                  <w:vAlign w:val="center"/>
                </w:tcPr>
                <w:p w14:paraId="67318C51">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年均值</w:t>
                  </w:r>
                </w:p>
              </w:tc>
              <w:tc>
                <w:tcPr>
                  <w:tcW w:w="1663" w:type="dxa"/>
                  <w:vAlign w:val="center"/>
                </w:tcPr>
                <w:p w14:paraId="4BEE8E32">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70</w:t>
                  </w:r>
                </w:p>
              </w:tc>
              <w:tc>
                <w:tcPr>
                  <w:tcW w:w="1832" w:type="dxa"/>
                  <w:vAlign w:val="center"/>
                </w:tcPr>
                <w:p w14:paraId="2B7E5869">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57</w:t>
                  </w:r>
                </w:p>
              </w:tc>
              <w:tc>
                <w:tcPr>
                  <w:tcW w:w="1637" w:type="dxa"/>
                  <w:vAlign w:val="center"/>
                </w:tcPr>
                <w:p w14:paraId="0EB7877E">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81.4</w:t>
                  </w:r>
                </w:p>
              </w:tc>
            </w:tr>
            <w:tr w14:paraId="7A43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Align w:val="center"/>
                </w:tcPr>
                <w:p w14:paraId="068CF747">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CO</w:t>
                  </w:r>
                </w:p>
              </w:tc>
              <w:tc>
                <w:tcPr>
                  <w:tcW w:w="1757" w:type="dxa"/>
                  <w:vAlign w:val="center"/>
                </w:tcPr>
                <w:p w14:paraId="5435D374">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年均值</w:t>
                  </w:r>
                </w:p>
              </w:tc>
              <w:tc>
                <w:tcPr>
                  <w:tcW w:w="1663" w:type="dxa"/>
                  <w:vAlign w:val="center"/>
                </w:tcPr>
                <w:p w14:paraId="0A408CDF">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4000</w:t>
                  </w:r>
                </w:p>
              </w:tc>
              <w:tc>
                <w:tcPr>
                  <w:tcW w:w="1832" w:type="dxa"/>
                  <w:vAlign w:val="center"/>
                </w:tcPr>
                <w:p w14:paraId="0CE42D06">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0.8</w:t>
                  </w:r>
                </w:p>
              </w:tc>
              <w:tc>
                <w:tcPr>
                  <w:tcW w:w="1637" w:type="dxa"/>
                  <w:vAlign w:val="center"/>
                </w:tcPr>
                <w:p w14:paraId="31090A3E">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20</w:t>
                  </w:r>
                </w:p>
              </w:tc>
            </w:tr>
            <w:tr w14:paraId="6267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Align w:val="center"/>
                </w:tcPr>
                <w:p w14:paraId="731E130D">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O</w:t>
                  </w:r>
                  <w:r>
                    <w:rPr>
                      <w:rFonts w:hint="eastAsia" w:ascii="宋体" w:hAnsi="宋体" w:eastAsia="宋体" w:cs="宋体"/>
                      <w:color w:val="auto"/>
                      <w:szCs w:val="21"/>
                      <w:vertAlign w:val="subscript"/>
                    </w:rPr>
                    <w:t>3</w:t>
                  </w:r>
                </w:p>
              </w:tc>
              <w:tc>
                <w:tcPr>
                  <w:tcW w:w="1757" w:type="dxa"/>
                  <w:vAlign w:val="center"/>
                </w:tcPr>
                <w:p w14:paraId="7CE044C5">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年均值</w:t>
                  </w:r>
                </w:p>
              </w:tc>
              <w:tc>
                <w:tcPr>
                  <w:tcW w:w="1663" w:type="dxa"/>
                  <w:vAlign w:val="center"/>
                </w:tcPr>
                <w:p w14:paraId="083F3493">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160</w:t>
                  </w:r>
                </w:p>
              </w:tc>
              <w:tc>
                <w:tcPr>
                  <w:tcW w:w="1832" w:type="dxa"/>
                  <w:vAlign w:val="center"/>
                </w:tcPr>
                <w:p w14:paraId="2EE97407">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rPr>
                  </w:pPr>
                  <w:r>
                    <w:rPr>
                      <w:rFonts w:hint="eastAsia" w:ascii="宋体" w:hAnsi="宋体" w:eastAsia="宋体" w:cs="宋体"/>
                      <w:color w:val="auto"/>
                      <w:szCs w:val="21"/>
                    </w:rPr>
                    <w:t>135</w:t>
                  </w:r>
                </w:p>
              </w:tc>
              <w:tc>
                <w:tcPr>
                  <w:tcW w:w="1637" w:type="dxa"/>
                  <w:vAlign w:val="center"/>
                </w:tcPr>
                <w:p w14:paraId="70F374DA">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84.4</w:t>
                  </w:r>
                </w:p>
              </w:tc>
            </w:tr>
            <w:tr w14:paraId="3C18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00" w:type="pct"/>
                  <w:vAlign w:val="center"/>
                </w:tcPr>
                <w:p w14:paraId="64F15A66">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PM</w:t>
                  </w:r>
                  <w:r>
                    <w:rPr>
                      <w:rFonts w:hint="eastAsia" w:ascii="宋体" w:hAnsi="宋体" w:eastAsia="宋体" w:cs="宋体"/>
                      <w:color w:val="auto"/>
                      <w:szCs w:val="21"/>
                      <w:vertAlign w:val="subscript"/>
                    </w:rPr>
                    <w:t>2.5</w:t>
                  </w:r>
                </w:p>
              </w:tc>
              <w:tc>
                <w:tcPr>
                  <w:tcW w:w="1757" w:type="dxa"/>
                  <w:vAlign w:val="center"/>
                </w:tcPr>
                <w:p w14:paraId="264E052E">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年均值</w:t>
                  </w:r>
                </w:p>
              </w:tc>
              <w:tc>
                <w:tcPr>
                  <w:tcW w:w="1663" w:type="dxa"/>
                  <w:vAlign w:val="center"/>
                </w:tcPr>
                <w:p w14:paraId="09CB426B">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35</w:t>
                  </w:r>
                </w:p>
              </w:tc>
              <w:tc>
                <w:tcPr>
                  <w:tcW w:w="1832" w:type="dxa"/>
                  <w:vAlign w:val="center"/>
                </w:tcPr>
                <w:p w14:paraId="145EC973">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35</w:t>
                  </w:r>
                </w:p>
              </w:tc>
              <w:tc>
                <w:tcPr>
                  <w:tcW w:w="1637" w:type="dxa"/>
                  <w:vAlign w:val="center"/>
                </w:tcPr>
                <w:p w14:paraId="70F6C89E">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rPr>
                  </w:pPr>
                  <w:r>
                    <w:rPr>
                      <w:rFonts w:hint="eastAsia" w:ascii="宋体" w:hAnsi="宋体" w:eastAsia="宋体" w:cs="宋体"/>
                      <w:color w:val="auto"/>
                      <w:szCs w:val="21"/>
                    </w:rPr>
                    <w:t>100</w:t>
                  </w:r>
                </w:p>
              </w:tc>
            </w:tr>
          </w:tbl>
          <w:p w14:paraId="734DB7E1">
            <w:pPr>
              <w:adjustRightInd w:val="0"/>
              <w:snapToGrid w:val="0"/>
              <w:spacing w:line="336" w:lineRule="auto"/>
              <w:ind w:firstLine="480" w:firstLineChars="200"/>
              <w:rPr>
                <w:rFonts w:hint="eastAsia" w:ascii="宋体" w:hAnsi="宋体" w:cs="宋体"/>
                <w:color w:val="auto"/>
                <w:sz w:val="24"/>
                <w:szCs w:val="20"/>
              </w:rPr>
            </w:pPr>
            <w:r>
              <w:rPr>
                <w:rFonts w:hint="eastAsia" w:ascii="宋体" w:hAnsi="宋体" w:cs="宋体"/>
                <w:bCs/>
                <w:color w:val="auto"/>
                <w:sz w:val="24"/>
              </w:rPr>
              <w:t>根据上表数据显示，2023年度澧县环境空气中各监测因子相应的质量浓度均符合《环境空气质量标准》（GB3095-2012）中二级标准限值。本项目所在区域为环境空气质量良好。</w:t>
            </w:r>
          </w:p>
          <w:p w14:paraId="4246345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b w:val="0"/>
                <w:bCs/>
                <w:color w:val="FF0000"/>
                <w:sz w:val="24"/>
                <w:lang w:eastAsia="zh-CN"/>
              </w:rPr>
            </w:pPr>
            <w:r>
              <w:rPr>
                <w:rFonts w:hint="eastAsia" w:ascii="宋体" w:hAnsi="宋体" w:eastAsia="宋体" w:cs="宋体"/>
                <w:bCs/>
                <w:color w:val="auto"/>
                <w:sz w:val="24"/>
                <w:lang w:eastAsia="zh-CN"/>
              </w:rPr>
              <w:t>为了解项目所在地周边环境空气质量，</w:t>
            </w:r>
            <w:r>
              <w:rPr>
                <w:rFonts w:hint="eastAsia" w:ascii="宋体" w:hAnsi="宋体" w:cs="宋体"/>
                <w:bCs/>
                <w:color w:val="auto"/>
                <w:sz w:val="24"/>
                <w:lang w:val="en-US" w:eastAsia="zh-CN"/>
              </w:rPr>
              <w:t>本环评</w:t>
            </w:r>
            <w:r>
              <w:rPr>
                <w:rFonts w:hint="eastAsia" w:ascii="宋体" w:hAnsi="宋体" w:eastAsia="宋体" w:cs="宋体"/>
                <w:bCs/>
                <w:color w:val="auto"/>
                <w:sz w:val="24"/>
                <w:lang w:val="en-US" w:eastAsia="zh-CN"/>
              </w:rPr>
              <w:t>委托</w:t>
            </w:r>
            <w:r>
              <w:rPr>
                <w:rFonts w:hint="eastAsia" w:ascii="宋体" w:hAnsi="宋体" w:cs="宋体"/>
                <w:bCs/>
                <w:color w:val="auto"/>
                <w:sz w:val="24"/>
                <w:lang w:val="en-US" w:eastAsia="zh-CN"/>
              </w:rPr>
              <w:t>湖南博联检测集团有限责任公司</w:t>
            </w:r>
            <w:r>
              <w:rPr>
                <w:rFonts w:hint="eastAsia" w:ascii="宋体" w:hAnsi="宋体" w:eastAsia="宋体" w:cs="宋体"/>
                <w:bCs/>
                <w:color w:val="auto"/>
                <w:sz w:val="24"/>
                <w:lang w:eastAsia="zh-CN"/>
              </w:rPr>
              <w:t>于</w:t>
            </w:r>
            <w:r>
              <w:rPr>
                <w:rFonts w:hint="eastAsia" w:ascii="宋体" w:hAnsi="宋体" w:eastAsia="宋体" w:cs="宋体"/>
                <w:bCs/>
                <w:color w:val="auto"/>
                <w:sz w:val="24"/>
                <w:lang w:val="en-US" w:eastAsia="zh-CN"/>
              </w:rPr>
              <w:t>2024年</w:t>
            </w:r>
            <w:r>
              <w:rPr>
                <w:rFonts w:hint="eastAsia" w:ascii="宋体" w:hAnsi="宋体" w:cs="宋体"/>
                <w:bCs/>
                <w:color w:val="auto"/>
                <w:sz w:val="24"/>
                <w:lang w:val="en-US" w:eastAsia="zh-CN"/>
              </w:rPr>
              <w:t>7</w:t>
            </w:r>
            <w:r>
              <w:rPr>
                <w:rFonts w:hint="eastAsia" w:ascii="宋体" w:hAnsi="宋体" w:eastAsia="宋体" w:cs="宋体"/>
                <w:bCs/>
                <w:color w:val="auto"/>
                <w:sz w:val="24"/>
                <w:lang w:val="en-US" w:eastAsia="zh-CN"/>
              </w:rPr>
              <w:t>月</w:t>
            </w:r>
            <w:r>
              <w:rPr>
                <w:rFonts w:hint="eastAsia" w:ascii="宋体" w:hAnsi="宋体" w:cs="宋体"/>
                <w:bCs/>
                <w:color w:val="auto"/>
                <w:sz w:val="24"/>
                <w:lang w:val="en-US" w:eastAsia="zh-CN"/>
              </w:rPr>
              <w:t>12</w:t>
            </w:r>
            <w:r>
              <w:rPr>
                <w:rFonts w:hint="eastAsia" w:ascii="宋体" w:hAnsi="宋体" w:eastAsia="宋体" w:cs="宋体"/>
                <w:bCs/>
                <w:color w:val="auto"/>
                <w:sz w:val="24"/>
                <w:lang w:val="en-US" w:eastAsia="zh-CN"/>
              </w:rPr>
              <w:t>日-</w:t>
            </w:r>
            <w:r>
              <w:rPr>
                <w:rFonts w:hint="eastAsia" w:ascii="宋体" w:hAnsi="宋体" w:cs="宋体"/>
                <w:bCs/>
                <w:color w:val="auto"/>
                <w:sz w:val="24"/>
                <w:lang w:val="en-US" w:eastAsia="zh-CN"/>
              </w:rPr>
              <w:t>7</w:t>
            </w:r>
            <w:r>
              <w:rPr>
                <w:rFonts w:hint="eastAsia" w:ascii="宋体" w:hAnsi="宋体" w:eastAsia="宋体" w:cs="宋体"/>
                <w:bCs/>
                <w:color w:val="auto"/>
                <w:sz w:val="24"/>
                <w:lang w:val="en-US" w:eastAsia="zh-CN"/>
              </w:rPr>
              <w:t>月</w:t>
            </w:r>
            <w:r>
              <w:rPr>
                <w:rFonts w:hint="eastAsia" w:ascii="宋体" w:hAnsi="宋体" w:cs="宋体"/>
                <w:bCs/>
                <w:color w:val="auto"/>
                <w:sz w:val="24"/>
                <w:lang w:val="en-US" w:eastAsia="zh-CN"/>
              </w:rPr>
              <w:t>15</w:t>
            </w:r>
            <w:r>
              <w:rPr>
                <w:rFonts w:hint="eastAsia" w:ascii="宋体" w:hAnsi="宋体" w:eastAsia="宋体" w:cs="宋体"/>
                <w:bCs/>
                <w:color w:val="auto"/>
                <w:sz w:val="24"/>
                <w:lang w:val="en-US" w:eastAsia="zh-CN"/>
              </w:rPr>
              <w:t>日</w:t>
            </w:r>
            <w:r>
              <w:rPr>
                <w:rFonts w:hint="default" w:ascii="宋体" w:hAnsi="宋体" w:eastAsia="宋体" w:cs="宋体"/>
                <w:bCs/>
                <w:color w:val="auto"/>
                <w:sz w:val="24"/>
                <w:lang w:eastAsia="zh-CN"/>
              </w:rPr>
              <w:t>项目</w:t>
            </w:r>
            <w:r>
              <w:rPr>
                <w:rFonts w:hint="eastAsia" w:ascii="宋体" w:hAnsi="宋体" w:eastAsia="宋体" w:cs="宋体"/>
                <w:b w:val="0"/>
                <w:bCs/>
                <w:color w:val="auto"/>
                <w:sz w:val="24"/>
                <w:lang w:eastAsia="zh-CN"/>
              </w:rPr>
              <w:t>所在地</w:t>
            </w:r>
            <w:r>
              <w:rPr>
                <w:rFonts w:hint="eastAsia" w:ascii="宋体" w:hAnsi="宋体" w:eastAsia="宋体" w:cs="宋体"/>
                <w:b w:val="0"/>
                <w:bCs/>
                <w:color w:val="auto"/>
                <w:sz w:val="24"/>
                <w:lang w:val="en-US" w:eastAsia="zh-CN"/>
              </w:rPr>
              <w:t>TSP</w:t>
            </w:r>
            <w:r>
              <w:rPr>
                <w:rFonts w:hint="eastAsia" w:ascii="宋体" w:hAnsi="宋体" w:cs="宋体"/>
                <w:b w:val="0"/>
                <w:bCs/>
                <w:color w:val="auto"/>
                <w:sz w:val="24"/>
                <w:lang w:val="en-US" w:eastAsia="zh-CN"/>
              </w:rPr>
              <w:t>进行检测</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数据结果</w:t>
            </w:r>
            <w:r>
              <w:rPr>
                <w:rFonts w:hint="eastAsia" w:ascii="宋体" w:hAnsi="宋体" w:eastAsia="宋体" w:cs="宋体"/>
                <w:b w:val="0"/>
                <w:bCs/>
                <w:color w:val="auto"/>
                <w:sz w:val="24"/>
                <w:lang w:eastAsia="zh-CN"/>
              </w:rPr>
              <w:t>如下表。</w:t>
            </w:r>
          </w:p>
          <w:p w14:paraId="5480B9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表</w:t>
            </w:r>
            <w:r>
              <w:rPr>
                <w:rFonts w:hint="eastAsia" w:ascii="宋体" w:hAnsi="宋体" w:eastAsia="宋体" w:cs="宋体"/>
                <w:b/>
                <w:color w:val="auto"/>
                <w:sz w:val="21"/>
                <w:szCs w:val="21"/>
                <w:lang w:val="en-US" w:eastAsia="zh-CN"/>
              </w:rPr>
              <w:t xml:space="preserve">3-2 环境空气检测结果一览表 </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1615"/>
              <w:gridCol w:w="4049"/>
            </w:tblGrid>
            <w:tr w14:paraId="63E3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87" w:type="pct"/>
                  <w:vMerge w:val="restart"/>
                  <w:vAlign w:val="center"/>
                </w:tcPr>
                <w:p w14:paraId="4C6D7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采样日期</w:t>
                  </w:r>
                </w:p>
              </w:tc>
              <w:tc>
                <w:tcPr>
                  <w:tcW w:w="972" w:type="pct"/>
                  <w:vMerge w:val="restart"/>
                  <w:vAlign w:val="center"/>
                </w:tcPr>
                <w:p w14:paraId="5C5A4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检测项目</w:t>
                  </w:r>
                </w:p>
              </w:tc>
              <w:tc>
                <w:tcPr>
                  <w:tcW w:w="2439" w:type="pct"/>
                  <w:vAlign w:val="center"/>
                </w:tcPr>
                <w:p w14:paraId="39042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检测结果</w:t>
                  </w:r>
                  <w:r>
                    <w:rPr>
                      <w:rFonts w:hint="eastAsia" w:ascii="宋体" w:hAnsi="宋体" w:cs="宋体"/>
                      <w:b w:val="0"/>
                      <w:bCs/>
                      <w:color w:val="auto"/>
                      <w:sz w:val="21"/>
                      <w:szCs w:val="21"/>
                      <w:lang w:val="en-US" w:eastAsia="zh-CN"/>
                    </w:rPr>
                    <w:t>（mg/m³）</w:t>
                  </w:r>
                </w:p>
              </w:tc>
            </w:tr>
            <w:tr w14:paraId="4341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87" w:type="pct"/>
                  <w:vMerge w:val="continue"/>
                  <w:vAlign w:val="center"/>
                </w:tcPr>
                <w:p w14:paraId="297B7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color w:val="auto"/>
                      <w:sz w:val="21"/>
                      <w:szCs w:val="21"/>
                      <w:lang w:val="en-US" w:eastAsia="zh-CN"/>
                    </w:rPr>
                  </w:pPr>
                </w:p>
              </w:tc>
              <w:tc>
                <w:tcPr>
                  <w:tcW w:w="972" w:type="pct"/>
                  <w:vMerge w:val="continue"/>
                  <w:vAlign w:val="center"/>
                </w:tcPr>
                <w:p w14:paraId="04831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val="0"/>
                      <w:bCs/>
                      <w:color w:val="auto"/>
                      <w:sz w:val="21"/>
                      <w:szCs w:val="21"/>
                      <w:lang w:val="en-US" w:eastAsia="zh-CN"/>
                    </w:rPr>
                  </w:pPr>
                </w:p>
              </w:tc>
              <w:tc>
                <w:tcPr>
                  <w:tcW w:w="2439" w:type="pct"/>
                  <w:vAlign w:val="center"/>
                </w:tcPr>
                <w:p w14:paraId="6F21C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项目所在地</w:t>
                  </w:r>
                  <w:r>
                    <w:rPr>
                      <w:rFonts w:hint="eastAsia" w:ascii="宋体" w:hAnsi="宋体" w:cs="宋体"/>
                      <w:b w:val="0"/>
                      <w:bCs/>
                      <w:color w:val="auto"/>
                      <w:sz w:val="21"/>
                      <w:szCs w:val="21"/>
                      <w:lang w:val="en-US" w:eastAsia="zh-CN"/>
                    </w:rPr>
                    <w:t>主导风向（NNE）下风向G1</w:t>
                  </w:r>
                </w:p>
              </w:tc>
            </w:tr>
            <w:tr w14:paraId="0A7C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87" w:type="pct"/>
                  <w:vAlign w:val="center"/>
                </w:tcPr>
                <w:p w14:paraId="42C5ABD9">
                  <w:pPr>
                    <w:pStyle w:val="2"/>
                    <w:jc w:val="center"/>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2024-07-12～2024-07-13</w:t>
                  </w:r>
                </w:p>
              </w:tc>
              <w:tc>
                <w:tcPr>
                  <w:tcW w:w="972" w:type="pct"/>
                  <w:vAlign w:val="center"/>
                </w:tcPr>
                <w:p w14:paraId="2E2E8054">
                  <w:pPr>
                    <w:pStyle w:val="2"/>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总悬浮颗粒物</w:t>
                  </w:r>
                </w:p>
              </w:tc>
              <w:tc>
                <w:tcPr>
                  <w:tcW w:w="2439" w:type="pct"/>
                  <w:vAlign w:val="center"/>
                </w:tcPr>
                <w:p w14:paraId="46A69EF6">
                  <w:pPr>
                    <w:pStyle w:val="2"/>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0.109</w:t>
                  </w:r>
                </w:p>
              </w:tc>
            </w:tr>
            <w:tr w14:paraId="278A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87" w:type="pct"/>
                  <w:vAlign w:val="center"/>
                </w:tcPr>
                <w:p w14:paraId="4C9633A6">
                  <w:pPr>
                    <w:pStyle w:val="2"/>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2024-07-13</w:t>
                  </w:r>
                  <w:r>
                    <w:rPr>
                      <w:rFonts w:hint="eastAsia" w:ascii="宋体" w:hAnsi="宋体" w:eastAsia="宋体" w:cs="宋体"/>
                      <w:b w:val="0"/>
                      <w:bCs/>
                      <w:color w:val="auto"/>
                      <w:kern w:val="2"/>
                      <w:sz w:val="21"/>
                      <w:szCs w:val="21"/>
                      <w:lang w:val="en-US" w:eastAsia="zh-CN" w:bidi="ar-SA"/>
                    </w:rPr>
                    <w:t>～</w:t>
                  </w:r>
                  <w:r>
                    <w:rPr>
                      <w:rFonts w:hint="eastAsia" w:ascii="宋体" w:hAnsi="宋体" w:cs="宋体"/>
                      <w:b w:val="0"/>
                      <w:bCs/>
                      <w:color w:val="auto"/>
                      <w:kern w:val="2"/>
                      <w:sz w:val="21"/>
                      <w:szCs w:val="21"/>
                      <w:lang w:val="en-US" w:eastAsia="zh-CN" w:bidi="ar-SA"/>
                    </w:rPr>
                    <w:t>2024-07-14</w:t>
                  </w:r>
                </w:p>
              </w:tc>
              <w:tc>
                <w:tcPr>
                  <w:tcW w:w="972" w:type="pct"/>
                  <w:vAlign w:val="center"/>
                </w:tcPr>
                <w:p w14:paraId="0DFA1AFA">
                  <w:pPr>
                    <w:pStyle w:val="2"/>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总悬浮颗粒物</w:t>
                  </w:r>
                </w:p>
              </w:tc>
              <w:tc>
                <w:tcPr>
                  <w:tcW w:w="2439" w:type="pct"/>
                  <w:vAlign w:val="center"/>
                </w:tcPr>
                <w:p w14:paraId="40E6ACE2">
                  <w:pPr>
                    <w:pStyle w:val="2"/>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0.105</w:t>
                  </w:r>
                </w:p>
              </w:tc>
            </w:tr>
            <w:tr w14:paraId="4D48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87" w:type="pct"/>
                  <w:vAlign w:val="center"/>
                </w:tcPr>
                <w:p w14:paraId="3998988D">
                  <w:pPr>
                    <w:pStyle w:val="2"/>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2024-07-14</w:t>
                  </w:r>
                  <w:r>
                    <w:rPr>
                      <w:rFonts w:hint="eastAsia" w:ascii="宋体" w:hAnsi="宋体" w:eastAsia="宋体" w:cs="宋体"/>
                      <w:b w:val="0"/>
                      <w:bCs/>
                      <w:color w:val="auto"/>
                      <w:kern w:val="2"/>
                      <w:sz w:val="21"/>
                      <w:szCs w:val="21"/>
                      <w:lang w:val="en-US" w:eastAsia="zh-CN" w:bidi="ar-SA"/>
                    </w:rPr>
                    <w:t>～</w:t>
                  </w:r>
                  <w:r>
                    <w:rPr>
                      <w:rFonts w:hint="eastAsia" w:ascii="宋体" w:hAnsi="宋体" w:cs="宋体"/>
                      <w:b w:val="0"/>
                      <w:bCs/>
                      <w:color w:val="auto"/>
                      <w:kern w:val="2"/>
                      <w:sz w:val="21"/>
                      <w:szCs w:val="21"/>
                      <w:lang w:val="en-US" w:eastAsia="zh-CN" w:bidi="ar-SA"/>
                    </w:rPr>
                    <w:t>2024-07-15</w:t>
                  </w:r>
                </w:p>
              </w:tc>
              <w:tc>
                <w:tcPr>
                  <w:tcW w:w="972" w:type="pct"/>
                  <w:vAlign w:val="center"/>
                </w:tcPr>
                <w:p w14:paraId="5FC8C1B9">
                  <w:pPr>
                    <w:pStyle w:val="2"/>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总悬浮颗粒物</w:t>
                  </w:r>
                </w:p>
              </w:tc>
              <w:tc>
                <w:tcPr>
                  <w:tcW w:w="2439" w:type="pct"/>
                  <w:vAlign w:val="center"/>
                </w:tcPr>
                <w:p w14:paraId="7804A35A">
                  <w:pPr>
                    <w:pStyle w:val="2"/>
                    <w:jc w:val="center"/>
                    <w:rPr>
                      <w:rFonts w:hint="default"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0.108</w:t>
                  </w:r>
                </w:p>
              </w:tc>
            </w:tr>
            <w:tr w14:paraId="0161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60" w:type="pct"/>
                  <w:gridSpan w:val="2"/>
                  <w:vAlign w:val="center"/>
                </w:tcPr>
                <w:p w14:paraId="06A954E7">
                  <w:pPr>
                    <w:pStyle w:val="2"/>
                    <w:jc w:val="center"/>
                    <w:rPr>
                      <w:rFonts w:hint="default"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标准限制</w:t>
                  </w:r>
                </w:p>
              </w:tc>
              <w:tc>
                <w:tcPr>
                  <w:tcW w:w="2439" w:type="pct"/>
                  <w:vAlign w:val="center"/>
                </w:tcPr>
                <w:p w14:paraId="039F13BC">
                  <w:pPr>
                    <w:pStyle w:val="2"/>
                    <w:jc w:val="center"/>
                    <w:rPr>
                      <w:rFonts w:hint="default"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0.300</w:t>
                  </w:r>
                </w:p>
              </w:tc>
            </w:tr>
            <w:tr w14:paraId="44CE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3"/>
                  <w:vAlign w:val="center"/>
                </w:tcPr>
                <w:p w14:paraId="0F1AA892">
                  <w:pPr>
                    <w:pStyle w:val="2"/>
                    <w:jc w:val="center"/>
                    <w:rPr>
                      <w:rFonts w:hint="default" w:ascii="宋体" w:hAnsi="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备注：参考执行《环境空气质量标准》GB3095-2012表2中二级24小时平均浓度限值。</w:t>
                  </w:r>
                </w:p>
              </w:tc>
            </w:tr>
          </w:tbl>
          <w:p w14:paraId="2800FFF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default" w:ascii="Times New Roman" w:hAnsi="Times New Roman" w:cs="Times New Roman"/>
                <w:b/>
                <w:color w:val="auto"/>
                <w:sz w:val="24"/>
              </w:rPr>
            </w:pPr>
            <w:r>
              <w:rPr>
                <w:rFonts w:hint="eastAsia" w:ascii="宋体" w:hAnsi="宋体" w:eastAsia="宋体" w:cs="宋体"/>
                <w:b w:val="0"/>
                <w:bCs/>
                <w:color w:val="auto"/>
                <w:sz w:val="24"/>
                <w:lang w:eastAsia="zh-CN"/>
              </w:rPr>
              <w:t>从结果可看出，项目所在地厂界下风向环境空气中</w:t>
            </w:r>
            <w:r>
              <w:rPr>
                <w:rFonts w:hint="eastAsia" w:ascii="宋体" w:hAnsi="宋体" w:eastAsia="宋体" w:cs="宋体"/>
                <w:b w:val="0"/>
                <w:bCs/>
                <w:color w:val="auto"/>
                <w:sz w:val="24"/>
                <w:lang w:val="en-US" w:eastAsia="zh-CN"/>
              </w:rPr>
              <w:t>TSP日均值监测因子均满</w:t>
            </w:r>
            <w:r>
              <w:rPr>
                <w:rFonts w:hint="eastAsia" w:ascii="宋体" w:hAnsi="宋体" w:eastAsia="宋体" w:cs="宋体"/>
                <w:b w:val="0"/>
                <w:bCs/>
                <w:color w:val="auto"/>
                <w:sz w:val="24"/>
                <w:lang w:eastAsia="zh-CN"/>
              </w:rPr>
              <w:t>足《环境空气质量标准》（GB3095-2012）二级标准，说明区域环境空气质量现状良好。</w:t>
            </w:r>
          </w:p>
          <w:p w14:paraId="0116385C">
            <w:pPr>
              <w:pStyle w:val="22"/>
              <w:widowControl w:val="0"/>
              <w:spacing w:line="360" w:lineRule="auto"/>
              <w:ind w:firstLine="472"/>
              <w:rPr>
                <w:rFonts w:hint="default" w:ascii="Times New Roman" w:hAnsi="Times New Roman" w:cs="Times New Roman"/>
                <w:color w:val="auto"/>
                <w:sz w:val="24"/>
                <w:lang w:val="en-GB"/>
              </w:rPr>
            </w:pPr>
            <w:r>
              <w:rPr>
                <w:rFonts w:hint="default" w:ascii="Times New Roman" w:hAnsi="Times New Roman" w:cs="Times New Roman"/>
                <w:b/>
                <w:color w:val="auto"/>
                <w:sz w:val="24"/>
              </w:rPr>
              <w:t>2、地表水质量现状</w:t>
            </w:r>
          </w:p>
          <w:p w14:paraId="683FD71C">
            <w:pPr>
              <w:pStyle w:val="41"/>
              <w:keepNext w:val="0"/>
              <w:keepLines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color w:val="auto"/>
                <w:spacing w:val="0"/>
                <w:kern w:val="2"/>
                <w:sz w:val="24"/>
                <w:szCs w:val="24"/>
                <w:highlight w:val="none"/>
                <w:u w:val="none"/>
                <w:lang w:val="en-US" w:eastAsia="zh-CN" w:bidi="ar-SA"/>
              </w:rPr>
            </w:pPr>
            <w:r>
              <w:rPr>
                <w:rFonts w:hint="eastAsia" w:ascii="宋体" w:hAnsi="宋体" w:eastAsia="宋体" w:cs="宋体"/>
                <w:color w:val="auto"/>
                <w:spacing w:val="0"/>
                <w:kern w:val="2"/>
                <w:sz w:val="24"/>
                <w:szCs w:val="24"/>
                <w:highlight w:val="none"/>
                <w:u w:val="none"/>
                <w:lang w:val="en-US" w:eastAsia="zh-CN" w:bidi="ar-SA"/>
              </w:rPr>
              <w:t>为了解本项目所在区域地表水环境质量现状，本次环境影响评价地表水质量现状监测数据引用《常德市生态环境局关于2023年12月全市环境质量状况的通报》2023年12月澧水-滟州大坝上游水质状况见下表。</w:t>
            </w:r>
          </w:p>
          <w:p w14:paraId="52F0846C">
            <w:pPr>
              <w:bidi w:val="0"/>
              <w:spacing w:line="360" w:lineRule="auto"/>
              <w:jc w:val="center"/>
              <w:rPr>
                <w:rFonts w:hint="eastAsia" w:ascii="宋体" w:hAnsi="宋体" w:eastAsia="宋体" w:cs="宋体"/>
                <w:b/>
                <w:bCs/>
                <w:color w:val="auto"/>
                <w:lang w:val="en-US"/>
              </w:rPr>
            </w:pPr>
            <w:r>
              <w:rPr>
                <w:rFonts w:hint="eastAsia" w:ascii="宋体" w:hAnsi="宋体" w:eastAsia="宋体" w:cs="宋体"/>
                <w:b/>
                <w:bCs/>
                <w:color w:val="auto"/>
              </w:rPr>
              <w:t>表3-</w:t>
            </w:r>
            <w:r>
              <w:rPr>
                <w:rFonts w:hint="eastAsia" w:ascii="宋体" w:hAnsi="宋体" w:eastAsia="宋体" w:cs="宋体"/>
                <w:b/>
                <w:bCs/>
                <w:color w:val="auto"/>
                <w:lang w:val="en-US" w:eastAsia="zh-CN"/>
              </w:rPr>
              <w:t xml:space="preserve">3 </w:t>
            </w:r>
            <w:r>
              <w:rPr>
                <w:rFonts w:hint="eastAsia" w:ascii="宋体" w:hAnsi="宋体" w:eastAsia="宋体" w:cs="宋体"/>
                <w:b/>
                <w:bCs/>
                <w:color w:val="auto"/>
                <w:kern w:val="0"/>
                <w:szCs w:val="21"/>
                <w:u w:val="none"/>
              </w:rPr>
              <w:t>地表水监测断面水质状况</w:t>
            </w:r>
          </w:p>
          <w:tbl>
            <w:tblPr>
              <w:tblStyle w:val="29"/>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184"/>
              <w:gridCol w:w="679"/>
              <w:gridCol w:w="1088"/>
              <w:gridCol w:w="1089"/>
              <w:gridCol w:w="1088"/>
              <w:gridCol w:w="1088"/>
              <w:gridCol w:w="1410"/>
            </w:tblGrid>
            <w:tr w14:paraId="6CD4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444" w:type="dxa"/>
                  <w:vMerge w:val="restart"/>
                  <w:vAlign w:val="center"/>
                </w:tcPr>
                <w:p w14:paraId="4FB9D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序号</w:t>
                  </w:r>
                </w:p>
              </w:tc>
              <w:tc>
                <w:tcPr>
                  <w:tcW w:w="1184" w:type="dxa"/>
                  <w:vMerge w:val="restart"/>
                  <w:vAlign w:val="center"/>
                </w:tcPr>
                <w:p w14:paraId="5E30C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所在或考核区县</w:t>
                  </w:r>
                </w:p>
              </w:tc>
              <w:tc>
                <w:tcPr>
                  <w:tcW w:w="679" w:type="dxa"/>
                  <w:vMerge w:val="restart"/>
                  <w:vAlign w:val="center"/>
                </w:tcPr>
                <w:p w14:paraId="5496F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河流名称</w:t>
                  </w:r>
                </w:p>
              </w:tc>
              <w:tc>
                <w:tcPr>
                  <w:tcW w:w="1088" w:type="dxa"/>
                  <w:vMerge w:val="restart"/>
                  <w:vAlign w:val="center"/>
                </w:tcPr>
                <w:p w14:paraId="456D2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断面名称</w:t>
                  </w:r>
                </w:p>
              </w:tc>
              <w:tc>
                <w:tcPr>
                  <w:tcW w:w="1089" w:type="dxa"/>
                  <w:vMerge w:val="restart"/>
                  <w:vAlign w:val="center"/>
                </w:tcPr>
                <w:p w14:paraId="24C9E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断面属性</w:t>
                  </w:r>
                </w:p>
              </w:tc>
              <w:tc>
                <w:tcPr>
                  <w:tcW w:w="1088" w:type="dxa"/>
                  <w:vMerge w:val="restart"/>
                  <w:vAlign w:val="center"/>
                </w:tcPr>
                <w:p w14:paraId="47144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上月（季）水质类别</w:t>
                  </w:r>
                </w:p>
              </w:tc>
              <w:tc>
                <w:tcPr>
                  <w:tcW w:w="1088" w:type="dxa"/>
                  <w:vMerge w:val="restart"/>
                  <w:vAlign w:val="center"/>
                </w:tcPr>
                <w:p w14:paraId="79AA4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上年同期水质类别</w:t>
                  </w:r>
                </w:p>
              </w:tc>
              <w:tc>
                <w:tcPr>
                  <w:tcW w:w="1410" w:type="dxa"/>
                  <w:vAlign w:val="center"/>
                </w:tcPr>
                <w:p w14:paraId="7EBAD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202</w:t>
                  </w:r>
                  <w:r>
                    <w:rPr>
                      <w:rFonts w:hint="eastAsia" w:ascii="宋体" w:hAnsi="宋体" w:eastAsia="宋体" w:cs="宋体"/>
                      <w:color w:val="auto"/>
                      <w:kern w:val="0"/>
                      <w:sz w:val="21"/>
                      <w:szCs w:val="21"/>
                      <w:u w:val="none"/>
                      <w:lang w:val="en-US" w:eastAsia="zh-CN"/>
                    </w:rPr>
                    <w:t>3</w:t>
                  </w:r>
                  <w:r>
                    <w:rPr>
                      <w:rFonts w:hint="eastAsia" w:ascii="宋体" w:hAnsi="宋体" w:eastAsia="宋体" w:cs="宋体"/>
                      <w:color w:val="auto"/>
                      <w:kern w:val="0"/>
                      <w:sz w:val="21"/>
                      <w:szCs w:val="21"/>
                      <w:u w:val="none"/>
                    </w:rPr>
                    <w:t>年1</w:t>
                  </w:r>
                  <w:r>
                    <w:rPr>
                      <w:rFonts w:hint="eastAsia" w:ascii="宋体" w:hAnsi="宋体" w:eastAsia="宋体" w:cs="宋体"/>
                      <w:color w:val="auto"/>
                      <w:kern w:val="0"/>
                      <w:sz w:val="21"/>
                      <w:szCs w:val="21"/>
                      <w:u w:val="none"/>
                      <w:lang w:val="en-US" w:eastAsia="zh-CN"/>
                    </w:rPr>
                    <w:t>1</w:t>
                  </w:r>
                  <w:r>
                    <w:rPr>
                      <w:rFonts w:hint="eastAsia" w:ascii="宋体" w:hAnsi="宋体" w:eastAsia="宋体" w:cs="宋体"/>
                      <w:color w:val="auto"/>
                      <w:kern w:val="0"/>
                      <w:sz w:val="21"/>
                      <w:szCs w:val="21"/>
                      <w:u w:val="none"/>
                    </w:rPr>
                    <w:t>月</w:t>
                  </w:r>
                </w:p>
              </w:tc>
            </w:tr>
            <w:tr w14:paraId="0D45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44" w:type="dxa"/>
                  <w:vMerge w:val="continue"/>
                  <w:vAlign w:val="center"/>
                </w:tcPr>
                <w:p w14:paraId="79043CB1">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u w:val="none"/>
                    </w:rPr>
                  </w:pPr>
                </w:p>
              </w:tc>
              <w:tc>
                <w:tcPr>
                  <w:tcW w:w="1184" w:type="dxa"/>
                  <w:vMerge w:val="continue"/>
                  <w:vAlign w:val="center"/>
                </w:tcPr>
                <w:p w14:paraId="20104B8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u w:val="none"/>
                    </w:rPr>
                  </w:pPr>
                </w:p>
              </w:tc>
              <w:tc>
                <w:tcPr>
                  <w:tcW w:w="679" w:type="dxa"/>
                  <w:vMerge w:val="continue"/>
                  <w:vAlign w:val="center"/>
                </w:tcPr>
                <w:p w14:paraId="606F85C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u w:val="none"/>
                    </w:rPr>
                  </w:pPr>
                </w:p>
              </w:tc>
              <w:tc>
                <w:tcPr>
                  <w:tcW w:w="1088" w:type="dxa"/>
                  <w:vMerge w:val="continue"/>
                  <w:vAlign w:val="center"/>
                </w:tcPr>
                <w:p w14:paraId="71C0F04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u w:val="none"/>
                    </w:rPr>
                  </w:pPr>
                </w:p>
              </w:tc>
              <w:tc>
                <w:tcPr>
                  <w:tcW w:w="1089" w:type="dxa"/>
                  <w:vMerge w:val="continue"/>
                  <w:vAlign w:val="center"/>
                </w:tcPr>
                <w:p w14:paraId="36886D4D">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u w:val="none"/>
                    </w:rPr>
                  </w:pPr>
                </w:p>
              </w:tc>
              <w:tc>
                <w:tcPr>
                  <w:tcW w:w="1088" w:type="dxa"/>
                  <w:vMerge w:val="continue"/>
                  <w:vAlign w:val="center"/>
                </w:tcPr>
                <w:p w14:paraId="083D51EE">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u w:val="none"/>
                    </w:rPr>
                  </w:pPr>
                </w:p>
              </w:tc>
              <w:tc>
                <w:tcPr>
                  <w:tcW w:w="1088" w:type="dxa"/>
                  <w:vMerge w:val="continue"/>
                  <w:vAlign w:val="center"/>
                </w:tcPr>
                <w:p w14:paraId="3BD5AF4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u w:val="none"/>
                    </w:rPr>
                  </w:pPr>
                </w:p>
              </w:tc>
              <w:tc>
                <w:tcPr>
                  <w:tcW w:w="1410" w:type="dxa"/>
                  <w:vAlign w:val="center"/>
                </w:tcPr>
                <w:p w14:paraId="05015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水质类别</w:t>
                  </w:r>
                </w:p>
              </w:tc>
            </w:tr>
            <w:tr w14:paraId="2BFC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44" w:type="dxa"/>
                  <w:vAlign w:val="center"/>
                </w:tcPr>
                <w:p w14:paraId="5BEC7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w:t>
                  </w:r>
                </w:p>
              </w:tc>
              <w:tc>
                <w:tcPr>
                  <w:tcW w:w="1184" w:type="dxa"/>
                  <w:vAlign w:val="center"/>
                </w:tcPr>
                <w:p w14:paraId="7CFD83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val="en-US" w:eastAsia="zh-CN"/>
                    </w:rPr>
                    <w:t>澧县</w:t>
                  </w:r>
                </w:p>
              </w:tc>
              <w:tc>
                <w:tcPr>
                  <w:tcW w:w="679" w:type="dxa"/>
                  <w:vAlign w:val="center"/>
                </w:tcPr>
                <w:p w14:paraId="4D103E9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澧水</w:t>
                  </w:r>
                </w:p>
              </w:tc>
              <w:tc>
                <w:tcPr>
                  <w:tcW w:w="1088" w:type="dxa"/>
                  <w:vAlign w:val="center"/>
                </w:tcPr>
                <w:p w14:paraId="700D64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滟州大坝上游</w:t>
                  </w:r>
                </w:p>
              </w:tc>
              <w:tc>
                <w:tcPr>
                  <w:tcW w:w="1089" w:type="dxa"/>
                  <w:vAlign w:val="center"/>
                </w:tcPr>
                <w:p w14:paraId="0083AE7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省考核</w:t>
                  </w:r>
                </w:p>
              </w:tc>
              <w:tc>
                <w:tcPr>
                  <w:tcW w:w="1088" w:type="dxa"/>
                  <w:vAlign w:val="center"/>
                </w:tcPr>
                <w:p w14:paraId="5ED8EE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Ⅱ</w:t>
                  </w:r>
                </w:p>
              </w:tc>
              <w:tc>
                <w:tcPr>
                  <w:tcW w:w="1088" w:type="dxa"/>
                  <w:vAlign w:val="center"/>
                </w:tcPr>
                <w:p w14:paraId="4F2DD3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Ⅰ</w:t>
                  </w:r>
                </w:p>
              </w:tc>
              <w:tc>
                <w:tcPr>
                  <w:tcW w:w="1410" w:type="dxa"/>
                  <w:vAlign w:val="center"/>
                </w:tcPr>
                <w:p w14:paraId="2B5B5B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Ⅱ</w:t>
                  </w:r>
                </w:p>
              </w:tc>
            </w:tr>
          </w:tbl>
          <w:p w14:paraId="1BF4005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根据上表结果表明</w:t>
            </w:r>
            <w:r>
              <w:rPr>
                <w:rFonts w:hint="eastAsia" w:ascii="宋体" w:hAnsi="宋体" w:eastAsia="宋体" w:cs="宋体"/>
                <w:color w:val="auto"/>
                <w:sz w:val="24"/>
                <w:lang w:val="en-US" w:eastAsia="zh-CN"/>
              </w:rPr>
              <w:t>澧水</w:t>
            </w:r>
            <w:r>
              <w:rPr>
                <w:rFonts w:hint="eastAsia" w:ascii="宋体" w:hAnsi="宋体" w:eastAsia="宋体" w:cs="宋体"/>
                <w:color w:val="auto"/>
                <w:sz w:val="24"/>
              </w:rPr>
              <w:t>的水质类别为Ⅱ类，优于《地表水质量标准》（GB3838-2002）Ⅲ类标准，说明项目区域水环境质量较好。</w:t>
            </w:r>
          </w:p>
          <w:p w14:paraId="5E1104B6">
            <w:pPr>
              <w:pStyle w:val="22"/>
              <w:widowControl w:val="0"/>
              <w:spacing w:line="360" w:lineRule="auto"/>
              <w:ind w:firstLine="472"/>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3、项目所在地声环境质量现状</w:t>
            </w:r>
          </w:p>
          <w:p w14:paraId="3CC72570">
            <w:pPr>
              <w:spacing w:line="360" w:lineRule="auto"/>
              <w:ind w:firstLine="480" w:firstLineChars="200"/>
              <w:rPr>
                <w:rFonts w:hint="eastAsia" w:ascii="宋体" w:hAnsi="宋体" w:eastAsia="宋体" w:cs="宋体"/>
                <w:b/>
                <w:bCs/>
                <w:color w:val="auto"/>
                <w:kern w:val="2"/>
                <w:sz w:val="21"/>
                <w:szCs w:val="21"/>
                <w:u w:val="none"/>
                <w:lang w:val="en-US" w:eastAsia="zh-CN" w:bidi="ar-SA"/>
              </w:rPr>
            </w:pPr>
            <w:r>
              <w:rPr>
                <w:rFonts w:hint="eastAsia" w:ascii="宋体" w:hAnsi="宋体" w:eastAsia="宋体" w:cs="宋体"/>
                <w:bCs/>
                <w:color w:val="auto"/>
                <w:kern w:val="2"/>
                <w:sz w:val="24"/>
                <w:szCs w:val="24"/>
                <w:lang w:val="en-US" w:eastAsia="zh-CN" w:bidi="ar-SA"/>
              </w:rPr>
              <w:t>项目50m范围内有居民，故对</w:t>
            </w:r>
            <w:r>
              <w:rPr>
                <w:rFonts w:hint="eastAsia" w:ascii="宋体" w:hAnsi="宋体" w:eastAsia="宋体" w:cs="宋体"/>
                <w:color w:val="auto"/>
                <w:spacing w:val="0"/>
                <w:kern w:val="2"/>
                <w:sz w:val="24"/>
                <w:szCs w:val="24"/>
              </w:rPr>
              <w:t>本项目进行声环境质量现状监测</w:t>
            </w:r>
            <w:r>
              <w:rPr>
                <w:rFonts w:hint="eastAsia" w:ascii="宋体" w:hAnsi="宋体" w:eastAsia="宋体" w:cs="宋体"/>
                <w:color w:val="auto"/>
                <w:spacing w:val="0"/>
                <w:kern w:val="2"/>
                <w:sz w:val="24"/>
                <w:szCs w:val="24"/>
                <w:lang w:eastAsia="zh-CN"/>
              </w:rPr>
              <w:t>。</w:t>
            </w:r>
            <w:r>
              <w:rPr>
                <w:rFonts w:hint="eastAsia" w:ascii="宋体" w:hAnsi="宋体" w:eastAsia="宋体" w:cs="宋体"/>
                <w:bCs w:val="0"/>
                <w:color w:val="auto"/>
                <w:sz w:val="24"/>
              </w:rPr>
              <w:t>本环评</w:t>
            </w:r>
            <w:r>
              <w:rPr>
                <w:rFonts w:hint="eastAsia" w:ascii="宋体" w:hAnsi="宋体" w:eastAsia="宋体" w:cs="宋体"/>
                <w:bCs w:val="0"/>
                <w:color w:val="auto"/>
                <w:sz w:val="24"/>
                <w:lang w:val="en-US" w:eastAsia="zh-CN"/>
              </w:rPr>
              <w:t>委托湖南博联检测集团有限责任公司于2024年</w:t>
            </w:r>
            <w:r>
              <w:rPr>
                <w:rFonts w:hint="eastAsia" w:ascii="宋体" w:hAnsi="宋体" w:cs="宋体"/>
                <w:bCs w:val="0"/>
                <w:color w:val="auto"/>
                <w:sz w:val="24"/>
                <w:lang w:val="en-US" w:eastAsia="zh-CN"/>
              </w:rPr>
              <w:t>7</w:t>
            </w:r>
            <w:r>
              <w:rPr>
                <w:rFonts w:hint="eastAsia" w:ascii="宋体" w:hAnsi="宋体" w:eastAsia="宋体" w:cs="宋体"/>
                <w:bCs w:val="0"/>
                <w:color w:val="auto"/>
                <w:sz w:val="24"/>
                <w:lang w:val="en-US" w:eastAsia="zh-CN"/>
              </w:rPr>
              <w:t>月</w:t>
            </w:r>
            <w:r>
              <w:rPr>
                <w:rFonts w:hint="eastAsia" w:ascii="宋体" w:hAnsi="宋体" w:cs="宋体"/>
                <w:bCs w:val="0"/>
                <w:color w:val="auto"/>
                <w:sz w:val="24"/>
                <w:lang w:val="en-US" w:eastAsia="zh-CN"/>
              </w:rPr>
              <w:t>12</w:t>
            </w:r>
            <w:r>
              <w:rPr>
                <w:rFonts w:hint="eastAsia" w:ascii="宋体" w:hAnsi="宋体" w:eastAsia="宋体" w:cs="宋体"/>
                <w:bCs w:val="0"/>
                <w:color w:val="auto"/>
                <w:sz w:val="24"/>
                <w:lang w:val="en-US" w:eastAsia="zh-CN"/>
              </w:rPr>
              <w:t>日对</w:t>
            </w:r>
            <w:r>
              <w:rPr>
                <w:rFonts w:hint="eastAsia" w:ascii="宋体" w:hAnsi="宋体" w:cs="宋体"/>
                <w:bCs w:val="0"/>
                <w:color w:val="auto"/>
                <w:sz w:val="24"/>
                <w:lang w:val="en-US" w:eastAsia="zh-CN"/>
              </w:rPr>
              <w:t>附近</w:t>
            </w:r>
            <w:r>
              <w:rPr>
                <w:rFonts w:hint="eastAsia" w:ascii="宋体" w:hAnsi="宋体" w:eastAsia="宋体" w:cs="宋体"/>
                <w:bCs w:val="0"/>
                <w:color w:val="auto"/>
                <w:sz w:val="24"/>
                <w:lang w:val="en-US" w:eastAsia="zh-CN"/>
              </w:rPr>
              <w:t>居民点进行检测</w:t>
            </w:r>
            <w:r>
              <w:rPr>
                <w:rFonts w:hint="eastAsia" w:ascii="宋体" w:hAnsi="宋体" w:eastAsia="宋体" w:cs="宋体"/>
                <w:bCs w:val="0"/>
                <w:color w:val="auto"/>
                <w:sz w:val="24"/>
              </w:rPr>
              <w:t>，其监测数据及评价结果见</w:t>
            </w:r>
            <w:r>
              <w:rPr>
                <w:rFonts w:hint="eastAsia" w:ascii="宋体" w:hAnsi="宋体" w:eastAsia="宋体" w:cs="宋体"/>
                <w:bCs w:val="0"/>
                <w:color w:val="auto"/>
                <w:sz w:val="24"/>
                <w:lang w:val="en-US" w:eastAsia="zh-CN"/>
              </w:rPr>
              <w:t>下</w:t>
            </w:r>
            <w:r>
              <w:rPr>
                <w:rFonts w:hint="eastAsia" w:ascii="宋体" w:hAnsi="宋体" w:eastAsia="宋体" w:cs="宋体"/>
                <w:bCs w:val="0"/>
                <w:color w:val="auto"/>
                <w:sz w:val="24"/>
              </w:rPr>
              <w:t>表</w:t>
            </w:r>
            <w:r>
              <w:rPr>
                <w:rFonts w:hint="eastAsia" w:ascii="宋体" w:hAnsi="宋体" w:eastAsia="宋体" w:cs="宋体"/>
                <w:bCs w:val="0"/>
                <w:color w:val="auto"/>
                <w:sz w:val="24"/>
                <w:lang w:eastAsia="zh-CN"/>
              </w:rPr>
              <w:t>：</w:t>
            </w:r>
          </w:p>
          <w:p w14:paraId="42261C06">
            <w:pPr>
              <w:pStyle w:val="8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表</w:t>
            </w:r>
            <w:r>
              <w:rPr>
                <w:rFonts w:hint="eastAsia" w:ascii="宋体" w:hAnsi="宋体" w:eastAsia="宋体" w:cs="宋体"/>
                <w:b/>
                <w:color w:val="auto"/>
                <w:sz w:val="21"/>
                <w:szCs w:val="21"/>
                <w:lang w:val="en-US" w:eastAsia="zh-CN"/>
              </w:rPr>
              <w:t>3-4</w:t>
            </w:r>
            <w:r>
              <w:rPr>
                <w:rFonts w:hint="eastAsia" w:ascii="宋体" w:hAnsi="宋体" w:eastAsia="宋体" w:cs="宋体"/>
                <w:b/>
                <w:color w:val="auto"/>
                <w:sz w:val="21"/>
                <w:szCs w:val="21"/>
              </w:rPr>
              <w:t>项目噪声监测结果</w:t>
            </w:r>
            <w:r>
              <w:rPr>
                <w:rFonts w:hint="eastAsia" w:ascii="宋体" w:hAnsi="宋体" w:eastAsia="宋体" w:cs="宋体"/>
                <w:b/>
                <w:color w:val="auto"/>
                <w:szCs w:val="21"/>
                <w:u w:val="none"/>
              </w:rPr>
              <w:t>单位：dB</w:t>
            </w:r>
            <w:r>
              <w:rPr>
                <w:rFonts w:hint="eastAsia" w:ascii="宋体" w:hAnsi="宋体" w:eastAsia="宋体" w:cs="宋体"/>
                <w:b/>
                <w:color w:val="auto"/>
                <w:szCs w:val="21"/>
                <w:u w:val="none"/>
                <w:lang w:eastAsia="zh-CN"/>
              </w:rPr>
              <w:t>（</w:t>
            </w:r>
            <w:r>
              <w:rPr>
                <w:rFonts w:hint="eastAsia" w:ascii="宋体" w:hAnsi="宋体" w:eastAsia="宋体" w:cs="宋体"/>
                <w:b/>
                <w:color w:val="auto"/>
                <w:szCs w:val="21"/>
                <w:u w:val="none"/>
                <w:lang w:val="en-US" w:eastAsia="zh-CN"/>
              </w:rPr>
              <w:t>A</w:t>
            </w:r>
            <w:r>
              <w:rPr>
                <w:rFonts w:hint="eastAsia" w:ascii="宋体" w:hAnsi="宋体" w:eastAsia="宋体" w:cs="宋体"/>
                <w:b/>
                <w:color w:val="auto"/>
                <w:szCs w:val="21"/>
                <w:u w:val="none"/>
                <w:lang w:eastAsia="zh-CN"/>
              </w:rPr>
              <w:t>）</w:t>
            </w:r>
          </w:p>
          <w:tbl>
            <w:tblPr>
              <w:tblStyle w:val="30"/>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862"/>
              <w:gridCol w:w="1352"/>
              <w:gridCol w:w="4"/>
              <w:gridCol w:w="3898"/>
              <w:gridCol w:w="4"/>
              <w:gridCol w:w="237"/>
            </w:tblGrid>
            <w:tr w14:paraId="5504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6" w:type="pct"/>
                <w:trHeight w:val="499" w:hRule="atLeast"/>
              </w:trPr>
              <w:tc>
                <w:tcPr>
                  <w:tcW w:w="742" w:type="pct"/>
                  <w:vAlign w:val="center"/>
                </w:tcPr>
                <w:p w14:paraId="4B0A140E">
                  <w:pPr>
                    <w:pStyle w:val="69"/>
                    <w:bidi w:val="0"/>
                    <w:jc w:val="center"/>
                    <w:rPr>
                      <w:rFonts w:hint="eastAsia" w:hAnsi="宋体" w:cs="宋体"/>
                      <w:color w:val="auto"/>
                      <w:lang w:val="en-US" w:eastAsia="zh-CN"/>
                    </w:rPr>
                  </w:pPr>
                  <w:r>
                    <w:rPr>
                      <w:rFonts w:hint="eastAsia" w:hAnsi="宋体" w:cs="宋体"/>
                      <w:color w:val="auto"/>
                      <w:lang w:val="en-US" w:eastAsia="zh-CN"/>
                    </w:rPr>
                    <w:t>监测日期</w:t>
                  </w:r>
                </w:p>
              </w:tc>
              <w:tc>
                <w:tcPr>
                  <w:tcW w:w="1078" w:type="pct"/>
                  <w:vAlign w:val="center"/>
                </w:tcPr>
                <w:p w14:paraId="0F241510">
                  <w:pPr>
                    <w:pStyle w:val="69"/>
                    <w:bidi w:val="0"/>
                    <w:jc w:val="center"/>
                    <w:rPr>
                      <w:rFonts w:hint="eastAsia" w:hAnsi="宋体" w:cs="宋体"/>
                      <w:color w:val="auto"/>
                      <w:lang w:val="en-US" w:eastAsia="zh-CN"/>
                    </w:rPr>
                  </w:pPr>
                  <w:r>
                    <w:rPr>
                      <w:rFonts w:hint="eastAsia" w:hAnsi="宋体" w:cs="宋体"/>
                      <w:color w:val="auto"/>
                      <w:lang w:val="en-US" w:eastAsia="zh-CN"/>
                    </w:rPr>
                    <w:t>点位名称</w:t>
                  </w:r>
                </w:p>
              </w:tc>
              <w:tc>
                <w:tcPr>
                  <w:tcW w:w="783" w:type="pct"/>
                  <w:vAlign w:val="center"/>
                </w:tcPr>
                <w:p w14:paraId="196592CA">
                  <w:pPr>
                    <w:pStyle w:val="69"/>
                    <w:bidi w:val="0"/>
                    <w:jc w:val="center"/>
                    <w:rPr>
                      <w:rFonts w:hint="eastAsia" w:hAnsi="宋体" w:cs="宋体"/>
                      <w:color w:val="auto"/>
                      <w:lang w:val="en-US" w:eastAsia="zh-CN"/>
                    </w:rPr>
                  </w:pPr>
                  <w:r>
                    <w:rPr>
                      <w:rFonts w:hint="eastAsia" w:hAnsi="宋体" w:cs="宋体"/>
                      <w:color w:val="auto"/>
                      <w:lang w:val="en-US" w:eastAsia="zh-CN"/>
                    </w:rPr>
                    <w:t>主要声源</w:t>
                  </w:r>
                </w:p>
              </w:tc>
              <w:tc>
                <w:tcPr>
                  <w:tcW w:w="2259" w:type="pct"/>
                  <w:gridSpan w:val="2"/>
                  <w:vAlign w:val="center"/>
                </w:tcPr>
                <w:p w14:paraId="3FC1EB90">
                  <w:pPr>
                    <w:pStyle w:val="69"/>
                    <w:bidi w:val="0"/>
                    <w:jc w:val="center"/>
                    <w:rPr>
                      <w:rFonts w:hint="default" w:hAnsi="宋体" w:cs="宋体"/>
                      <w:color w:val="auto"/>
                      <w:lang w:val="en-US" w:eastAsia="zh-CN"/>
                    </w:rPr>
                  </w:pPr>
                  <w:r>
                    <w:rPr>
                      <w:rFonts w:hint="eastAsia" w:hAnsi="宋体" w:cs="宋体"/>
                      <w:color w:val="auto"/>
                      <w:lang w:val="en-US" w:eastAsia="zh-CN"/>
                    </w:rPr>
                    <w:t>昼间噪声监测结果Leq【dB（A）】</w:t>
                  </w:r>
                </w:p>
              </w:tc>
            </w:tr>
            <w:tr w14:paraId="77C4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6" w:type="pct"/>
                <w:trHeight w:val="499" w:hRule="atLeast"/>
              </w:trPr>
              <w:tc>
                <w:tcPr>
                  <w:tcW w:w="742" w:type="pct"/>
                  <w:vMerge w:val="restart"/>
                  <w:vAlign w:val="center"/>
                </w:tcPr>
                <w:p w14:paraId="3CF24497">
                  <w:pPr>
                    <w:pStyle w:val="69"/>
                    <w:bidi w:val="0"/>
                    <w:jc w:val="center"/>
                    <w:rPr>
                      <w:rFonts w:hint="default" w:ascii="宋体" w:hAnsi="宋体" w:eastAsia="宋体" w:cs="宋体"/>
                      <w:color w:val="auto"/>
                      <w:lang w:val="en-US" w:eastAsia="zh-CN"/>
                    </w:rPr>
                  </w:pPr>
                  <w:r>
                    <w:rPr>
                      <w:rFonts w:hint="eastAsia" w:hAnsi="宋体" w:cs="宋体"/>
                      <w:color w:val="auto"/>
                      <w:lang w:val="en-US" w:eastAsia="zh-CN"/>
                    </w:rPr>
                    <w:t>2024-07-12</w:t>
                  </w:r>
                </w:p>
              </w:tc>
              <w:tc>
                <w:tcPr>
                  <w:tcW w:w="1078" w:type="pct"/>
                  <w:vAlign w:val="center"/>
                </w:tcPr>
                <w:p w14:paraId="74FB79E6">
                  <w:pPr>
                    <w:pStyle w:val="69"/>
                    <w:bidi w:val="0"/>
                    <w:jc w:val="center"/>
                    <w:rPr>
                      <w:rFonts w:hint="eastAsia" w:ascii="宋体" w:hAnsi="宋体" w:eastAsia="宋体" w:cs="宋体"/>
                      <w:color w:val="auto"/>
                      <w:lang w:val="en-US" w:eastAsia="zh-CN"/>
                    </w:rPr>
                  </w:pPr>
                  <w:r>
                    <w:rPr>
                      <w:rFonts w:hint="eastAsia" w:hAnsi="宋体" w:cs="宋体"/>
                      <w:color w:val="auto"/>
                      <w:lang w:val="en-US" w:eastAsia="zh-CN"/>
                    </w:rPr>
                    <w:t>西北侧</w:t>
                  </w:r>
                  <w:r>
                    <w:rPr>
                      <w:rFonts w:hint="eastAsia" w:ascii="宋体" w:hAnsi="宋体" w:eastAsia="宋体" w:cs="宋体"/>
                      <w:color w:val="auto"/>
                      <w:lang w:val="en-US" w:eastAsia="zh-CN"/>
                    </w:rPr>
                    <w:t>侧居名点N1</w:t>
                  </w:r>
                </w:p>
              </w:tc>
              <w:tc>
                <w:tcPr>
                  <w:tcW w:w="783" w:type="pct"/>
                  <w:vAlign w:val="center"/>
                </w:tcPr>
                <w:p w14:paraId="531E7299">
                  <w:pPr>
                    <w:pStyle w:val="69"/>
                    <w:bidi w:val="0"/>
                    <w:jc w:val="center"/>
                    <w:rPr>
                      <w:rFonts w:hint="eastAsia" w:ascii="宋体" w:hAnsi="宋体" w:eastAsia="宋体" w:cs="宋体"/>
                      <w:color w:val="auto"/>
                      <w:lang w:val="en-US" w:eastAsia="zh-CN"/>
                    </w:rPr>
                  </w:pPr>
                  <w:r>
                    <w:rPr>
                      <w:rFonts w:hint="eastAsia" w:hAnsi="宋体" w:cs="宋体"/>
                      <w:color w:val="auto"/>
                      <w:lang w:val="en-US" w:eastAsia="zh-CN"/>
                    </w:rPr>
                    <w:t>车辆</w:t>
                  </w:r>
                </w:p>
              </w:tc>
              <w:tc>
                <w:tcPr>
                  <w:tcW w:w="2259" w:type="pct"/>
                  <w:gridSpan w:val="2"/>
                  <w:vAlign w:val="center"/>
                </w:tcPr>
                <w:p w14:paraId="3FDABD8B">
                  <w:pPr>
                    <w:pStyle w:val="69"/>
                    <w:bidi w:val="0"/>
                    <w:jc w:val="center"/>
                    <w:rPr>
                      <w:rFonts w:hint="default" w:ascii="宋体" w:hAnsi="宋体" w:eastAsia="宋体" w:cs="宋体"/>
                      <w:color w:val="auto"/>
                      <w:lang w:val="en-US" w:eastAsia="zh-CN"/>
                    </w:rPr>
                  </w:pPr>
                  <w:r>
                    <w:rPr>
                      <w:rFonts w:hint="eastAsia" w:hAnsi="宋体" w:cs="宋体"/>
                      <w:color w:val="auto"/>
                      <w:lang w:val="en-US" w:eastAsia="zh-CN"/>
                    </w:rPr>
                    <w:t>56.1</w:t>
                  </w:r>
                </w:p>
              </w:tc>
            </w:tr>
            <w:tr w14:paraId="10D1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36" w:type="pct"/>
                <w:trHeight w:val="499" w:hRule="atLeast"/>
              </w:trPr>
              <w:tc>
                <w:tcPr>
                  <w:tcW w:w="742" w:type="pct"/>
                  <w:vMerge w:val="continue"/>
                  <w:vAlign w:val="center"/>
                </w:tcPr>
                <w:p w14:paraId="2D105FF3">
                  <w:pPr>
                    <w:pStyle w:val="69"/>
                    <w:bidi w:val="0"/>
                    <w:jc w:val="center"/>
                    <w:rPr>
                      <w:rFonts w:hint="eastAsia" w:ascii="宋体" w:hAnsi="宋体" w:eastAsia="宋体" w:cs="宋体"/>
                      <w:color w:val="auto"/>
                      <w:lang w:val="en-US" w:eastAsia="zh-CN"/>
                    </w:rPr>
                  </w:pPr>
                </w:p>
              </w:tc>
              <w:tc>
                <w:tcPr>
                  <w:tcW w:w="1078" w:type="pct"/>
                  <w:vAlign w:val="center"/>
                </w:tcPr>
                <w:p w14:paraId="4488E8FE">
                  <w:pPr>
                    <w:pStyle w:val="69"/>
                    <w:bidi w:val="0"/>
                    <w:jc w:val="center"/>
                    <w:rPr>
                      <w:rFonts w:hint="default" w:ascii="宋体" w:hAnsi="宋体" w:eastAsia="宋体" w:cs="宋体"/>
                      <w:color w:val="auto"/>
                      <w:lang w:val="en-US" w:eastAsia="zh-CN"/>
                    </w:rPr>
                  </w:pPr>
                  <w:r>
                    <w:rPr>
                      <w:rFonts w:hint="eastAsia" w:hAnsi="宋体" w:cs="宋体"/>
                      <w:color w:val="auto"/>
                      <w:lang w:val="en-US" w:eastAsia="zh-CN"/>
                    </w:rPr>
                    <w:t>北侧城头山小学N2</w:t>
                  </w:r>
                </w:p>
              </w:tc>
              <w:tc>
                <w:tcPr>
                  <w:tcW w:w="783" w:type="pct"/>
                  <w:vAlign w:val="center"/>
                </w:tcPr>
                <w:p w14:paraId="19C86166">
                  <w:pPr>
                    <w:pStyle w:val="69"/>
                    <w:bidi w:val="0"/>
                    <w:jc w:val="center"/>
                    <w:rPr>
                      <w:rFonts w:hint="eastAsia" w:ascii="宋体" w:hAnsi="宋体" w:eastAsia="宋体" w:cs="宋体"/>
                      <w:color w:val="auto"/>
                      <w:lang w:val="en-US" w:eastAsia="zh-CN"/>
                    </w:rPr>
                  </w:pPr>
                  <w:r>
                    <w:rPr>
                      <w:rFonts w:hint="eastAsia" w:hAnsi="宋体" w:cs="宋体"/>
                      <w:color w:val="auto"/>
                      <w:lang w:val="en-US" w:eastAsia="zh-CN"/>
                    </w:rPr>
                    <w:t>车辆</w:t>
                  </w:r>
                </w:p>
              </w:tc>
              <w:tc>
                <w:tcPr>
                  <w:tcW w:w="2259" w:type="pct"/>
                  <w:gridSpan w:val="2"/>
                  <w:vAlign w:val="center"/>
                </w:tcPr>
                <w:p w14:paraId="30013D42">
                  <w:pPr>
                    <w:pStyle w:val="69"/>
                    <w:bidi w:val="0"/>
                    <w:jc w:val="center"/>
                    <w:rPr>
                      <w:rFonts w:hint="default" w:ascii="宋体" w:hAnsi="宋体" w:eastAsia="宋体" w:cs="宋体"/>
                      <w:color w:val="auto"/>
                      <w:lang w:val="en-US" w:eastAsia="zh-CN"/>
                    </w:rPr>
                  </w:pPr>
                  <w:r>
                    <w:rPr>
                      <w:rFonts w:hint="eastAsia" w:hAnsi="宋体" w:cs="宋体"/>
                      <w:color w:val="auto"/>
                      <w:lang w:val="en-US" w:eastAsia="zh-CN"/>
                    </w:rPr>
                    <w:t>53.4</w:t>
                  </w:r>
                </w:p>
              </w:tc>
            </w:tr>
            <w:tr w14:paraId="2219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4" w:type="pct"/>
                  <w:gridSpan w:val="4"/>
                  <w:vAlign w:val="center"/>
                </w:tcPr>
                <w:p w14:paraId="4AE593B5">
                  <w:pPr>
                    <w:pStyle w:val="69"/>
                    <w:bidi w:val="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标准限值（2类）</w:t>
                  </w:r>
                </w:p>
              </w:tc>
              <w:tc>
                <w:tcPr>
                  <w:tcW w:w="2395" w:type="pct"/>
                  <w:gridSpan w:val="3"/>
                  <w:vAlign w:val="center"/>
                </w:tcPr>
                <w:p w14:paraId="7A4A5696">
                  <w:pPr>
                    <w:pStyle w:val="69"/>
                    <w:bidi w:val="0"/>
                    <w:jc w:val="center"/>
                    <w:rPr>
                      <w:rFonts w:hint="default" w:ascii="宋体" w:hAnsi="宋体" w:eastAsia="宋体" w:cs="宋体"/>
                      <w:color w:val="auto"/>
                      <w:lang w:val="en-US" w:eastAsia="zh-CN"/>
                    </w:rPr>
                  </w:pPr>
                  <w:r>
                    <w:rPr>
                      <w:rFonts w:hint="eastAsia" w:hAnsi="宋体" w:cs="宋体"/>
                      <w:color w:val="auto"/>
                      <w:lang w:val="en-US" w:eastAsia="zh-CN"/>
                    </w:rPr>
                    <w:t>60</w:t>
                  </w:r>
                </w:p>
              </w:tc>
            </w:tr>
            <w:tr w14:paraId="52F3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6" w:type="pct"/>
                <w:trHeight w:val="499" w:hRule="atLeast"/>
              </w:trPr>
              <w:tc>
                <w:tcPr>
                  <w:tcW w:w="4863" w:type="pct"/>
                  <w:gridSpan w:val="6"/>
                  <w:vAlign w:val="center"/>
                </w:tcPr>
                <w:p w14:paraId="2ED081BC">
                  <w:pPr>
                    <w:pStyle w:val="69"/>
                    <w:bidi w:val="0"/>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备注：1.参考执行《声环境质量标准》GB3096-2008表1中2类</w:t>
                  </w:r>
                  <w:r>
                    <w:rPr>
                      <w:rFonts w:hint="eastAsia" w:hAnsi="宋体" w:cs="宋体"/>
                      <w:color w:val="auto"/>
                      <w:lang w:val="en-US" w:eastAsia="zh-CN"/>
                    </w:rPr>
                    <w:t>标准限制要求；</w:t>
                  </w:r>
                </w:p>
                <w:p w14:paraId="3C55CF53">
                  <w:pPr>
                    <w:pStyle w:val="69"/>
                    <w:numPr>
                      <w:ilvl w:val="0"/>
                      <w:numId w:val="4"/>
                    </w:numPr>
                    <w:bidi w:val="0"/>
                    <w:jc w:val="left"/>
                    <w:rPr>
                      <w:rFonts w:hint="eastAsia" w:ascii="宋体" w:hAnsi="宋体" w:eastAsia="宋体" w:cs="宋体"/>
                      <w:color w:val="auto"/>
                      <w:lang w:val="en-US" w:eastAsia="zh-CN"/>
                    </w:rPr>
                  </w:pPr>
                  <w:r>
                    <w:rPr>
                      <w:rFonts w:hint="eastAsia" w:hAnsi="宋体" w:cs="宋体"/>
                      <w:color w:val="auto"/>
                      <w:lang w:val="en-US" w:eastAsia="zh-CN"/>
                    </w:rPr>
                    <w:t>校准设备编号为：BLHS-CY-019、BLHS</w:t>
                  </w:r>
                  <w:r>
                    <w:rPr>
                      <w:rFonts w:hint="default" w:hAnsi="宋体" w:cs="宋体"/>
                      <w:color w:val="auto"/>
                      <w:lang w:eastAsia="zh-CN"/>
                    </w:rPr>
                    <w:t>-CY-020,测量前校准值为93.8dB（A）、测量后校准值均为94.0dB(A)</w:t>
                  </w:r>
                  <w:r>
                    <w:rPr>
                      <w:rFonts w:hint="eastAsia" w:ascii="宋体" w:hAnsi="宋体" w:eastAsia="宋体" w:cs="宋体"/>
                      <w:color w:val="auto"/>
                      <w:lang w:val="en-US" w:eastAsia="zh-CN"/>
                    </w:rPr>
                    <w:t>；</w:t>
                  </w:r>
                </w:p>
                <w:p w14:paraId="49F85C36">
                  <w:pPr>
                    <w:pStyle w:val="69"/>
                    <w:numPr>
                      <w:ilvl w:val="0"/>
                      <w:numId w:val="4"/>
                    </w:numPr>
                    <w:bidi w:val="0"/>
                    <w:jc w:val="left"/>
                    <w:rPr>
                      <w:rFonts w:hint="default" w:ascii="宋体" w:hAnsi="宋体" w:eastAsia="宋体" w:cs="宋体"/>
                      <w:color w:val="auto"/>
                      <w:lang w:val="en-US" w:eastAsia="zh-CN"/>
                    </w:rPr>
                  </w:pPr>
                  <w:r>
                    <w:rPr>
                      <w:rFonts w:hint="default" w:hAnsi="宋体" w:cs="宋体"/>
                      <w:color w:val="auto"/>
                      <w:lang w:eastAsia="zh-CN"/>
                    </w:rPr>
                    <w:t>N1-N2为监测点位序号；</w:t>
                  </w:r>
                </w:p>
                <w:p w14:paraId="42607849">
                  <w:pPr>
                    <w:pStyle w:val="69"/>
                    <w:numPr>
                      <w:ilvl w:val="0"/>
                      <w:numId w:val="4"/>
                    </w:numPr>
                    <w:bidi w:val="0"/>
                    <w:jc w:val="left"/>
                    <w:rPr>
                      <w:rFonts w:hint="default" w:ascii="宋体" w:hAnsi="宋体" w:eastAsia="宋体" w:cs="宋体"/>
                      <w:color w:val="auto"/>
                      <w:lang w:val="en-US" w:eastAsia="zh-CN"/>
                    </w:rPr>
                  </w:pPr>
                  <w:r>
                    <w:rPr>
                      <w:rFonts w:hint="default" w:hAnsi="宋体" w:cs="宋体"/>
                      <w:color w:val="auto"/>
                      <w:lang w:eastAsia="zh-CN"/>
                    </w:rPr>
                    <w:t>便携式风向风速仪FYF-1,BLHS-CY-021。</w:t>
                  </w:r>
                </w:p>
              </w:tc>
            </w:tr>
          </w:tbl>
          <w:p w14:paraId="59A69D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kern w:val="0"/>
                <w:szCs w:val="21"/>
              </w:rPr>
            </w:pPr>
            <w:r>
              <w:rPr>
                <w:rFonts w:hint="eastAsia" w:ascii="宋体" w:hAnsi="宋体" w:eastAsia="宋体" w:cs="宋体"/>
                <w:color w:val="auto"/>
                <w:sz w:val="24"/>
                <w:szCs w:val="24"/>
                <w:lang w:val="en-US" w:eastAsia="zh-CN"/>
              </w:rPr>
              <w:t>由上表可知，项目居民点噪声均满足《声环境质量标准》（GB3096-2008）中的2类标准。</w:t>
            </w:r>
          </w:p>
        </w:tc>
      </w:tr>
      <w:tr w14:paraId="46DBE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7" w:hRule="atLeast"/>
          <w:jc w:val="center"/>
        </w:trPr>
        <w:tc>
          <w:tcPr>
            <w:tcW w:w="430" w:type="dxa"/>
            <w:vAlign w:val="center"/>
          </w:tcPr>
          <w:p w14:paraId="4D4DA7FC">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w:t>
            </w:r>
          </w:p>
          <w:p w14:paraId="464CD3D9">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保护</w:t>
            </w:r>
          </w:p>
          <w:p w14:paraId="65C3CC8F">
            <w:pPr>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szCs w:val="21"/>
              </w:rPr>
              <w:t>目标</w:t>
            </w:r>
          </w:p>
        </w:tc>
        <w:tc>
          <w:tcPr>
            <w:tcW w:w="8527" w:type="dxa"/>
            <w:vAlign w:val="center"/>
          </w:tcPr>
          <w:p w14:paraId="12BC4E0B">
            <w:pPr>
              <w:pStyle w:val="83"/>
              <w:spacing w:before="167" w:line="360" w:lineRule="auto"/>
              <w:ind w:left="587"/>
              <w:rPr>
                <w:rFonts w:hint="eastAsia" w:ascii="宋体" w:hAnsi="宋体" w:eastAsia="宋体" w:cs="宋体"/>
                <w:b/>
                <w:color w:val="auto"/>
                <w:sz w:val="24"/>
              </w:rPr>
            </w:pPr>
            <w:r>
              <w:rPr>
                <w:rFonts w:hint="eastAsia" w:ascii="宋体" w:hAnsi="宋体" w:eastAsia="宋体" w:cs="宋体"/>
                <w:b/>
                <w:color w:val="auto"/>
                <w:sz w:val="24"/>
              </w:rPr>
              <w:t>1、大气环境</w:t>
            </w:r>
          </w:p>
          <w:p w14:paraId="6711F050">
            <w:pPr>
              <w:bidi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根据《建设项目环境影响报告表编制技术指南》（污染影响类）（试行）：</w:t>
            </w:r>
          </w:p>
          <w:p w14:paraId="309B30B2">
            <w:pPr>
              <w:bidi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明确厂界外500米范围内的自然保护区、风景名胜区、居住区、文化区和农村地区中人群较集中的区域等保护目标。根据现场调查，具体环境保护目标情况如下。</w:t>
            </w:r>
          </w:p>
          <w:p w14:paraId="6E4CF331">
            <w:pPr>
              <w:pStyle w:val="69"/>
              <w:keepNext w:val="0"/>
              <w:keepLines w:val="0"/>
              <w:pageBreakBefore w:val="0"/>
              <w:widowControl w:val="0"/>
              <w:kinsoku/>
              <w:wordWrap/>
              <w:overflowPunct/>
              <w:topLinePunct w:val="0"/>
              <w:autoSpaceDE/>
              <w:autoSpaceDN/>
              <w:bidi w:val="0"/>
              <w:adjustRightInd/>
              <w:snapToGrid/>
              <w:spacing w:line="240" w:lineRule="auto"/>
              <w:jc w:val="center"/>
              <w:textAlignment w:val="center"/>
              <w:rPr>
                <w:rStyle w:val="51"/>
                <w:rFonts w:hint="eastAsia" w:ascii="宋体" w:hAnsi="宋体" w:eastAsia="宋体" w:cs="宋体"/>
                <w:b/>
                <w:color w:val="auto"/>
                <w:sz w:val="21"/>
                <w:szCs w:val="21"/>
                <w:u w:val="single"/>
              </w:rPr>
            </w:pPr>
            <w:r>
              <w:rPr>
                <w:rStyle w:val="51"/>
                <w:rFonts w:hint="eastAsia" w:ascii="宋体" w:hAnsi="宋体" w:eastAsia="宋体" w:cs="宋体"/>
                <w:b/>
                <w:color w:val="auto"/>
                <w:sz w:val="21"/>
                <w:szCs w:val="21"/>
                <w:u w:val="single"/>
              </w:rPr>
              <w:t>表</w:t>
            </w:r>
            <w:r>
              <w:rPr>
                <w:rStyle w:val="51"/>
                <w:rFonts w:hint="eastAsia" w:ascii="宋体" w:hAnsi="宋体" w:eastAsia="宋体" w:cs="宋体"/>
                <w:b/>
                <w:color w:val="auto"/>
                <w:sz w:val="21"/>
                <w:szCs w:val="21"/>
                <w:u w:val="single"/>
                <w:lang w:val="en-US" w:eastAsia="zh-CN"/>
              </w:rPr>
              <w:t>3-5</w:t>
            </w:r>
            <w:r>
              <w:rPr>
                <w:rStyle w:val="51"/>
                <w:rFonts w:hint="eastAsia" w:ascii="宋体" w:hAnsi="宋体" w:eastAsia="宋体" w:cs="宋体"/>
                <w:b/>
                <w:color w:val="auto"/>
                <w:sz w:val="21"/>
                <w:szCs w:val="21"/>
                <w:u w:val="single"/>
              </w:rPr>
              <w:t>项目主要环境保护目标</w:t>
            </w:r>
          </w:p>
          <w:tbl>
            <w:tblPr>
              <w:tblStyle w:val="3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12"/>
              <w:gridCol w:w="1283"/>
              <w:gridCol w:w="1807"/>
              <w:gridCol w:w="1462"/>
              <w:gridCol w:w="1644"/>
            </w:tblGrid>
            <w:tr w14:paraId="308C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restart"/>
                  <w:vAlign w:val="center"/>
                </w:tcPr>
                <w:p w14:paraId="205B55AD">
                  <w:pPr>
                    <w:jc w:val="center"/>
                    <w:rPr>
                      <w:rFonts w:hint="eastAsia" w:ascii="宋体" w:hAnsi="宋体" w:eastAsia="宋体" w:cs="宋体"/>
                      <w:b/>
                      <w:color w:val="auto"/>
                      <w:szCs w:val="21"/>
                      <w:u w:val="single"/>
                    </w:rPr>
                  </w:pPr>
                  <w:r>
                    <w:rPr>
                      <w:rFonts w:hint="eastAsia" w:ascii="宋体" w:hAnsi="宋体" w:eastAsia="宋体" w:cs="宋体"/>
                      <w:b/>
                      <w:color w:val="auto"/>
                      <w:szCs w:val="21"/>
                      <w:u w:val="single"/>
                    </w:rPr>
                    <w:t>名称</w:t>
                  </w:r>
                </w:p>
              </w:tc>
              <w:tc>
                <w:tcPr>
                  <w:tcW w:w="971" w:type="pct"/>
                  <w:vMerge w:val="restart"/>
                  <w:vAlign w:val="center"/>
                </w:tcPr>
                <w:p w14:paraId="0F2E1636">
                  <w:pPr>
                    <w:jc w:val="center"/>
                    <w:rPr>
                      <w:rFonts w:hint="eastAsia" w:ascii="宋体" w:hAnsi="宋体" w:eastAsia="宋体" w:cs="宋体"/>
                      <w:b/>
                      <w:color w:val="auto"/>
                      <w:szCs w:val="21"/>
                      <w:u w:val="single"/>
                    </w:rPr>
                  </w:pPr>
                  <w:r>
                    <w:rPr>
                      <w:rFonts w:hint="eastAsia" w:ascii="宋体" w:hAnsi="宋体" w:eastAsia="宋体" w:cs="宋体"/>
                      <w:b/>
                      <w:color w:val="auto"/>
                      <w:szCs w:val="21"/>
                      <w:u w:val="single"/>
                    </w:rPr>
                    <w:t>保护对象</w:t>
                  </w:r>
                </w:p>
              </w:tc>
              <w:tc>
                <w:tcPr>
                  <w:tcW w:w="773" w:type="pct"/>
                  <w:vMerge w:val="restart"/>
                  <w:vAlign w:val="center"/>
                </w:tcPr>
                <w:p w14:paraId="27B98CBA">
                  <w:pPr>
                    <w:jc w:val="center"/>
                    <w:rPr>
                      <w:rFonts w:hint="eastAsia" w:ascii="宋体" w:hAnsi="宋体" w:eastAsia="宋体" w:cs="宋体"/>
                      <w:b/>
                      <w:color w:val="auto"/>
                      <w:szCs w:val="21"/>
                      <w:u w:val="single"/>
                    </w:rPr>
                  </w:pPr>
                  <w:r>
                    <w:rPr>
                      <w:rFonts w:hint="eastAsia" w:ascii="宋体" w:hAnsi="宋体" w:eastAsia="宋体" w:cs="宋体"/>
                      <w:b/>
                      <w:color w:val="auto"/>
                      <w:szCs w:val="21"/>
                      <w:u w:val="single"/>
                    </w:rPr>
                    <w:t>保护内容/规模</w:t>
                  </w:r>
                </w:p>
              </w:tc>
              <w:tc>
                <w:tcPr>
                  <w:tcW w:w="1089" w:type="pct"/>
                  <w:vMerge w:val="restart"/>
                  <w:vAlign w:val="center"/>
                </w:tcPr>
                <w:p w14:paraId="0CD7578D">
                  <w:pPr>
                    <w:jc w:val="center"/>
                    <w:rPr>
                      <w:rFonts w:hint="eastAsia" w:ascii="宋体" w:hAnsi="宋体" w:eastAsia="宋体" w:cs="宋体"/>
                      <w:b/>
                      <w:color w:val="auto"/>
                      <w:szCs w:val="21"/>
                      <w:u w:val="single"/>
                    </w:rPr>
                  </w:pPr>
                  <w:r>
                    <w:rPr>
                      <w:rFonts w:hint="eastAsia" w:ascii="宋体" w:hAnsi="宋体" w:eastAsia="宋体" w:cs="宋体"/>
                      <w:b/>
                      <w:color w:val="auto"/>
                      <w:szCs w:val="21"/>
                      <w:u w:val="single"/>
                    </w:rPr>
                    <w:t>环境功能区</w:t>
                  </w:r>
                </w:p>
              </w:tc>
              <w:tc>
                <w:tcPr>
                  <w:tcW w:w="881" w:type="pct"/>
                  <w:vMerge w:val="restart"/>
                  <w:vAlign w:val="center"/>
                </w:tcPr>
                <w:p w14:paraId="5A4FFEF5">
                  <w:pPr>
                    <w:jc w:val="center"/>
                    <w:rPr>
                      <w:rFonts w:hint="eastAsia" w:ascii="宋体" w:hAnsi="宋体" w:eastAsia="宋体" w:cs="宋体"/>
                      <w:b/>
                      <w:color w:val="auto"/>
                      <w:szCs w:val="21"/>
                      <w:u w:val="single"/>
                    </w:rPr>
                  </w:pPr>
                  <w:r>
                    <w:rPr>
                      <w:rFonts w:hint="eastAsia" w:ascii="宋体" w:hAnsi="宋体" w:eastAsia="宋体" w:cs="宋体"/>
                      <w:b/>
                      <w:color w:val="auto"/>
                      <w:szCs w:val="21"/>
                      <w:u w:val="single"/>
                    </w:rPr>
                    <w:t>相对厂址方位</w:t>
                  </w:r>
                </w:p>
              </w:tc>
              <w:tc>
                <w:tcPr>
                  <w:tcW w:w="991" w:type="pct"/>
                  <w:vMerge w:val="restart"/>
                  <w:vAlign w:val="center"/>
                </w:tcPr>
                <w:p w14:paraId="1FCCCF09">
                  <w:pPr>
                    <w:jc w:val="center"/>
                    <w:rPr>
                      <w:rFonts w:hint="eastAsia" w:ascii="宋体" w:hAnsi="宋体" w:eastAsia="宋体" w:cs="宋体"/>
                      <w:b/>
                      <w:color w:val="auto"/>
                      <w:szCs w:val="21"/>
                      <w:u w:val="single"/>
                    </w:rPr>
                  </w:pPr>
                  <w:r>
                    <w:rPr>
                      <w:rFonts w:hint="eastAsia" w:ascii="宋体" w:hAnsi="宋体" w:eastAsia="宋体" w:cs="宋体"/>
                      <w:b/>
                      <w:color w:val="auto"/>
                      <w:szCs w:val="21"/>
                      <w:u w:val="single"/>
                    </w:rPr>
                    <w:t>相对厂界距离</w:t>
                  </w:r>
                </w:p>
              </w:tc>
            </w:tr>
            <w:tr w14:paraId="59D0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5F672270">
                  <w:pPr>
                    <w:jc w:val="center"/>
                    <w:rPr>
                      <w:rFonts w:hint="eastAsia" w:ascii="宋体" w:hAnsi="宋体" w:eastAsia="宋体" w:cs="宋体"/>
                      <w:b/>
                      <w:color w:val="FF0000"/>
                      <w:szCs w:val="21"/>
                      <w:u w:val="single"/>
                    </w:rPr>
                  </w:pPr>
                </w:p>
              </w:tc>
              <w:tc>
                <w:tcPr>
                  <w:tcW w:w="971" w:type="pct"/>
                  <w:vMerge w:val="continue"/>
                  <w:vAlign w:val="center"/>
                </w:tcPr>
                <w:p w14:paraId="6FA6450D">
                  <w:pPr>
                    <w:jc w:val="center"/>
                    <w:rPr>
                      <w:rFonts w:hint="eastAsia" w:ascii="宋体" w:hAnsi="宋体" w:eastAsia="宋体" w:cs="宋体"/>
                      <w:b/>
                      <w:color w:val="FF0000"/>
                      <w:szCs w:val="21"/>
                      <w:u w:val="single"/>
                    </w:rPr>
                  </w:pPr>
                </w:p>
              </w:tc>
              <w:tc>
                <w:tcPr>
                  <w:tcW w:w="773" w:type="pct"/>
                  <w:vMerge w:val="continue"/>
                  <w:vAlign w:val="center"/>
                </w:tcPr>
                <w:p w14:paraId="644602C9">
                  <w:pPr>
                    <w:jc w:val="center"/>
                    <w:rPr>
                      <w:rFonts w:hint="eastAsia" w:ascii="宋体" w:hAnsi="宋体" w:eastAsia="宋体" w:cs="宋体"/>
                      <w:b/>
                      <w:color w:val="FF0000"/>
                      <w:szCs w:val="21"/>
                      <w:u w:val="single"/>
                    </w:rPr>
                  </w:pPr>
                </w:p>
              </w:tc>
              <w:tc>
                <w:tcPr>
                  <w:tcW w:w="1089" w:type="pct"/>
                  <w:vMerge w:val="continue"/>
                  <w:vAlign w:val="center"/>
                </w:tcPr>
                <w:p w14:paraId="2E9C50E6">
                  <w:pPr>
                    <w:jc w:val="center"/>
                    <w:rPr>
                      <w:rFonts w:hint="eastAsia" w:ascii="宋体" w:hAnsi="宋体" w:eastAsia="宋体" w:cs="宋体"/>
                      <w:b/>
                      <w:color w:val="FF0000"/>
                      <w:szCs w:val="21"/>
                      <w:u w:val="single"/>
                    </w:rPr>
                  </w:pPr>
                </w:p>
              </w:tc>
              <w:tc>
                <w:tcPr>
                  <w:tcW w:w="881" w:type="pct"/>
                  <w:vMerge w:val="continue"/>
                  <w:vAlign w:val="center"/>
                </w:tcPr>
                <w:p w14:paraId="7450F90C">
                  <w:pPr>
                    <w:jc w:val="center"/>
                    <w:rPr>
                      <w:rFonts w:hint="eastAsia" w:ascii="宋体" w:hAnsi="宋体" w:eastAsia="宋体" w:cs="宋体"/>
                      <w:b/>
                      <w:color w:val="FF0000"/>
                      <w:szCs w:val="21"/>
                      <w:u w:val="single"/>
                    </w:rPr>
                  </w:pPr>
                </w:p>
              </w:tc>
              <w:tc>
                <w:tcPr>
                  <w:tcW w:w="991" w:type="pct"/>
                  <w:vMerge w:val="continue"/>
                  <w:vAlign w:val="center"/>
                </w:tcPr>
                <w:p w14:paraId="6E7A9373">
                  <w:pPr>
                    <w:jc w:val="center"/>
                    <w:rPr>
                      <w:rFonts w:hint="eastAsia" w:ascii="宋体" w:hAnsi="宋体" w:eastAsia="宋体" w:cs="宋体"/>
                      <w:b/>
                      <w:color w:val="FF0000"/>
                      <w:szCs w:val="21"/>
                      <w:u w:val="single"/>
                    </w:rPr>
                  </w:pPr>
                </w:p>
              </w:tc>
            </w:tr>
            <w:tr w14:paraId="533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37AA69D5">
                  <w:pPr>
                    <w:jc w:val="center"/>
                    <w:rPr>
                      <w:rFonts w:hint="eastAsia" w:ascii="宋体" w:hAnsi="宋体" w:eastAsia="宋体" w:cs="宋体"/>
                      <w:bCs/>
                      <w:color w:val="FF0000"/>
                      <w:szCs w:val="21"/>
                      <w:u w:val="single"/>
                    </w:rPr>
                  </w:pPr>
                </w:p>
              </w:tc>
              <w:tc>
                <w:tcPr>
                  <w:tcW w:w="971" w:type="pct"/>
                  <w:vAlign w:val="center"/>
                </w:tcPr>
                <w:p w14:paraId="7C31536C">
                  <w:pPr>
                    <w:jc w:val="center"/>
                    <w:rPr>
                      <w:rFonts w:hint="default" w:ascii="宋体" w:hAnsi="宋体" w:eastAsia="宋体" w:cs="宋体"/>
                      <w:bCs/>
                      <w:color w:val="auto"/>
                      <w:kern w:val="2"/>
                      <w:sz w:val="21"/>
                      <w:szCs w:val="21"/>
                      <w:u w:val="single"/>
                      <w:lang w:val="en-US" w:eastAsia="zh-CN" w:bidi="ar-SA"/>
                    </w:rPr>
                  </w:pPr>
                  <w:r>
                    <w:rPr>
                      <w:rFonts w:hint="eastAsia" w:ascii="宋体" w:hAnsi="宋体" w:eastAsia="宋体" w:cs="宋体"/>
                      <w:color w:val="auto"/>
                      <w:u w:val="single"/>
                      <w:lang w:val="en-US" w:eastAsia="zh-CN"/>
                    </w:rPr>
                    <w:t>北侧居民点</w:t>
                  </w:r>
                </w:p>
              </w:tc>
              <w:tc>
                <w:tcPr>
                  <w:tcW w:w="773" w:type="pct"/>
                  <w:vAlign w:val="center"/>
                </w:tcPr>
                <w:p w14:paraId="2DEF4B54">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居民约</w:t>
                  </w:r>
                  <w:r>
                    <w:rPr>
                      <w:rFonts w:hint="eastAsia" w:ascii="宋体" w:hAnsi="宋体" w:cs="宋体"/>
                      <w:bCs/>
                      <w:color w:val="auto"/>
                      <w:szCs w:val="21"/>
                      <w:u w:val="single"/>
                      <w:lang w:val="en-US" w:eastAsia="zh-CN"/>
                    </w:rPr>
                    <w:t>30</w:t>
                  </w:r>
                  <w:r>
                    <w:rPr>
                      <w:rFonts w:hint="eastAsia" w:ascii="宋体" w:hAnsi="宋体" w:eastAsia="宋体" w:cs="宋体"/>
                      <w:bCs/>
                      <w:color w:val="auto"/>
                      <w:szCs w:val="21"/>
                      <w:u w:val="single"/>
                      <w:lang w:val="en-US" w:eastAsia="zh-CN"/>
                    </w:rPr>
                    <w:t>户</w:t>
                  </w:r>
                </w:p>
              </w:tc>
              <w:tc>
                <w:tcPr>
                  <w:tcW w:w="1089" w:type="pct"/>
                  <w:vMerge w:val="continue"/>
                  <w:vAlign w:val="center"/>
                </w:tcPr>
                <w:p w14:paraId="403A4C14">
                  <w:pPr>
                    <w:jc w:val="center"/>
                    <w:rPr>
                      <w:rFonts w:hint="eastAsia" w:ascii="宋体" w:hAnsi="宋体" w:eastAsia="宋体" w:cs="宋体"/>
                      <w:color w:val="auto"/>
                      <w:kern w:val="0"/>
                      <w:szCs w:val="21"/>
                      <w:u w:val="single"/>
                    </w:rPr>
                  </w:pPr>
                </w:p>
              </w:tc>
              <w:tc>
                <w:tcPr>
                  <w:tcW w:w="881" w:type="pct"/>
                  <w:vAlign w:val="center"/>
                </w:tcPr>
                <w:p w14:paraId="19AF76A0">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N</w:t>
                  </w:r>
                </w:p>
              </w:tc>
              <w:tc>
                <w:tcPr>
                  <w:tcW w:w="991" w:type="pct"/>
                  <w:vAlign w:val="center"/>
                </w:tcPr>
                <w:p w14:paraId="7F166E7C">
                  <w:pPr>
                    <w:jc w:val="center"/>
                    <w:rPr>
                      <w:rFonts w:hint="default" w:ascii="宋体" w:hAnsi="宋体" w:eastAsia="宋体" w:cs="宋体"/>
                      <w:color w:val="auto"/>
                      <w:kern w:val="0"/>
                      <w:szCs w:val="21"/>
                      <w:u w:val="single"/>
                      <w:lang w:val="en-US" w:eastAsia="zh-CN"/>
                    </w:rPr>
                  </w:pPr>
                  <w:r>
                    <w:rPr>
                      <w:rFonts w:hint="eastAsia" w:ascii="宋体" w:hAnsi="宋体" w:cs="宋体"/>
                      <w:color w:val="auto"/>
                      <w:kern w:val="0"/>
                      <w:szCs w:val="21"/>
                      <w:u w:val="single"/>
                      <w:lang w:val="en-US" w:eastAsia="zh-CN"/>
                    </w:rPr>
                    <w:t>5</w:t>
                  </w:r>
                  <w:r>
                    <w:rPr>
                      <w:rFonts w:hint="eastAsia" w:ascii="宋体" w:hAnsi="宋体" w:eastAsia="宋体" w:cs="宋体"/>
                      <w:color w:val="auto"/>
                      <w:kern w:val="0"/>
                      <w:szCs w:val="21"/>
                      <w:u w:val="single"/>
                      <w:lang w:val="en-US" w:eastAsia="zh-CN"/>
                    </w:rPr>
                    <w:t>m-</w:t>
                  </w:r>
                  <w:r>
                    <w:rPr>
                      <w:rFonts w:hint="eastAsia" w:ascii="宋体" w:hAnsi="宋体" w:cs="宋体"/>
                      <w:color w:val="auto"/>
                      <w:kern w:val="0"/>
                      <w:szCs w:val="21"/>
                      <w:u w:val="single"/>
                      <w:lang w:val="en-US" w:eastAsia="zh-CN"/>
                    </w:rPr>
                    <w:t>420</w:t>
                  </w:r>
                  <w:r>
                    <w:rPr>
                      <w:rFonts w:hint="eastAsia" w:ascii="宋体" w:hAnsi="宋体" w:eastAsia="宋体" w:cs="宋体"/>
                      <w:color w:val="auto"/>
                      <w:kern w:val="0"/>
                      <w:szCs w:val="21"/>
                      <w:u w:val="single"/>
                      <w:lang w:val="en-US" w:eastAsia="zh-CN"/>
                    </w:rPr>
                    <w:t>m</w:t>
                  </w:r>
                </w:p>
              </w:tc>
            </w:tr>
            <w:tr w14:paraId="5386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091A7C5E">
                  <w:pPr>
                    <w:jc w:val="center"/>
                    <w:rPr>
                      <w:rFonts w:hint="eastAsia" w:ascii="宋体" w:hAnsi="宋体" w:eastAsia="宋体" w:cs="宋体"/>
                      <w:bCs/>
                      <w:color w:val="FF0000"/>
                      <w:szCs w:val="21"/>
                      <w:u w:val="single"/>
                    </w:rPr>
                  </w:pPr>
                </w:p>
              </w:tc>
              <w:tc>
                <w:tcPr>
                  <w:tcW w:w="971" w:type="pct"/>
                  <w:vAlign w:val="center"/>
                </w:tcPr>
                <w:p w14:paraId="2D4FF318">
                  <w:pPr>
                    <w:jc w:val="center"/>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东北侧居民</w:t>
                  </w:r>
                </w:p>
              </w:tc>
              <w:tc>
                <w:tcPr>
                  <w:tcW w:w="773" w:type="pct"/>
                  <w:vAlign w:val="center"/>
                </w:tcPr>
                <w:p w14:paraId="142BF771">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居民约</w:t>
                  </w:r>
                  <w:r>
                    <w:rPr>
                      <w:rFonts w:hint="eastAsia" w:ascii="宋体" w:hAnsi="宋体" w:cs="宋体"/>
                      <w:bCs/>
                      <w:color w:val="auto"/>
                      <w:szCs w:val="21"/>
                      <w:u w:val="single"/>
                      <w:lang w:val="en-US" w:eastAsia="zh-CN"/>
                    </w:rPr>
                    <w:t>18</w:t>
                  </w:r>
                  <w:r>
                    <w:rPr>
                      <w:rFonts w:hint="eastAsia" w:ascii="宋体" w:hAnsi="宋体" w:eastAsia="宋体" w:cs="宋体"/>
                      <w:bCs/>
                      <w:color w:val="auto"/>
                      <w:szCs w:val="21"/>
                      <w:u w:val="single"/>
                      <w:lang w:val="en-US" w:eastAsia="zh-CN"/>
                    </w:rPr>
                    <w:t>户</w:t>
                  </w:r>
                </w:p>
              </w:tc>
              <w:tc>
                <w:tcPr>
                  <w:tcW w:w="1089" w:type="pct"/>
                  <w:vMerge w:val="continue"/>
                  <w:vAlign w:val="center"/>
                </w:tcPr>
                <w:p w14:paraId="54DED363">
                  <w:pPr>
                    <w:jc w:val="center"/>
                    <w:rPr>
                      <w:rFonts w:hint="eastAsia" w:ascii="宋体" w:hAnsi="宋体" w:eastAsia="宋体" w:cs="宋体"/>
                      <w:color w:val="auto"/>
                      <w:kern w:val="0"/>
                      <w:szCs w:val="21"/>
                      <w:u w:val="single"/>
                    </w:rPr>
                  </w:pPr>
                </w:p>
              </w:tc>
              <w:tc>
                <w:tcPr>
                  <w:tcW w:w="881" w:type="pct"/>
                  <w:vAlign w:val="center"/>
                </w:tcPr>
                <w:p w14:paraId="0625CAB8">
                  <w:pPr>
                    <w:jc w:val="center"/>
                    <w:rPr>
                      <w:rFonts w:hint="default"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EN</w:t>
                  </w:r>
                </w:p>
              </w:tc>
              <w:tc>
                <w:tcPr>
                  <w:tcW w:w="991" w:type="pct"/>
                  <w:vAlign w:val="center"/>
                </w:tcPr>
                <w:p w14:paraId="5B6DEC9C">
                  <w:pPr>
                    <w:jc w:val="center"/>
                    <w:rPr>
                      <w:rFonts w:hint="default" w:ascii="宋体" w:hAnsi="宋体" w:eastAsia="宋体" w:cs="宋体"/>
                      <w:color w:val="auto"/>
                      <w:kern w:val="0"/>
                      <w:szCs w:val="21"/>
                      <w:u w:val="single"/>
                      <w:lang w:val="en-US" w:eastAsia="zh-CN"/>
                    </w:rPr>
                  </w:pPr>
                  <w:r>
                    <w:rPr>
                      <w:rFonts w:hint="eastAsia" w:ascii="宋体" w:hAnsi="宋体" w:cs="宋体"/>
                      <w:color w:val="auto"/>
                      <w:kern w:val="0"/>
                      <w:szCs w:val="21"/>
                      <w:u w:val="single"/>
                      <w:lang w:val="en-US" w:eastAsia="zh-CN"/>
                    </w:rPr>
                    <w:t>140</w:t>
                  </w:r>
                  <w:r>
                    <w:rPr>
                      <w:rFonts w:hint="eastAsia" w:ascii="宋体" w:hAnsi="宋体" w:eastAsia="宋体" w:cs="宋体"/>
                      <w:color w:val="auto"/>
                      <w:kern w:val="0"/>
                      <w:szCs w:val="21"/>
                      <w:u w:val="single"/>
                      <w:lang w:val="en-US" w:eastAsia="zh-CN"/>
                    </w:rPr>
                    <w:t>m-500m</w:t>
                  </w:r>
                </w:p>
              </w:tc>
            </w:tr>
            <w:tr w14:paraId="487E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2B6463A8">
                  <w:pPr>
                    <w:jc w:val="center"/>
                    <w:rPr>
                      <w:rFonts w:hint="eastAsia" w:ascii="宋体" w:hAnsi="宋体" w:eastAsia="宋体" w:cs="宋体"/>
                      <w:bCs/>
                      <w:color w:val="FF0000"/>
                      <w:szCs w:val="21"/>
                      <w:u w:val="single"/>
                    </w:rPr>
                  </w:pPr>
                </w:p>
              </w:tc>
              <w:tc>
                <w:tcPr>
                  <w:tcW w:w="971" w:type="pct"/>
                  <w:vAlign w:val="center"/>
                </w:tcPr>
                <w:p w14:paraId="0116338D">
                  <w:pPr>
                    <w:jc w:val="center"/>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东侧居民</w:t>
                  </w:r>
                </w:p>
              </w:tc>
              <w:tc>
                <w:tcPr>
                  <w:tcW w:w="773" w:type="pct"/>
                  <w:vAlign w:val="center"/>
                </w:tcPr>
                <w:p w14:paraId="5A2B11B1">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居民约</w:t>
                  </w:r>
                  <w:r>
                    <w:rPr>
                      <w:rFonts w:hint="eastAsia" w:ascii="宋体" w:hAnsi="宋体" w:cs="宋体"/>
                      <w:bCs/>
                      <w:color w:val="auto"/>
                      <w:szCs w:val="21"/>
                      <w:u w:val="single"/>
                      <w:lang w:val="en-US" w:eastAsia="zh-CN"/>
                    </w:rPr>
                    <w:t>30</w:t>
                  </w:r>
                  <w:r>
                    <w:rPr>
                      <w:rFonts w:hint="eastAsia" w:ascii="宋体" w:hAnsi="宋体" w:eastAsia="宋体" w:cs="宋体"/>
                      <w:bCs/>
                      <w:color w:val="auto"/>
                      <w:szCs w:val="21"/>
                      <w:u w:val="single"/>
                      <w:lang w:val="en-US" w:eastAsia="zh-CN"/>
                    </w:rPr>
                    <w:t>户</w:t>
                  </w:r>
                </w:p>
              </w:tc>
              <w:tc>
                <w:tcPr>
                  <w:tcW w:w="1089" w:type="pct"/>
                  <w:vMerge w:val="continue"/>
                  <w:vAlign w:val="center"/>
                </w:tcPr>
                <w:p w14:paraId="51479AE5">
                  <w:pPr>
                    <w:jc w:val="center"/>
                    <w:rPr>
                      <w:rFonts w:hint="eastAsia" w:ascii="宋体" w:hAnsi="宋体" w:eastAsia="宋体" w:cs="宋体"/>
                      <w:color w:val="auto"/>
                      <w:kern w:val="0"/>
                      <w:szCs w:val="21"/>
                      <w:u w:val="single"/>
                    </w:rPr>
                  </w:pPr>
                </w:p>
              </w:tc>
              <w:tc>
                <w:tcPr>
                  <w:tcW w:w="881" w:type="pct"/>
                  <w:vAlign w:val="center"/>
                </w:tcPr>
                <w:p w14:paraId="71132E01">
                  <w:pPr>
                    <w:jc w:val="center"/>
                    <w:rPr>
                      <w:rFonts w:hint="default"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E</w:t>
                  </w:r>
                </w:p>
              </w:tc>
              <w:tc>
                <w:tcPr>
                  <w:tcW w:w="991" w:type="pct"/>
                  <w:vAlign w:val="center"/>
                </w:tcPr>
                <w:p w14:paraId="1F452E95">
                  <w:pPr>
                    <w:jc w:val="center"/>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u w:val="single"/>
                      <w:lang w:val="en-US" w:eastAsia="zh-CN"/>
                    </w:rPr>
                    <w:t>70</w:t>
                  </w:r>
                  <w:r>
                    <w:rPr>
                      <w:rFonts w:hint="eastAsia" w:ascii="宋体" w:hAnsi="宋体" w:eastAsia="宋体" w:cs="宋体"/>
                      <w:color w:val="auto"/>
                      <w:kern w:val="0"/>
                      <w:szCs w:val="21"/>
                      <w:u w:val="single"/>
                      <w:lang w:val="en-US" w:eastAsia="zh-CN"/>
                    </w:rPr>
                    <w:t>m-500m</w:t>
                  </w:r>
                </w:p>
              </w:tc>
            </w:tr>
            <w:tr w14:paraId="2782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92" w:type="pct"/>
                  <w:vMerge w:val="continue"/>
                  <w:vAlign w:val="center"/>
                </w:tcPr>
                <w:p w14:paraId="7E59D5DE">
                  <w:pPr>
                    <w:jc w:val="center"/>
                    <w:rPr>
                      <w:rFonts w:hint="eastAsia" w:ascii="宋体" w:hAnsi="宋体" w:eastAsia="宋体" w:cs="宋体"/>
                      <w:bCs/>
                      <w:color w:val="FF0000"/>
                      <w:szCs w:val="21"/>
                      <w:u w:val="single"/>
                    </w:rPr>
                  </w:pPr>
                </w:p>
              </w:tc>
              <w:tc>
                <w:tcPr>
                  <w:tcW w:w="971" w:type="pct"/>
                  <w:vAlign w:val="center"/>
                </w:tcPr>
                <w:p w14:paraId="1DC4D7EB">
                  <w:pPr>
                    <w:jc w:val="center"/>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东南侧居民</w:t>
                  </w:r>
                </w:p>
              </w:tc>
              <w:tc>
                <w:tcPr>
                  <w:tcW w:w="773" w:type="pct"/>
                  <w:vAlign w:val="center"/>
                </w:tcPr>
                <w:p w14:paraId="59EF8990">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居民约</w:t>
                  </w:r>
                  <w:r>
                    <w:rPr>
                      <w:rFonts w:hint="eastAsia" w:ascii="宋体" w:hAnsi="宋体" w:cs="宋体"/>
                      <w:bCs/>
                      <w:color w:val="auto"/>
                      <w:szCs w:val="21"/>
                      <w:u w:val="single"/>
                      <w:lang w:val="en-US" w:eastAsia="zh-CN"/>
                    </w:rPr>
                    <w:t>21</w:t>
                  </w:r>
                  <w:r>
                    <w:rPr>
                      <w:rFonts w:hint="eastAsia" w:ascii="宋体" w:hAnsi="宋体" w:eastAsia="宋体" w:cs="宋体"/>
                      <w:bCs/>
                      <w:color w:val="auto"/>
                      <w:szCs w:val="21"/>
                      <w:u w:val="single"/>
                      <w:lang w:val="en-US" w:eastAsia="zh-CN"/>
                    </w:rPr>
                    <w:t>户</w:t>
                  </w:r>
                </w:p>
              </w:tc>
              <w:tc>
                <w:tcPr>
                  <w:tcW w:w="1089" w:type="pct"/>
                  <w:vMerge w:val="continue"/>
                  <w:vAlign w:val="center"/>
                </w:tcPr>
                <w:p w14:paraId="05E4C287">
                  <w:pPr>
                    <w:jc w:val="center"/>
                    <w:rPr>
                      <w:rFonts w:hint="eastAsia" w:ascii="宋体" w:hAnsi="宋体" w:eastAsia="宋体" w:cs="宋体"/>
                      <w:color w:val="auto"/>
                      <w:kern w:val="0"/>
                      <w:szCs w:val="21"/>
                      <w:u w:val="single"/>
                    </w:rPr>
                  </w:pPr>
                </w:p>
              </w:tc>
              <w:tc>
                <w:tcPr>
                  <w:tcW w:w="881" w:type="pct"/>
                  <w:vAlign w:val="center"/>
                </w:tcPr>
                <w:p w14:paraId="4914017A">
                  <w:pPr>
                    <w:jc w:val="center"/>
                    <w:rPr>
                      <w:rFonts w:hint="default"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ES</w:t>
                  </w:r>
                </w:p>
              </w:tc>
              <w:tc>
                <w:tcPr>
                  <w:tcW w:w="991" w:type="pct"/>
                  <w:vAlign w:val="center"/>
                </w:tcPr>
                <w:p w14:paraId="7D12AEC4">
                  <w:pPr>
                    <w:jc w:val="center"/>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u w:val="single"/>
                      <w:lang w:val="en-US" w:eastAsia="zh-CN"/>
                    </w:rPr>
                    <w:t>1</w:t>
                  </w:r>
                  <w:r>
                    <w:rPr>
                      <w:rFonts w:hint="eastAsia" w:ascii="宋体" w:hAnsi="宋体" w:eastAsia="宋体" w:cs="宋体"/>
                      <w:color w:val="auto"/>
                      <w:kern w:val="0"/>
                      <w:szCs w:val="21"/>
                      <w:u w:val="single"/>
                      <w:lang w:val="en-US" w:eastAsia="zh-CN"/>
                    </w:rPr>
                    <w:t>00m-</w:t>
                  </w:r>
                  <w:r>
                    <w:rPr>
                      <w:rFonts w:hint="eastAsia" w:ascii="宋体" w:hAnsi="宋体" w:cs="宋体"/>
                      <w:color w:val="auto"/>
                      <w:kern w:val="0"/>
                      <w:szCs w:val="21"/>
                      <w:u w:val="single"/>
                      <w:lang w:val="en-US" w:eastAsia="zh-CN"/>
                    </w:rPr>
                    <w:t>450</w:t>
                  </w:r>
                  <w:r>
                    <w:rPr>
                      <w:rFonts w:hint="eastAsia" w:ascii="宋体" w:hAnsi="宋体" w:eastAsia="宋体" w:cs="宋体"/>
                      <w:color w:val="auto"/>
                      <w:kern w:val="0"/>
                      <w:szCs w:val="21"/>
                      <w:u w:val="single"/>
                      <w:lang w:val="en-US" w:eastAsia="zh-CN"/>
                    </w:rPr>
                    <w:t>m</w:t>
                  </w:r>
                </w:p>
              </w:tc>
            </w:tr>
            <w:tr w14:paraId="66C8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92" w:type="pct"/>
                  <w:vMerge w:val="continue"/>
                  <w:vAlign w:val="center"/>
                </w:tcPr>
                <w:p w14:paraId="5618F0F4">
                  <w:pPr>
                    <w:jc w:val="center"/>
                    <w:rPr>
                      <w:rFonts w:hint="eastAsia" w:ascii="宋体" w:hAnsi="宋体" w:eastAsia="宋体" w:cs="宋体"/>
                      <w:bCs/>
                      <w:color w:val="FF0000"/>
                      <w:szCs w:val="21"/>
                      <w:u w:val="single"/>
                    </w:rPr>
                  </w:pPr>
                </w:p>
              </w:tc>
              <w:tc>
                <w:tcPr>
                  <w:tcW w:w="971" w:type="pct"/>
                  <w:vAlign w:val="center"/>
                </w:tcPr>
                <w:p w14:paraId="167E548D">
                  <w:pPr>
                    <w:jc w:val="center"/>
                    <w:rPr>
                      <w:rFonts w:hint="default" w:ascii="宋体" w:hAnsi="宋体" w:eastAsia="宋体" w:cs="宋体"/>
                      <w:color w:val="auto"/>
                      <w:u w:val="single"/>
                      <w:lang w:val="en-US" w:eastAsia="zh-CN"/>
                    </w:rPr>
                  </w:pPr>
                  <w:r>
                    <w:rPr>
                      <w:rFonts w:hint="eastAsia" w:ascii="宋体" w:hAnsi="宋体" w:cs="宋体"/>
                      <w:color w:val="auto"/>
                      <w:u w:val="single"/>
                      <w:lang w:val="en-US" w:eastAsia="zh-CN"/>
                    </w:rPr>
                    <w:t>城头山古文化遗址</w:t>
                  </w:r>
                </w:p>
              </w:tc>
              <w:tc>
                <w:tcPr>
                  <w:tcW w:w="773" w:type="pct"/>
                  <w:vAlign w:val="center"/>
                </w:tcPr>
                <w:p w14:paraId="08DE993D">
                  <w:pPr>
                    <w:jc w:val="center"/>
                    <w:rPr>
                      <w:rFonts w:hint="default" w:ascii="宋体" w:hAnsi="宋体" w:eastAsia="宋体" w:cs="宋体"/>
                      <w:bCs/>
                      <w:color w:val="auto"/>
                      <w:szCs w:val="21"/>
                      <w:u w:val="single"/>
                      <w:lang w:val="en-US" w:eastAsia="zh-CN"/>
                    </w:rPr>
                  </w:pPr>
                  <w:r>
                    <w:rPr>
                      <w:rFonts w:hint="eastAsia" w:ascii="宋体" w:hAnsi="宋体" w:cs="宋体"/>
                      <w:bCs/>
                      <w:color w:val="auto"/>
                      <w:szCs w:val="21"/>
                      <w:u w:val="single"/>
                      <w:lang w:val="en-US" w:eastAsia="zh-CN"/>
                    </w:rPr>
                    <w:t>全国重点文物保护单位</w:t>
                  </w:r>
                </w:p>
              </w:tc>
              <w:tc>
                <w:tcPr>
                  <w:tcW w:w="1089" w:type="pct"/>
                  <w:vMerge w:val="continue"/>
                  <w:vAlign w:val="center"/>
                </w:tcPr>
                <w:p w14:paraId="1D181BF8">
                  <w:pPr>
                    <w:jc w:val="center"/>
                    <w:rPr>
                      <w:rFonts w:hint="eastAsia" w:ascii="宋体" w:hAnsi="宋体" w:eastAsia="宋体" w:cs="宋体"/>
                      <w:color w:val="auto"/>
                      <w:kern w:val="0"/>
                      <w:szCs w:val="21"/>
                      <w:u w:val="single"/>
                    </w:rPr>
                  </w:pPr>
                </w:p>
              </w:tc>
              <w:tc>
                <w:tcPr>
                  <w:tcW w:w="881" w:type="pct"/>
                  <w:vAlign w:val="center"/>
                </w:tcPr>
                <w:p w14:paraId="0EB3E7C7">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ES</w:t>
                  </w:r>
                </w:p>
              </w:tc>
              <w:tc>
                <w:tcPr>
                  <w:tcW w:w="991" w:type="pct"/>
                  <w:vAlign w:val="center"/>
                </w:tcPr>
                <w:p w14:paraId="1750B0A4">
                  <w:pPr>
                    <w:jc w:val="center"/>
                    <w:rPr>
                      <w:rFonts w:hint="default" w:ascii="宋体" w:hAnsi="宋体" w:cs="宋体"/>
                      <w:color w:val="auto"/>
                      <w:kern w:val="0"/>
                      <w:szCs w:val="21"/>
                      <w:u w:val="single"/>
                      <w:lang w:val="en-US" w:eastAsia="zh-CN"/>
                    </w:rPr>
                  </w:pPr>
                  <w:r>
                    <w:rPr>
                      <w:rFonts w:hint="eastAsia" w:ascii="宋体" w:hAnsi="宋体" w:cs="宋体"/>
                      <w:color w:val="auto"/>
                      <w:kern w:val="0"/>
                      <w:szCs w:val="21"/>
                      <w:u w:val="single"/>
                      <w:lang w:val="en-US" w:eastAsia="zh-CN"/>
                    </w:rPr>
                    <w:t>340m</w:t>
                  </w:r>
                </w:p>
              </w:tc>
            </w:tr>
            <w:tr w14:paraId="70B9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1B93E46B">
                  <w:pPr>
                    <w:jc w:val="center"/>
                    <w:rPr>
                      <w:rFonts w:hint="eastAsia" w:ascii="宋体" w:hAnsi="宋体" w:eastAsia="宋体" w:cs="宋体"/>
                      <w:bCs/>
                      <w:color w:val="FF0000"/>
                      <w:szCs w:val="21"/>
                      <w:u w:val="single"/>
                    </w:rPr>
                  </w:pPr>
                </w:p>
              </w:tc>
              <w:tc>
                <w:tcPr>
                  <w:tcW w:w="971" w:type="pct"/>
                  <w:vAlign w:val="center"/>
                </w:tcPr>
                <w:p w14:paraId="0BE6C432">
                  <w:pPr>
                    <w:jc w:val="center"/>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南侧居民</w:t>
                  </w:r>
                </w:p>
              </w:tc>
              <w:tc>
                <w:tcPr>
                  <w:tcW w:w="773" w:type="pct"/>
                  <w:vAlign w:val="center"/>
                </w:tcPr>
                <w:p w14:paraId="36967596">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居民约1</w:t>
                  </w:r>
                  <w:r>
                    <w:rPr>
                      <w:rFonts w:hint="eastAsia" w:ascii="宋体" w:hAnsi="宋体" w:cs="宋体"/>
                      <w:bCs/>
                      <w:color w:val="auto"/>
                      <w:szCs w:val="21"/>
                      <w:u w:val="single"/>
                      <w:lang w:val="en-US" w:eastAsia="zh-CN"/>
                    </w:rPr>
                    <w:t>6</w:t>
                  </w:r>
                  <w:r>
                    <w:rPr>
                      <w:rFonts w:hint="eastAsia" w:ascii="宋体" w:hAnsi="宋体" w:eastAsia="宋体" w:cs="宋体"/>
                      <w:bCs/>
                      <w:color w:val="auto"/>
                      <w:szCs w:val="21"/>
                      <w:u w:val="single"/>
                      <w:lang w:val="en-US" w:eastAsia="zh-CN"/>
                    </w:rPr>
                    <w:t>户</w:t>
                  </w:r>
                </w:p>
              </w:tc>
              <w:tc>
                <w:tcPr>
                  <w:tcW w:w="1089" w:type="pct"/>
                  <w:vMerge w:val="continue"/>
                  <w:vAlign w:val="center"/>
                </w:tcPr>
                <w:p w14:paraId="14F13627">
                  <w:pPr>
                    <w:jc w:val="center"/>
                    <w:rPr>
                      <w:rFonts w:hint="eastAsia" w:ascii="宋体" w:hAnsi="宋体" w:eastAsia="宋体" w:cs="宋体"/>
                      <w:color w:val="auto"/>
                      <w:kern w:val="0"/>
                      <w:szCs w:val="21"/>
                      <w:u w:val="single"/>
                    </w:rPr>
                  </w:pPr>
                </w:p>
              </w:tc>
              <w:tc>
                <w:tcPr>
                  <w:tcW w:w="881" w:type="pct"/>
                  <w:vAlign w:val="center"/>
                </w:tcPr>
                <w:p w14:paraId="0609B980">
                  <w:pPr>
                    <w:jc w:val="center"/>
                    <w:rPr>
                      <w:rFonts w:hint="default"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S</w:t>
                  </w:r>
                </w:p>
              </w:tc>
              <w:tc>
                <w:tcPr>
                  <w:tcW w:w="991" w:type="pct"/>
                  <w:vAlign w:val="center"/>
                </w:tcPr>
                <w:p w14:paraId="683EC342">
                  <w:pPr>
                    <w:jc w:val="center"/>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u w:val="single"/>
                      <w:lang w:val="en-US" w:eastAsia="zh-CN"/>
                    </w:rPr>
                    <w:t>8</w:t>
                  </w:r>
                  <w:r>
                    <w:rPr>
                      <w:rFonts w:hint="eastAsia" w:ascii="宋体" w:hAnsi="宋体" w:eastAsia="宋体" w:cs="宋体"/>
                      <w:color w:val="auto"/>
                      <w:kern w:val="0"/>
                      <w:szCs w:val="21"/>
                      <w:u w:val="single"/>
                      <w:lang w:val="en-US" w:eastAsia="zh-CN"/>
                    </w:rPr>
                    <w:t>m-500m</w:t>
                  </w:r>
                </w:p>
              </w:tc>
            </w:tr>
            <w:tr w14:paraId="6DCE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3B5622EA">
                  <w:pPr>
                    <w:jc w:val="center"/>
                    <w:rPr>
                      <w:rFonts w:hint="eastAsia" w:ascii="宋体" w:hAnsi="宋体" w:eastAsia="宋体" w:cs="宋体"/>
                      <w:bCs/>
                      <w:color w:val="FF0000"/>
                      <w:szCs w:val="21"/>
                      <w:u w:val="single"/>
                    </w:rPr>
                  </w:pPr>
                </w:p>
              </w:tc>
              <w:tc>
                <w:tcPr>
                  <w:tcW w:w="971" w:type="pct"/>
                  <w:vAlign w:val="center"/>
                </w:tcPr>
                <w:p w14:paraId="70AAEF58">
                  <w:pPr>
                    <w:jc w:val="center"/>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西南侧居民</w:t>
                  </w:r>
                </w:p>
              </w:tc>
              <w:tc>
                <w:tcPr>
                  <w:tcW w:w="773" w:type="pct"/>
                  <w:vAlign w:val="center"/>
                </w:tcPr>
                <w:p w14:paraId="70736628">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居民约</w:t>
                  </w:r>
                  <w:r>
                    <w:rPr>
                      <w:rFonts w:hint="eastAsia" w:ascii="宋体" w:hAnsi="宋体" w:cs="宋体"/>
                      <w:bCs/>
                      <w:color w:val="auto"/>
                      <w:szCs w:val="21"/>
                      <w:u w:val="single"/>
                      <w:lang w:val="en-US" w:eastAsia="zh-CN"/>
                    </w:rPr>
                    <w:t>25</w:t>
                  </w:r>
                  <w:r>
                    <w:rPr>
                      <w:rFonts w:hint="eastAsia" w:ascii="宋体" w:hAnsi="宋体" w:eastAsia="宋体" w:cs="宋体"/>
                      <w:bCs/>
                      <w:color w:val="auto"/>
                      <w:szCs w:val="21"/>
                      <w:u w:val="single"/>
                      <w:lang w:val="en-US" w:eastAsia="zh-CN"/>
                    </w:rPr>
                    <w:t>户</w:t>
                  </w:r>
                </w:p>
              </w:tc>
              <w:tc>
                <w:tcPr>
                  <w:tcW w:w="1089" w:type="pct"/>
                  <w:vMerge w:val="continue"/>
                  <w:vAlign w:val="center"/>
                </w:tcPr>
                <w:p w14:paraId="16D4AC10">
                  <w:pPr>
                    <w:jc w:val="center"/>
                    <w:rPr>
                      <w:rFonts w:hint="eastAsia" w:ascii="宋体" w:hAnsi="宋体" w:eastAsia="宋体" w:cs="宋体"/>
                      <w:color w:val="auto"/>
                      <w:kern w:val="0"/>
                      <w:szCs w:val="21"/>
                      <w:u w:val="single"/>
                    </w:rPr>
                  </w:pPr>
                </w:p>
              </w:tc>
              <w:tc>
                <w:tcPr>
                  <w:tcW w:w="881" w:type="pct"/>
                  <w:vAlign w:val="center"/>
                </w:tcPr>
                <w:p w14:paraId="719042DD">
                  <w:pPr>
                    <w:jc w:val="center"/>
                    <w:rPr>
                      <w:rFonts w:hint="default"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WS</w:t>
                  </w:r>
                </w:p>
              </w:tc>
              <w:tc>
                <w:tcPr>
                  <w:tcW w:w="991" w:type="pct"/>
                  <w:vAlign w:val="center"/>
                </w:tcPr>
                <w:p w14:paraId="75398EF6">
                  <w:pPr>
                    <w:jc w:val="center"/>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u w:val="single"/>
                      <w:lang w:val="en-US" w:eastAsia="zh-CN"/>
                    </w:rPr>
                    <w:t>90</w:t>
                  </w:r>
                  <w:r>
                    <w:rPr>
                      <w:rFonts w:hint="eastAsia" w:ascii="宋体" w:hAnsi="宋体" w:eastAsia="宋体" w:cs="宋体"/>
                      <w:color w:val="auto"/>
                      <w:kern w:val="0"/>
                      <w:szCs w:val="21"/>
                      <w:u w:val="single"/>
                      <w:lang w:val="en-US" w:eastAsia="zh-CN"/>
                    </w:rPr>
                    <w:t>m-500m</w:t>
                  </w:r>
                </w:p>
              </w:tc>
            </w:tr>
            <w:tr w14:paraId="2376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47D10ED9">
                  <w:pPr>
                    <w:jc w:val="center"/>
                    <w:rPr>
                      <w:rFonts w:hint="eastAsia" w:ascii="宋体" w:hAnsi="宋体" w:eastAsia="宋体" w:cs="宋体"/>
                      <w:bCs/>
                      <w:color w:val="FF0000"/>
                      <w:szCs w:val="21"/>
                      <w:u w:val="single"/>
                    </w:rPr>
                  </w:pPr>
                </w:p>
              </w:tc>
              <w:tc>
                <w:tcPr>
                  <w:tcW w:w="971" w:type="pct"/>
                  <w:vAlign w:val="center"/>
                </w:tcPr>
                <w:p w14:paraId="14FF098A">
                  <w:pPr>
                    <w:jc w:val="center"/>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西侧居民</w:t>
                  </w:r>
                </w:p>
              </w:tc>
              <w:tc>
                <w:tcPr>
                  <w:tcW w:w="773" w:type="pct"/>
                  <w:vAlign w:val="center"/>
                </w:tcPr>
                <w:p w14:paraId="26092DAB">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居民约</w:t>
                  </w:r>
                  <w:r>
                    <w:rPr>
                      <w:rFonts w:hint="eastAsia" w:ascii="宋体" w:hAnsi="宋体" w:cs="宋体"/>
                      <w:bCs/>
                      <w:color w:val="auto"/>
                      <w:szCs w:val="21"/>
                      <w:u w:val="single"/>
                      <w:lang w:val="en-US" w:eastAsia="zh-CN"/>
                    </w:rPr>
                    <w:t>16</w:t>
                  </w:r>
                  <w:r>
                    <w:rPr>
                      <w:rFonts w:hint="eastAsia" w:ascii="宋体" w:hAnsi="宋体" w:eastAsia="宋体" w:cs="宋体"/>
                      <w:bCs/>
                      <w:color w:val="auto"/>
                      <w:szCs w:val="21"/>
                      <w:u w:val="single"/>
                      <w:lang w:val="en-US" w:eastAsia="zh-CN"/>
                    </w:rPr>
                    <w:t>户</w:t>
                  </w:r>
                </w:p>
              </w:tc>
              <w:tc>
                <w:tcPr>
                  <w:tcW w:w="1089" w:type="pct"/>
                  <w:vMerge w:val="continue"/>
                  <w:vAlign w:val="center"/>
                </w:tcPr>
                <w:p w14:paraId="142DBAA5">
                  <w:pPr>
                    <w:jc w:val="center"/>
                    <w:rPr>
                      <w:rFonts w:hint="eastAsia" w:ascii="宋体" w:hAnsi="宋体" w:eastAsia="宋体" w:cs="宋体"/>
                      <w:color w:val="auto"/>
                      <w:kern w:val="0"/>
                      <w:szCs w:val="21"/>
                      <w:u w:val="single"/>
                    </w:rPr>
                  </w:pPr>
                </w:p>
              </w:tc>
              <w:tc>
                <w:tcPr>
                  <w:tcW w:w="881" w:type="pct"/>
                  <w:vAlign w:val="center"/>
                </w:tcPr>
                <w:p w14:paraId="36844808">
                  <w:pPr>
                    <w:jc w:val="center"/>
                    <w:rPr>
                      <w:rFonts w:hint="default"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W</w:t>
                  </w:r>
                </w:p>
              </w:tc>
              <w:tc>
                <w:tcPr>
                  <w:tcW w:w="991" w:type="pct"/>
                  <w:vAlign w:val="center"/>
                </w:tcPr>
                <w:p w14:paraId="738F4F5A">
                  <w:pPr>
                    <w:jc w:val="center"/>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u w:val="single"/>
                      <w:lang w:val="en-US" w:eastAsia="zh-CN"/>
                    </w:rPr>
                    <w:t>1</w:t>
                  </w:r>
                  <w:r>
                    <w:rPr>
                      <w:rFonts w:hint="eastAsia" w:ascii="宋体" w:hAnsi="宋体" w:eastAsia="宋体" w:cs="宋体"/>
                      <w:color w:val="auto"/>
                      <w:kern w:val="0"/>
                      <w:szCs w:val="21"/>
                      <w:u w:val="single"/>
                      <w:lang w:val="en-US" w:eastAsia="zh-CN"/>
                    </w:rPr>
                    <w:t>m-500m</w:t>
                  </w:r>
                </w:p>
              </w:tc>
            </w:tr>
            <w:tr w14:paraId="1249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0F03FAFD">
                  <w:pPr>
                    <w:jc w:val="center"/>
                    <w:rPr>
                      <w:rFonts w:hint="eastAsia" w:ascii="宋体" w:hAnsi="宋体" w:eastAsia="宋体" w:cs="宋体"/>
                      <w:bCs/>
                      <w:color w:val="FF0000"/>
                      <w:szCs w:val="21"/>
                      <w:u w:val="single"/>
                    </w:rPr>
                  </w:pPr>
                </w:p>
              </w:tc>
              <w:tc>
                <w:tcPr>
                  <w:tcW w:w="971" w:type="pct"/>
                  <w:vAlign w:val="center"/>
                </w:tcPr>
                <w:p w14:paraId="2BD661B1">
                  <w:pPr>
                    <w:pStyle w:val="53"/>
                    <w:bidi w:val="0"/>
                    <w:rPr>
                      <w:rFonts w:hint="eastAsia" w:ascii="宋体" w:hAnsi="宋体" w:eastAsia="宋体" w:cs="宋体"/>
                      <w:color w:val="auto"/>
                      <w:u w:val="single"/>
                      <w:lang w:val="en-US" w:eastAsia="zh-CN"/>
                    </w:rPr>
                  </w:pPr>
                  <w:r>
                    <w:rPr>
                      <w:rFonts w:hint="eastAsia" w:hAnsi="宋体" w:cs="宋体"/>
                      <w:color w:val="auto"/>
                      <w:u w:val="single"/>
                      <w:lang w:val="en-US" w:eastAsia="zh-CN"/>
                    </w:rPr>
                    <w:t>城头山小学</w:t>
                  </w:r>
                </w:p>
              </w:tc>
              <w:tc>
                <w:tcPr>
                  <w:tcW w:w="773" w:type="pct"/>
                  <w:vAlign w:val="center"/>
                </w:tcPr>
                <w:p w14:paraId="73420A06">
                  <w:pPr>
                    <w:pStyle w:val="53"/>
                    <w:bidi w:val="0"/>
                    <w:rPr>
                      <w:rFonts w:hint="default" w:ascii="宋体" w:hAnsi="宋体" w:eastAsia="宋体" w:cs="宋体"/>
                      <w:bCs/>
                      <w:color w:val="auto"/>
                      <w:szCs w:val="21"/>
                      <w:u w:val="single"/>
                      <w:lang w:val="en-US" w:eastAsia="zh-CN"/>
                    </w:rPr>
                  </w:pPr>
                  <w:r>
                    <w:rPr>
                      <w:rFonts w:hint="eastAsia" w:ascii="宋体" w:hAnsi="宋体" w:eastAsia="宋体" w:cs="宋体"/>
                      <w:color w:val="auto"/>
                      <w:u w:val="single"/>
                      <w:lang w:val="en-US" w:eastAsia="zh-CN"/>
                    </w:rPr>
                    <w:t>约400人</w:t>
                  </w:r>
                </w:p>
              </w:tc>
              <w:tc>
                <w:tcPr>
                  <w:tcW w:w="1089" w:type="pct"/>
                  <w:vMerge w:val="continue"/>
                  <w:vAlign w:val="center"/>
                </w:tcPr>
                <w:p w14:paraId="3B245602">
                  <w:pPr>
                    <w:jc w:val="center"/>
                    <w:rPr>
                      <w:rFonts w:hint="eastAsia" w:ascii="宋体" w:hAnsi="宋体" w:eastAsia="宋体" w:cs="宋体"/>
                      <w:color w:val="auto"/>
                      <w:kern w:val="0"/>
                      <w:szCs w:val="21"/>
                      <w:u w:val="single"/>
                    </w:rPr>
                  </w:pPr>
                </w:p>
              </w:tc>
              <w:tc>
                <w:tcPr>
                  <w:tcW w:w="881" w:type="pct"/>
                  <w:vAlign w:val="center"/>
                </w:tcPr>
                <w:p w14:paraId="50953BCC">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W</w:t>
                  </w:r>
                </w:p>
              </w:tc>
              <w:tc>
                <w:tcPr>
                  <w:tcW w:w="991" w:type="pct"/>
                  <w:vAlign w:val="center"/>
                </w:tcPr>
                <w:p w14:paraId="22A4BD0C">
                  <w:pPr>
                    <w:jc w:val="center"/>
                    <w:rPr>
                      <w:rFonts w:hint="eastAsia" w:ascii="宋体" w:hAnsi="宋体" w:eastAsia="宋体" w:cs="宋体"/>
                      <w:color w:val="auto"/>
                      <w:kern w:val="0"/>
                      <w:szCs w:val="21"/>
                      <w:u w:val="single"/>
                      <w:lang w:val="en-US" w:eastAsia="zh-CN"/>
                    </w:rPr>
                  </w:pPr>
                  <w:r>
                    <w:rPr>
                      <w:rFonts w:hint="eastAsia" w:ascii="宋体" w:hAnsi="宋体" w:eastAsia="宋体" w:cs="宋体"/>
                      <w:color w:val="auto"/>
                      <w:u w:val="single"/>
                      <w:lang w:val="en-US" w:eastAsia="zh-CN"/>
                    </w:rPr>
                    <w:t>40</w:t>
                  </w:r>
                  <w:r>
                    <w:rPr>
                      <w:rFonts w:hint="eastAsia" w:ascii="宋体" w:hAnsi="宋体" w:eastAsia="宋体" w:cs="宋体"/>
                      <w:color w:val="auto"/>
                      <w:kern w:val="0"/>
                      <w:szCs w:val="21"/>
                      <w:u w:val="single"/>
                      <w:lang w:val="en-US" w:eastAsia="zh-CN"/>
                    </w:rPr>
                    <w:t>m</w:t>
                  </w:r>
                </w:p>
              </w:tc>
            </w:tr>
            <w:tr w14:paraId="5AEB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Merge w:val="continue"/>
                  <w:vAlign w:val="center"/>
                </w:tcPr>
                <w:p w14:paraId="757E2411">
                  <w:pPr>
                    <w:jc w:val="center"/>
                    <w:rPr>
                      <w:rFonts w:hint="eastAsia" w:ascii="宋体" w:hAnsi="宋体" w:eastAsia="宋体" w:cs="宋体"/>
                      <w:bCs/>
                      <w:color w:val="FF0000"/>
                      <w:szCs w:val="21"/>
                      <w:u w:val="single"/>
                    </w:rPr>
                  </w:pPr>
                </w:p>
              </w:tc>
              <w:tc>
                <w:tcPr>
                  <w:tcW w:w="971" w:type="pct"/>
                  <w:vAlign w:val="center"/>
                </w:tcPr>
                <w:p w14:paraId="401A86CD">
                  <w:pPr>
                    <w:jc w:val="center"/>
                    <w:rPr>
                      <w:rFonts w:hint="default" w:ascii="宋体" w:hAnsi="宋体" w:eastAsia="宋体" w:cs="宋体"/>
                      <w:color w:val="auto"/>
                      <w:u w:val="single"/>
                      <w:lang w:val="en-US" w:eastAsia="zh-CN"/>
                    </w:rPr>
                  </w:pPr>
                  <w:r>
                    <w:rPr>
                      <w:rFonts w:hint="eastAsia" w:ascii="宋体" w:hAnsi="宋体" w:eastAsia="宋体" w:cs="宋体"/>
                      <w:color w:val="auto"/>
                      <w:u w:val="single"/>
                      <w:lang w:val="en-US" w:eastAsia="zh-CN"/>
                    </w:rPr>
                    <w:t>西北侧居民</w:t>
                  </w:r>
                </w:p>
              </w:tc>
              <w:tc>
                <w:tcPr>
                  <w:tcW w:w="773" w:type="pct"/>
                  <w:vAlign w:val="center"/>
                </w:tcPr>
                <w:p w14:paraId="45D9420A">
                  <w:pPr>
                    <w:jc w:val="center"/>
                    <w:rPr>
                      <w:rFonts w:hint="eastAsia"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居民约</w:t>
                  </w:r>
                  <w:r>
                    <w:rPr>
                      <w:rFonts w:hint="eastAsia" w:ascii="宋体" w:hAnsi="宋体" w:cs="宋体"/>
                      <w:bCs/>
                      <w:color w:val="auto"/>
                      <w:szCs w:val="21"/>
                      <w:u w:val="single"/>
                      <w:lang w:val="en-US" w:eastAsia="zh-CN"/>
                    </w:rPr>
                    <w:t>8</w:t>
                  </w:r>
                  <w:r>
                    <w:rPr>
                      <w:rFonts w:hint="eastAsia" w:ascii="宋体" w:hAnsi="宋体" w:eastAsia="宋体" w:cs="宋体"/>
                      <w:bCs/>
                      <w:color w:val="auto"/>
                      <w:szCs w:val="21"/>
                      <w:u w:val="single"/>
                      <w:lang w:val="en-US" w:eastAsia="zh-CN"/>
                    </w:rPr>
                    <w:t>户</w:t>
                  </w:r>
                </w:p>
              </w:tc>
              <w:tc>
                <w:tcPr>
                  <w:tcW w:w="1089" w:type="pct"/>
                  <w:vMerge w:val="continue"/>
                  <w:vAlign w:val="center"/>
                </w:tcPr>
                <w:p w14:paraId="6E61F97E">
                  <w:pPr>
                    <w:jc w:val="center"/>
                    <w:rPr>
                      <w:rFonts w:hint="eastAsia" w:ascii="宋体" w:hAnsi="宋体" w:eastAsia="宋体" w:cs="宋体"/>
                      <w:color w:val="auto"/>
                      <w:kern w:val="0"/>
                      <w:szCs w:val="21"/>
                      <w:u w:val="single"/>
                    </w:rPr>
                  </w:pPr>
                </w:p>
              </w:tc>
              <w:tc>
                <w:tcPr>
                  <w:tcW w:w="881" w:type="pct"/>
                  <w:vAlign w:val="center"/>
                </w:tcPr>
                <w:p w14:paraId="4809CDD3">
                  <w:pPr>
                    <w:jc w:val="center"/>
                    <w:rPr>
                      <w:rFonts w:hint="default" w:ascii="宋体" w:hAnsi="宋体" w:eastAsia="宋体" w:cs="宋体"/>
                      <w:bCs/>
                      <w:color w:val="auto"/>
                      <w:szCs w:val="21"/>
                      <w:u w:val="single"/>
                      <w:lang w:val="en-US" w:eastAsia="zh-CN"/>
                    </w:rPr>
                  </w:pPr>
                  <w:r>
                    <w:rPr>
                      <w:rFonts w:hint="eastAsia" w:ascii="宋体" w:hAnsi="宋体" w:eastAsia="宋体" w:cs="宋体"/>
                      <w:bCs/>
                      <w:color w:val="auto"/>
                      <w:szCs w:val="21"/>
                      <w:u w:val="single"/>
                      <w:lang w:val="en-US" w:eastAsia="zh-CN"/>
                    </w:rPr>
                    <w:t>WN</w:t>
                  </w:r>
                </w:p>
              </w:tc>
              <w:tc>
                <w:tcPr>
                  <w:tcW w:w="991" w:type="pct"/>
                  <w:vAlign w:val="center"/>
                </w:tcPr>
                <w:p w14:paraId="57260899">
                  <w:pPr>
                    <w:jc w:val="center"/>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u w:val="single"/>
                      <w:lang w:val="en-US" w:eastAsia="zh-CN"/>
                    </w:rPr>
                    <w:t>50</w:t>
                  </w:r>
                  <w:r>
                    <w:rPr>
                      <w:rFonts w:hint="eastAsia" w:ascii="宋体" w:hAnsi="宋体" w:eastAsia="宋体" w:cs="宋体"/>
                      <w:color w:val="auto"/>
                      <w:kern w:val="0"/>
                      <w:szCs w:val="21"/>
                      <w:u w:val="single"/>
                      <w:lang w:val="en-US" w:eastAsia="zh-CN"/>
                    </w:rPr>
                    <w:t>m-500m</w:t>
                  </w:r>
                </w:p>
              </w:tc>
            </w:tr>
          </w:tbl>
          <w:p w14:paraId="1111196C">
            <w:pPr>
              <w:bidi w:val="0"/>
              <w:spacing w:line="360" w:lineRule="auto"/>
              <w:ind w:firstLine="420" w:firstLineChars="200"/>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备注：本项目厂界距离城头山最近距离为340m，且本项目污染物按照本文件要求处置后，对周边环境影响较小，对城头山古文化遗址影响较小；</w:t>
            </w:r>
          </w:p>
          <w:p w14:paraId="0843E539">
            <w:pPr>
              <w:pStyle w:val="83"/>
              <w:spacing w:before="167"/>
              <w:ind w:left="587"/>
              <w:rPr>
                <w:rFonts w:hint="eastAsia" w:ascii="宋体" w:hAnsi="宋体" w:eastAsia="宋体" w:cs="宋体"/>
                <w:b/>
                <w:color w:val="auto"/>
                <w:sz w:val="24"/>
                <w:u w:val="none"/>
              </w:rPr>
            </w:pPr>
            <w:r>
              <w:rPr>
                <w:rFonts w:hint="eastAsia" w:ascii="宋体" w:hAnsi="宋体" w:eastAsia="宋体" w:cs="宋体"/>
                <w:b/>
                <w:color w:val="auto"/>
                <w:sz w:val="24"/>
                <w:u w:val="none"/>
              </w:rPr>
              <w:t>2、声环境</w:t>
            </w:r>
          </w:p>
          <w:p w14:paraId="293DF511">
            <w:pPr>
              <w:pStyle w:val="83"/>
              <w:spacing w:before="160" w:line="360" w:lineRule="auto"/>
              <w:ind w:left="587"/>
              <w:rPr>
                <w:rFonts w:hint="eastAsia" w:ascii="宋体" w:hAnsi="宋体" w:eastAsia="宋体" w:cs="宋体"/>
                <w:color w:val="auto"/>
                <w:sz w:val="24"/>
                <w:u w:val="none"/>
              </w:rPr>
            </w:pPr>
            <w:r>
              <w:rPr>
                <w:rFonts w:hint="eastAsia" w:ascii="宋体" w:hAnsi="宋体" w:eastAsia="宋体" w:cs="宋体"/>
                <w:color w:val="auto"/>
                <w:sz w:val="24"/>
                <w:u w:val="none"/>
              </w:rPr>
              <w:t>根据现场调查，项目厂界50m区域范围内声环境保护目标如下。</w:t>
            </w:r>
          </w:p>
          <w:p w14:paraId="537FEBB7">
            <w:pPr>
              <w:pStyle w:val="69"/>
              <w:keepNext w:val="0"/>
              <w:keepLines w:val="0"/>
              <w:pageBreakBefore w:val="0"/>
              <w:widowControl w:val="0"/>
              <w:kinsoku/>
              <w:wordWrap/>
              <w:overflowPunct/>
              <w:topLinePunct w:val="0"/>
              <w:autoSpaceDE/>
              <w:autoSpaceDN/>
              <w:bidi w:val="0"/>
              <w:adjustRightInd/>
              <w:snapToGrid/>
              <w:spacing w:line="360" w:lineRule="auto"/>
              <w:textAlignment w:val="center"/>
              <w:rPr>
                <w:rStyle w:val="51"/>
                <w:rFonts w:hint="eastAsia" w:ascii="宋体" w:hAnsi="宋体" w:eastAsia="宋体" w:cs="宋体"/>
                <w:b/>
                <w:color w:val="auto"/>
                <w:sz w:val="21"/>
                <w:szCs w:val="21"/>
                <w:u w:val="none"/>
                <w:vertAlign w:val="baseline"/>
              </w:rPr>
            </w:pPr>
            <w:r>
              <w:rPr>
                <w:rStyle w:val="51"/>
                <w:rFonts w:hint="eastAsia" w:ascii="宋体" w:hAnsi="宋体" w:eastAsia="宋体" w:cs="宋体"/>
                <w:b/>
                <w:color w:val="auto"/>
                <w:sz w:val="21"/>
                <w:szCs w:val="21"/>
                <w:u w:val="none"/>
              </w:rPr>
              <w:t>表</w:t>
            </w:r>
            <w:r>
              <w:rPr>
                <w:rStyle w:val="51"/>
                <w:rFonts w:hint="eastAsia" w:ascii="宋体" w:hAnsi="宋体" w:eastAsia="宋体" w:cs="宋体"/>
                <w:b/>
                <w:color w:val="auto"/>
                <w:sz w:val="21"/>
                <w:szCs w:val="21"/>
                <w:u w:val="none"/>
                <w:lang w:val="en-US" w:eastAsia="zh-CN"/>
              </w:rPr>
              <w:t>3-6</w:t>
            </w:r>
            <w:r>
              <w:rPr>
                <w:rStyle w:val="51"/>
                <w:rFonts w:hint="eastAsia" w:ascii="宋体" w:hAnsi="宋体" w:eastAsia="宋体" w:cs="宋体"/>
                <w:b/>
                <w:color w:val="auto"/>
                <w:sz w:val="21"/>
                <w:szCs w:val="21"/>
                <w:u w:val="none"/>
              </w:rPr>
              <w:t>项目主要</w:t>
            </w:r>
            <w:r>
              <w:rPr>
                <w:rStyle w:val="51"/>
                <w:rFonts w:hint="eastAsia" w:ascii="宋体" w:hAnsi="宋体" w:eastAsia="宋体" w:cs="宋体"/>
                <w:b/>
                <w:color w:val="auto"/>
                <w:sz w:val="21"/>
                <w:szCs w:val="21"/>
                <w:u w:val="none"/>
                <w:lang w:eastAsia="zh-CN"/>
              </w:rPr>
              <w:t>声</w:t>
            </w:r>
            <w:r>
              <w:rPr>
                <w:rStyle w:val="51"/>
                <w:rFonts w:hint="eastAsia" w:ascii="宋体" w:hAnsi="宋体" w:eastAsia="宋体" w:cs="宋体"/>
                <w:b/>
                <w:color w:val="auto"/>
                <w:sz w:val="21"/>
                <w:szCs w:val="21"/>
                <w:u w:val="none"/>
              </w:rPr>
              <w:t>环境保护目标</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815"/>
              <w:gridCol w:w="1711"/>
              <w:gridCol w:w="889"/>
              <w:gridCol w:w="1756"/>
              <w:gridCol w:w="1574"/>
            </w:tblGrid>
            <w:tr w14:paraId="4153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3" w:type="pct"/>
                  <w:vMerge w:val="restart"/>
                  <w:vAlign w:val="center"/>
                </w:tcPr>
                <w:p w14:paraId="530D42D8">
                  <w:pPr>
                    <w:pStyle w:val="53"/>
                    <w:bidi w:val="0"/>
                    <w:rPr>
                      <w:rFonts w:hint="eastAsia" w:ascii="宋体" w:hAnsi="宋体" w:eastAsia="宋体" w:cs="宋体"/>
                      <w:color w:val="auto"/>
                      <w:u w:val="none"/>
                    </w:rPr>
                  </w:pPr>
                  <w:r>
                    <w:rPr>
                      <w:rFonts w:hint="eastAsia" w:ascii="宋体" w:hAnsi="宋体" w:eastAsia="宋体" w:cs="宋体"/>
                      <w:color w:val="auto"/>
                      <w:u w:val="none"/>
                    </w:rPr>
                    <w:t>序号</w:t>
                  </w:r>
                </w:p>
              </w:tc>
              <w:tc>
                <w:tcPr>
                  <w:tcW w:w="1093" w:type="pct"/>
                  <w:vMerge w:val="restart"/>
                  <w:vAlign w:val="center"/>
                </w:tcPr>
                <w:p w14:paraId="4041FD9A">
                  <w:pPr>
                    <w:pStyle w:val="53"/>
                    <w:bidi w:val="0"/>
                    <w:rPr>
                      <w:rFonts w:hint="eastAsia" w:ascii="宋体" w:hAnsi="宋体" w:eastAsia="宋体" w:cs="宋体"/>
                      <w:color w:val="auto"/>
                      <w:u w:val="none"/>
                    </w:rPr>
                  </w:pPr>
                  <w:r>
                    <w:rPr>
                      <w:rFonts w:hint="eastAsia" w:ascii="宋体" w:hAnsi="宋体" w:eastAsia="宋体" w:cs="宋体"/>
                      <w:color w:val="auto"/>
                      <w:u w:val="none"/>
                    </w:rPr>
                    <w:t>声环境保护目标名称</w:t>
                  </w:r>
                </w:p>
              </w:tc>
              <w:tc>
                <w:tcPr>
                  <w:tcW w:w="1030" w:type="pct"/>
                  <w:vMerge w:val="restart"/>
                  <w:vAlign w:val="center"/>
                </w:tcPr>
                <w:p w14:paraId="48E8D54B">
                  <w:pPr>
                    <w:pStyle w:val="53"/>
                    <w:bidi w:val="0"/>
                    <w:rPr>
                      <w:rFonts w:hint="eastAsia" w:ascii="宋体" w:hAnsi="宋体" w:eastAsia="宋体" w:cs="宋体"/>
                      <w:color w:val="auto"/>
                      <w:u w:val="none"/>
                    </w:rPr>
                  </w:pPr>
                  <w:r>
                    <w:rPr>
                      <w:rFonts w:hint="eastAsia" w:ascii="宋体" w:hAnsi="宋体" w:eastAsia="宋体" w:cs="宋体"/>
                      <w:color w:val="auto"/>
                      <w:u w:val="none"/>
                    </w:rPr>
                    <w:t>距厂界最近距离/m</w:t>
                  </w:r>
                </w:p>
              </w:tc>
              <w:tc>
                <w:tcPr>
                  <w:tcW w:w="535" w:type="pct"/>
                  <w:vMerge w:val="restart"/>
                  <w:vAlign w:val="center"/>
                </w:tcPr>
                <w:p w14:paraId="231D5127">
                  <w:pPr>
                    <w:pStyle w:val="53"/>
                    <w:bidi w:val="0"/>
                    <w:rPr>
                      <w:rFonts w:hint="eastAsia" w:ascii="宋体" w:hAnsi="宋体" w:eastAsia="宋体" w:cs="宋体"/>
                      <w:color w:val="auto"/>
                      <w:u w:val="none"/>
                    </w:rPr>
                  </w:pPr>
                  <w:r>
                    <w:rPr>
                      <w:rFonts w:hint="eastAsia" w:ascii="宋体" w:hAnsi="宋体" w:eastAsia="宋体" w:cs="宋体"/>
                      <w:color w:val="auto"/>
                      <w:u w:val="none"/>
                    </w:rPr>
                    <w:t>方位</w:t>
                  </w:r>
                </w:p>
              </w:tc>
              <w:tc>
                <w:tcPr>
                  <w:tcW w:w="1057" w:type="pct"/>
                  <w:vMerge w:val="restart"/>
                  <w:vAlign w:val="center"/>
                </w:tcPr>
                <w:p w14:paraId="0E2CF101">
                  <w:pPr>
                    <w:pStyle w:val="53"/>
                    <w:bidi w:val="0"/>
                    <w:rPr>
                      <w:rFonts w:hint="eastAsia" w:ascii="宋体" w:hAnsi="宋体" w:eastAsia="宋体" w:cs="宋体"/>
                      <w:color w:val="auto"/>
                      <w:u w:val="none"/>
                    </w:rPr>
                  </w:pPr>
                  <w:r>
                    <w:rPr>
                      <w:rFonts w:hint="eastAsia" w:ascii="宋体" w:hAnsi="宋体" w:eastAsia="宋体" w:cs="宋体"/>
                      <w:color w:val="auto"/>
                      <w:u w:val="none"/>
                    </w:rPr>
                    <w:t>执行标准/功能区类别</w:t>
                  </w:r>
                </w:p>
              </w:tc>
              <w:tc>
                <w:tcPr>
                  <w:tcW w:w="948" w:type="pct"/>
                  <w:vMerge w:val="restart"/>
                  <w:vAlign w:val="center"/>
                </w:tcPr>
                <w:p w14:paraId="3689CC7E">
                  <w:pPr>
                    <w:pStyle w:val="53"/>
                    <w:bidi w:val="0"/>
                    <w:rPr>
                      <w:rFonts w:hint="eastAsia" w:ascii="宋体" w:hAnsi="宋体" w:eastAsia="宋体" w:cs="宋体"/>
                      <w:color w:val="auto"/>
                      <w:u w:val="none"/>
                    </w:rPr>
                  </w:pPr>
                  <w:r>
                    <w:rPr>
                      <w:rFonts w:hint="eastAsia" w:ascii="宋体" w:hAnsi="宋体" w:eastAsia="宋体" w:cs="宋体"/>
                      <w:color w:val="auto"/>
                      <w:u w:val="none"/>
                    </w:rPr>
                    <w:t>声环境保护目标情况说明</w:t>
                  </w:r>
                </w:p>
              </w:tc>
            </w:tr>
            <w:tr w14:paraId="7022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3" w:type="pct"/>
                  <w:vMerge w:val="continue"/>
                  <w:vAlign w:val="center"/>
                </w:tcPr>
                <w:p w14:paraId="2A330F0A">
                  <w:pPr>
                    <w:pStyle w:val="53"/>
                    <w:bidi w:val="0"/>
                    <w:rPr>
                      <w:rFonts w:hint="eastAsia" w:ascii="宋体" w:hAnsi="宋体" w:eastAsia="宋体" w:cs="宋体"/>
                      <w:color w:val="FF0000"/>
                      <w:u w:val="none"/>
                    </w:rPr>
                  </w:pPr>
                </w:p>
              </w:tc>
              <w:tc>
                <w:tcPr>
                  <w:tcW w:w="1093" w:type="pct"/>
                  <w:vMerge w:val="continue"/>
                  <w:vAlign w:val="center"/>
                </w:tcPr>
                <w:p w14:paraId="5F87C157">
                  <w:pPr>
                    <w:pStyle w:val="53"/>
                    <w:bidi w:val="0"/>
                    <w:rPr>
                      <w:rFonts w:hint="eastAsia" w:ascii="宋体" w:hAnsi="宋体" w:eastAsia="宋体" w:cs="宋体"/>
                      <w:color w:val="FF0000"/>
                      <w:u w:val="none"/>
                    </w:rPr>
                  </w:pPr>
                </w:p>
              </w:tc>
              <w:tc>
                <w:tcPr>
                  <w:tcW w:w="1030" w:type="pct"/>
                  <w:vMerge w:val="continue"/>
                  <w:vAlign w:val="center"/>
                </w:tcPr>
                <w:p w14:paraId="29533A83">
                  <w:pPr>
                    <w:pStyle w:val="53"/>
                    <w:bidi w:val="0"/>
                    <w:rPr>
                      <w:rFonts w:hint="eastAsia" w:ascii="宋体" w:hAnsi="宋体" w:eastAsia="宋体" w:cs="宋体"/>
                      <w:color w:val="FF0000"/>
                      <w:u w:val="none"/>
                    </w:rPr>
                  </w:pPr>
                </w:p>
              </w:tc>
              <w:tc>
                <w:tcPr>
                  <w:tcW w:w="535" w:type="pct"/>
                  <w:vMerge w:val="continue"/>
                  <w:vAlign w:val="center"/>
                </w:tcPr>
                <w:p w14:paraId="6494B931">
                  <w:pPr>
                    <w:pStyle w:val="53"/>
                    <w:bidi w:val="0"/>
                    <w:rPr>
                      <w:rFonts w:hint="eastAsia" w:ascii="宋体" w:hAnsi="宋体" w:eastAsia="宋体" w:cs="宋体"/>
                      <w:color w:val="FF0000"/>
                      <w:u w:val="none"/>
                    </w:rPr>
                  </w:pPr>
                </w:p>
              </w:tc>
              <w:tc>
                <w:tcPr>
                  <w:tcW w:w="1057" w:type="pct"/>
                  <w:vMerge w:val="continue"/>
                  <w:vAlign w:val="center"/>
                </w:tcPr>
                <w:p w14:paraId="1D028F15">
                  <w:pPr>
                    <w:pStyle w:val="53"/>
                    <w:bidi w:val="0"/>
                    <w:rPr>
                      <w:rFonts w:hint="eastAsia" w:ascii="宋体" w:hAnsi="宋体" w:eastAsia="宋体" w:cs="宋体"/>
                      <w:color w:val="FF0000"/>
                      <w:u w:val="none"/>
                    </w:rPr>
                  </w:pPr>
                </w:p>
              </w:tc>
              <w:tc>
                <w:tcPr>
                  <w:tcW w:w="948" w:type="pct"/>
                  <w:vMerge w:val="continue"/>
                  <w:vAlign w:val="center"/>
                </w:tcPr>
                <w:p w14:paraId="118C22E5">
                  <w:pPr>
                    <w:pStyle w:val="53"/>
                    <w:bidi w:val="0"/>
                    <w:rPr>
                      <w:rFonts w:hint="eastAsia" w:ascii="宋体" w:hAnsi="宋体" w:eastAsia="宋体" w:cs="宋体"/>
                      <w:color w:val="FF0000"/>
                      <w:u w:val="none"/>
                    </w:rPr>
                  </w:pPr>
                </w:p>
              </w:tc>
            </w:tr>
            <w:tr w14:paraId="5592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3" w:type="pct"/>
                  <w:vAlign w:val="center"/>
                </w:tcPr>
                <w:p w14:paraId="72FCD6B7">
                  <w:pPr>
                    <w:pStyle w:val="53"/>
                    <w:bidi w:val="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1</w:t>
                  </w:r>
                </w:p>
              </w:tc>
              <w:tc>
                <w:tcPr>
                  <w:tcW w:w="1093" w:type="pct"/>
                  <w:vAlign w:val="center"/>
                </w:tcPr>
                <w:p w14:paraId="2A88CB60">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北侧居民点</w:t>
                  </w:r>
                </w:p>
              </w:tc>
              <w:tc>
                <w:tcPr>
                  <w:tcW w:w="1030" w:type="pct"/>
                  <w:vAlign w:val="center"/>
                </w:tcPr>
                <w:p w14:paraId="69F0A550">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5-30</w:t>
                  </w:r>
                </w:p>
              </w:tc>
              <w:tc>
                <w:tcPr>
                  <w:tcW w:w="535" w:type="pct"/>
                  <w:vAlign w:val="center"/>
                </w:tcPr>
                <w:p w14:paraId="67488C9E">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北</w:t>
                  </w:r>
                </w:p>
              </w:tc>
              <w:tc>
                <w:tcPr>
                  <w:tcW w:w="1057" w:type="pct"/>
                  <w:vAlign w:val="center"/>
                </w:tcPr>
                <w:p w14:paraId="5CE1BC11">
                  <w:pPr>
                    <w:pStyle w:val="53"/>
                    <w:bidi w:val="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2类</w:t>
                  </w:r>
                </w:p>
              </w:tc>
              <w:tc>
                <w:tcPr>
                  <w:tcW w:w="948" w:type="pct"/>
                  <w:vAlign w:val="center"/>
                </w:tcPr>
                <w:p w14:paraId="4AE5841C">
                  <w:pPr>
                    <w:pStyle w:val="53"/>
                    <w:bidi w:val="0"/>
                    <w:rPr>
                      <w:rFonts w:hint="default" w:ascii="宋体" w:hAnsi="宋体" w:eastAsia="宋体" w:cs="宋体"/>
                      <w:color w:val="auto"/>
                      <w:u w:val="none"/>
                      <w:lang w:val="en-US" w:eastAsia="zh-CN"/>
                    </w:rPr>
                  </w:pPr>
                  <w:r>
                    <w:rPr>
                      <w:rFonts w:hint="eastAsia"/>
                      <w:color w:val="auto"/>
                      <w:lang w:val="en-US" w:eastAsia="zh-CN"/>
                    </w:rPr>
                    <w:t>8户</w:t>
                  </w:r>
                </w:p>
              </w:tc>
            </w:tr>
            <w:tr w14:paraId="0EDA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3" w:type="pct"/>
                  <w:vAlign w:val="center"/>
                </w:tcPr>
                <w:p w14:paraId="7F57797A">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2</w:t>
                  </w:r>
                </w:p>
              </w:tc>
              <w:tc>
                <w:tcPr>
                  <w:tcW w:w="1093" w:type="pct"/>
                  <w:vAlign w:val="center"/>
                </w:tcPr>
                <w:p w14:paraId="157B3DE1">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西侧居名点</w:t>
                  </w:r>
                </w:p>
              </w:tc>
              <w:tc>
                <w:tcPr>
                  <w:tcW w:w="1030" w:type="pct"/>
                  <w:vAlign w:val="center"/>
                </w:tcPr>
                <w:p w14:paraId="0AE845F9">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1-50</w:t>
                  </w:r>
                </w:p>
              </w:tc>
              <w:tc>
                <w:tcPr>
                  <w:tcW w:w="535" w:type="pct"/>
                  <w:vAlign w:val="center"/>
                </w:tcPr>
                <w:p w14:paraId="51D8EA79">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西</w:t>
                  </w:r>
                </w:p>
              </w:tc>
              <w:tc>
                <w:tcPr>
                  <w:tcW w:w="1057" w:type="pct"/>
                  <w:vAlign w:val="center"/>
                </w:tcPr>
                <w:p w14:paraId="73388BA0">
                  <w:pPr>
                    <w:pStyle w:val="53"/>
                    <w:bidi w:val="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2类</w:t>
                  </w:r>
                </w:p>
              </w:tc>
              <w:tc>
                <w:tcPr>
                  <w:tcW w:w="948" w:type="pct"/>
                  <w:vAlign w:val="center"/>
                </w:tcPr>
                <w:p w14:paraId="25A1469C">
                  <w:pPr>
                    <w:pStyle w:val="53"/>
                    <w:bidi w:val="0"/>
                    <w:rPr>
                      <w:rFonts w:hint="default"/>
                      <w:color w:val="auto"/>
                      <w:lang w:val="en-US" w:eastAsia="zh-CN"/>
                    </w:rPr>
                  </w:pPr>
                  <w:r>
                    <w:rPr>
                      <w:rFonts w:hint="eastAsia"/>
                      <w:color w:val="auto"/>
                      <w:lang w:val="en-US" w:eastAsia="zh-CN"/>
                    </w:rPr>
                    <w:t>3户</w:t>
                  </w:r>
                </w:p>
              </w:tc>
            </w:tr>
            <w:tr w14:paraId="4365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3" w:type="pct"/>
                  <w:vAlign w:val="center"/>
                </w:tcPr>
                <w:p w14:paraId="59B3D3E6">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3</w:t>
                  </w:r>
                </w:p>
              </w:tc>
              <w:tc>
                <w:tcPr>
                  <w:tcW w:w="1093" w:type="pct"/>
                  <w:vAlign w:val="center"/>
                </w:tcPr>
                <w:p w14:paraId="3AB18A2B">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城头山小学</w:t>
                  </w:r>
                </w:p>
              </w:tc>
              <w:tc>
                <w:tcPr>
                  <w:tcW w:w="1030" w:type="pct"/>
                  <w:vAlign w:val="center"/>
                </w:tcPr>
                <w:p w14:paraId="7D5DD017">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40</w:t>
                  </w:r>
                </w:p>
              </w:tc>
              <w:tc>
                <w:tcPr>
                  <w:tcW w:w="535" w:type="pct"/>
                  <w:vAlign w:val="center"/>
                </w:tcPr>
                <w:p w14:paraId="6B1C9C97">
                  <w:pPr>
                    <w:pStyle w:val="53"/>
                    <w:bidi w:val="0"/>
                    <w:rPr>
                      <w:rFonts w:hint="eastAsia" w:ascii="宋体" w:hAnsi="宋体" w:eastAsia="宋体" w:cs="宋体"/>
                      <w:color w:val="auto"/>
                      <w:u w:val="none"/>
                      <w:lang w:val="en-US" w:eastAsia="zh-CN"/>
                    </w:rPr>
                  </w:pPr>
                  <w:r>
                    <w:rPr>
                      <w:rFonts w:hint="eastAsia" w:hAnsi="宋体" w:cs="宋体"/>
                      <w:color w:val="auto"/>
                      <w:u w:val="none"/>
                      <w:lang w:val="en-US" w:eastAsia="zh-CN"/>
                    </w:rPr>
                    <w:t>西</w:t>
                  </w:r>
                </w:p>
              </w:tc>
              <w:tc>
                <w:tcPr>
                  <w:tcW w:w="1057" w:type="pct"/>
                  <w:vAlign w:val="center"/>
                </w:tcPr>
                <w:p w14:paraId="1505C7ED">
                  <w:pPr>
                    <w:pStyle w:val="53"/>
                    <w:bidi w:val="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2类</w:t>
                  </w:r>
                </w:p>
              </w:tc>
              <w:tc>
                <w:tcPr>
                  <w:tcW w:w="948" w:type="pct"/>
                  <w:vAlign w:val="center"/>
                </w:tcPr>
                <w:p w14:paraId="231E7A13">
                  <w:pPr>
                    <w:pStyle w:val="53"/>
                    <w:bidi w:val="0"/>
                    <w:rPr>
                      <w:rFonts w:hint="default"/>
                      <w:color w:val="auto"/>
                      <w:lang w:val="en-US" w:eastAsia="zh-CN"/>
                    </w:rPr>
                  </w:pPr>
                  <w:r>
                    <w:rPr>
                      <w:rFonts w:hint="eastAsia"/>
                      <w:color w:val="auto"/>
                      <w:lang w:val="en-US" w:eastAsia="zh-CN"/>
                    </w:rPr>
                    <w:t>学校</w:t>
                  </w:r>
                </w:p>
              </w:tc>
            </w:tr>
            <w:tr w14:paraId="099E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3" w:type="pct"/>
                  <w:vAlign w:val="center"/>
                </w:tcPr>
                <w:p w14:paraId="0E80125F">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4</w:t>
                  </w:r>
                </w:p>
              </w:tc>
              <w:tc>
                <w:tcPr>
                  <w:tcW w:w="1093" w:type="pct"/>
                  <w:vAlign w:val="center"/>
                </w:tcPr>
                <w:p w14:paraId="552C76A0">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南侧居民点</w:t>
                  </w:r>
                </w:p>
              </w:tc>
              <w:tc>
                <w:tcPr>
                  <w:tcW w:w="1030" w:type="pct"/>
                  <w:vAlign w:val="center"/>
                </w:tcPr>
                <w:p w14:paraId="5A6930F9">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8-50</w:t>
                  </w:r>
                </w:p>
              </w:tc>
              <w:tc>
                <w:tcPr>
                  <w:tcW w:w="535" w:type="pct"/>
                  <w:vAlign w:val="center"/>
                </w:tcPr>
                <w:p w14:paraId="5DF046A3">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南</w:t>
                  </w:r>
                </w:p>
              </w:tc>
              <w:tc>
                <w:tcPr>
                  <w:tcW w:w="1057" w:type="pct"/>
                  <w:vAlign w:val="center"/>
                </w:tcPr>
                <w:p w14:paraId="61FD60FC">
                  <w:pPr>
                    <w:pStyle w:val="53"/>
                    <w:bidi w:val="0"/>
                    <w:rPr>
                      <w:rFonts w:hint="default" w:ascii="宋体" w:hAnsi="宋体" w:eastAsia="宋体" w:cs="宋体"/>
                      <w:color w:val="auto"/>
                      <w:u w:val="none"/>
                      <w:lang w:val="en-US" w:eastAsia="zh-CN"/>
                    </w:rPr>
                  </w:pPr>
                  <w:r>
                    <w:rPr>
                      <w:rFonts w:hint="eastAsia" w:hAnsi="宋体" w:cs="宋体"/>
                      <w:color w:val="auto"/>
                      <w:u w:val="none"/>
                      <w:lang w:val="en-US" w:eastAsia="zh-CN"/>
                    </w:rPr>
                    <w:t>2类</w:t>
                  </w:r>
                </w:p>
              </w:tc>
              <w:tc>
                <w:tcPr>
                  <w:tcW w:w="948" w:type="pct"/>
                  <w:vAlign w:val="center"/>
                </w:tcPr>
                <w:p w14:paraId="3BD44008">
                  <w:pPr>
                    <w:pStyle w:val="53"/>
                    <w:bidi w:val="0"/>
                    <w:rPr>
                      <w:rFonts w:hint="default"/>
                      <w:color w:val="auto"/>
                      <w:lang w:val="en-US" w:eastAsia="zh-CN"/>
                    </w:rPr>
                  </w:pPr>
                  <w:r>
                    <w:rPr>
                      <w:rFonts w:hint="eastAsia"/>
                      <w:color w:val="auto"/>
                      <w:lang w:val="en-US" w:eastAsia="zh-CN"/>
                    </w:rPr>
                    <w:t>2户</w:t>
                  </w:r>
                </w:p>
              </w:tc>
            </w:tr>
          </w:tbl>
          <w:p w14:paraId="582C8C64">
            <w:pPr>
              <w:pStyle w:val="83"/>
              <w:ind w:left="587"/>
              <w:rPr>
                <w:rFonts w:hint="eastAsia" w:ascii="宋体" w:hAnsi="宋体" w:eastAsia="宋体" w:cs="宋体"/>
                <w:b/>
                <w:color w:val="auto"/>
                <w:sz w:val="24"/>
              </w:rPr>
            </w:pPr>
            <w:r>
              <w:rPr>
                <w:rFonts w:hint="eastAsia" w:ascii="宋体" w:hAnsi="宋体" w:eastAsia="宋体" w:cs="宋体"/>
                <w:b/>
                <w:color w:val="auto"/>
                <w:sz w:val="24"/>
              </w:rPr>
              <w:t>3、地表水环境</w:t>
            </w:r>
          </w:p>
          <w:p w14:paraId="38407D2F">
            <w:pPr>
              <w:pStyle w:val="83"/>
              <w:spacing w:before="161" w:line="364" w:lineRule="auto"/>
              <w:ind w:left="107" w:right="30" w:firstLine="480"/>
              <w:jc w:val="both"/>
              <w:rPr>
                <w:rFonts w:hint="default" w:ascii="Times New Roman" w:hAnsi="Times New Roman" w:eastAsia="Times New Roman" w:cs="Times New Roman"/>
                <w:b/>
                <w:color w:val="auto"/>
                <w:sz w:val="24"/>
              </w:rPr>
            </w:pPr>
            <w:r>
              <w:rPr>
                <w:rFonts w:hint="eastAsia" w:ascii="宋体" w:hAnsi="宋体" w:eastAsia="宋体" w:cs="宋体"/>
                <w:color w:val="auto"/>
                <w:spacing w:val="-4"/>
                <w:sz w:val="24"/>
              </w:rPr>
              <w:t>本项目厂区周边无与本项目有关的饮用水水源保护区、饮用水取水口，涉水</w:t>
            </w:r>
            <w:r>
              <w:rPr>
                <w:rFonts w:hint="eastAsia" w:ascii="宋体" w:hAnsi="宋体" w:eastAsia="宋体" w:cs="宋体"/>
                <w:color w:val="auto"/>
                <w:spacing w:val="-9"/>
                <w:sz w:val="24"/>
              </w:rPr>
              <w:t>的自然保护区、风景名胜区，重要湿地、重点保护与珍稀水生生物的栖息地、重</w:t>
            </w:r>
            <w:r>
              <w:rPr>
                <w:rFonts w:hint="eastAsia" w:ascii="宋体" w:hAnsi="宋体" w:eastAsia="宋体" w:cs="宋体"/>
                <w:color w:val="auto"/>
                <w:spacing w:val="-10"/>
                <w:sz w:val="24"/>
              </w:rPr>
              <w:t>要水生生物的自然产卵场及索饵场、越冬场和洄游通道，天然渔场等渔业水体，</w:t>
            </w:r>
            <w:r>
              <w:rPr>
                <w:rFonts w:hint="eastAsia" w:ascii="宋体" w:hAnsi="宋体" w:eastAsia="宋体" w:cs="宋体"/>
                <w:color w:val="auto"/>
                <w:sz w:val="24"/>
              </w:rPr>
              <w:t>以及水产种质资源保护区等环境保护目标。</w:t>
            </w:r>
          </w:p>
          <w:p w14:paraId="08873CB1">
            <w:pPr>
              <w:pStyle w:val="83"/>
              <w:spacing w:before="2"/>
              <w:ind w:left="587"/>
              <w:rPr>
                <w:rFonts w:hint="eastAsia" w:ascii="宋体" w:hAnsi="宋体" w:eastAsia="宋体" w:cs="宋体"/>
                <w:b/>
                <w:color w:val="auto"/>
                <w:sz w:val="24"/>
              </w:rPr>
            </w:pPr>
            <w:r>
              <w:rPr>
                <w:rFonts w:hint="eastAsia" w:ascii="宋体" w:hAnsi="宋体" w:eastAsia="宋体" w:cs="宋体"/>
                <w:b/>
                <w:color w:val="auto"/>
                <w:sz w:val="24"/>
              </w:rPr>
              <w:t>4、地下水环境</w:t>
            </w:r>
          </w:p>
          <w:p w14:paraId="5A60B69A">
            <w:pPr>
              <w:pStyle w:val="83"/>
              <w:spacing w:before="160" w:line="364" w:lineRule="auto"/>
              <w:ind w:left="107" w:right="97" w:firstLine="480"/>
              <w:rPr>
                <w:rFonts w:hint="eastAsia" w:ascii="宋体" w:hAnsi="宋体" w:eastAsia="宋体" w:cs="宋体"/>
                <w:color w:val="auto"/>
                <w:sz w:val="24"/>
              </w:rPr>
            </w:pPr>
            <w:r>
              <w:rPr>
                <w:rFonts w:hint="eastAsia" w:ascii="宋体" w:hAnsi="宋体" w:eastAsia="宋体" w:cs="宋体"/>
                <w:color w:val="auto"/>
                <w:spacing w:val="-15"/>
                <w:sz w:val="24"/>
              </w:rPr>
              <w:t>本项目</w:t>
            </w:r>
            <w:r>
              <w:rPr>
                <w:rFonts w:hint="eastAsia" w:ascii="宋体" w:hAnsi="宋体" w:eastAsia="宋体" w:cs="宋体"/>
                <w:color w:val="auto"/>
                <w:sz w:val="24"/>
              </w:rPr>
              <w:t>500</w:t>
            </w:r>
            <w:r>
              <w:rPr>
                <w:rFonts w:hint="eastAsia" w:ascii="宋体" w:hAnsi="宋体" w:eastAsia="宋体" w:cs="宋体"/>
                <w:color w:val="auto"/>
                <w:spacing w:val="-5"/>
                <w:sz w:val="24"/>
              </w:rPr>
              <w:t>米范围内不涉及地下水集中式饮用水水源和热水、矿泉水、温泉</w:t>
            </w:r>
            <w:r>
              <w:rPr>
                <w:rFonts w:hint="eastAsia" w:ascii="宋体" w:hAnsi="宋体" w:eastAsia="宋体" w:cs="宋体"/>
                <w:color w:val="auto"/>
                <w:sz w:val="24"/>
              </w:rPr>
              <w:t>等特殊地下水资源。</w:t>
            </w:r>
          </w:p>
          <w:p w14:paraId="4711145C">
            <w:pPr>
              <w:pStyle w:val="83"/>
              <w:spacing w:before="2" w:line="360" w:lineRule="auto"/>
              <w:ind w:left="587"/>
              <w:rPr>
                <w:rFonts w:hint="eastAsia" w:ascii="宋体" w:hAnsi="宋体" w:eastAsia="宋体" w:cs="宋体"/>
                <w:b/>
                <w:color w:val="auto"/>
                <w:sz w:val="24"/>
              </w:rPr>
            </w:pPr>
            <w:r>
              <w:rPr>
                <w:rFonts w:hint="eastAsia" w:ascii="宋体" w:hAnsi="宋体" w:eastAsia="宋体" w:cs="宋体"/>
                <w:b/>
                <w:color w:val="auto"/>
                <w:sz w:val="24"/>
              </w:rPr>
              <w:t>5、生态环境</w:t>
            </w:r>
          </w:p>
          <w:p w14:paraId="1E8A4E88">
            <w:pPr>
              <w:pStyle w:val="41"/>
              <w:spacing w:line="360" w:lineRule="auto"/>
              <w:ind w:firstLine="452" w:firstLineChars="200"/>
              <w:rPr>
                <w:rFonts w:hint="default" w:ascii="Times New Roman" w:hAnsi="Times New Roman" w:cs="Times New Roman"/>
                <w:color w:val="FF0000"/>
              </w:rPr>
            </w:pPr>
            <w:r>
              <w:rPr>
                <w:rFonts w:hint="eastAsia" w:ascii="宋体" w:hAnsi="宋体" w:eastAsia="宋体" w:cs="宋体"/>
                <w:color w:val="auto"/>
                <w:spacing w:val="-7"/>
                <w:sz w:val="24"/>
              </w:rPr>
              <w:t>项</w:t>
            </w:r>
            <w:r>
              <w:rPr>
                <w:rFonts w:hint="eastAsia" w:ascii="宋体" w:hAnsi="宋体" w:eastAsia="宋体" w:cs="宋体"/>
                <w:color w:val="auto"/>
                <w:sz w:val="24"/>
              </w:rPr>
              <w:t>目不涉及生态环境保护目标。</w:t>
            </w:r>
          </w:p>
        </w:tc>
      </w:tr>
      <w:tr w14:paraId="61C28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2" w:hRule="atLeast"/>
          <w:jc w:val="center"/>
        </w:trPr>
        <w:tc>
          <w:tcPr>
            <w:tcW w:w="430" w:type="dxa"/>
            <w:tcMar>
              <w:left w:w="28" w:type="dxa"/>
              <w:right w:w="28" w:type="dxa"/>
            </w:tcMar>
            <w:vAlign w:val="center"/>
          </w:tcPr>
          <w:p w14:paraId="5EE49543">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w:t>
            </w:r>
          </w:p>
          <w:p w14:paraId="5B01E886">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物排</w:t>
            </w:r>
          </w:p>
          <w:p w14:paraId="33D94FBA">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放控</w:t>
            </w:r>
          </w:p>
          <w:p w14:paraId="423CF027">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制标</w:t>
            </w:r>
          </w:p>
          <w:p w14:paraId="761170DD">
            <w:pPr>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szCs w:val="21"/>
              </w:rPr>
              <w:t>准</w:t>
            </w:r>
          </w:p>
        </w:tc>
        <w:tc>
          <w:tcPr>
            <w:tcW w:w="8527" w:type="dxa"/>
            <w:vAlign w:val="center"/>
          </w:tcPr>
          <w:p w14:paraId="68E245EC">
            <w:pPr>
              <w:numPr>
                <w:ilvl w:val="0"/>
                <w:numId w:val="5"/>
              </w:numPr>
              <w:spacing w:before="120" w:beforeLines="50" w:line="360" w:lineRule="auto"/>
              <w:ind w:left="420" w:leftChars="0"/>
              <w:rPr>
                <w:rFonts w:hint="eastAsia" w:ascii="宋体" w:hAnsi="宋体" w:eastAsia="宋体" w:cs="宋体"/>
                <w:b/>
                <w:color w:val="auto"/>
                <w:sz w:val="24"/>
                <w:u w:val="none"/>
              </w:rPr>
            </w:pPr>
            <w:r>
              <w:rPr>
                <w:rFonts w:hint="eastAsia" w:ascii="宋体" w:hAnsi="宋体" w:eastAsia="宋体" w:cs="宋体"/>
                <w:b/>
                <w:color w:val="auto"/>
                <w:sz w:val="24"/>
                <w:u w:val="none"/>
              </w:rPr>
              <w:t>废水排放标准</w:t>
            </w:r>
          </w:p>
          <w:p w14:paraId="60B748D0">
            <w:pPr>
              <w:pStyle w:val="11"/>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项目无生产废水产生，</w:t>
            </w:r>
            <w:r>
              <w:rPr>
                <w:rFonts w:hint="eastAsia" w:ascii="宋体" w:hAnsi="宋体" w:eastAsia="宋体" w:cs="宋体"/>
                <w:color w:val="auto"/>
                <w:lang w:val="en-US" w:eastAsia="zh-CN"/>
              </w:rPr>
              <w:t>生活废水经化粪池处理后用作周边农肥，不外排。</w:t>
            </w:r>
          </w:p>
          <w:p w14:paraId="79DECEEE">
            <w:pPr>
              <w:numPr>
                <w:ilvl w:val="0"/>
                <w:numId w:val="0"/>
              </w:numPr>
              <w:spacing w:before="120" w:beforeLines="50" w:line="360" w:lineRule="auto"/>
              <w:ind w:left="420" w:leftChars="0"/>
              <w:rPr>
                <w:rFonts w:hint="eastAsia" w:ascii="宋体" w:hAnsi="宋体" w:eastAsia="宋体" w:cs="宋体"/>
                <w:b/>
                <w:color w:val="auto"/>
                <w:sz w:val="24"/>
                <w:u w:val="none"/>
              </w:rPr>
            </w:pPr>
            <w:r>
              <w:rPr>
                <w:rFonts w:hint="eastAsia" w:ascii="宋体" w:hAnsi="宋体" w:eastAsia="宋体" w:cs="宋体"/>
                <w:b/>
                <w:color w:val="auto"/>
                <w:sz w:val="24"/>
                <w:u w:val="none"/>
              </w:rPr>
              <w:t>2、</w:t>
            </w:r>
            <w:r>
              <w:rPr>
                <w:rFonts w:hint="eastAsia" w:ascii="宋体" w:hAnsi="宋体" w:eastAsia="宋体" w:cs="宋体"/>
                <w:b/>
                <w:color w:val="auto"/>
                <w:sz w:val="24"/>
                <w:u w:val="none"/>
                <w:lang w:val="en-US" w:eastAsia="zh-CN"/>
              </w:rPr>
              <w:t>大气</w:t>
            </w:r>
            <w:r>
              <w:rPr>
                <w:rFonts w:hint="eastAsia" w:ascii="宋体" w:hAnsi="宋体" w:eastAsia="宋体" w:cs="宋体"/>
                <w:b/>
                <w:color w:val="auto"/>
                <w:sz w:val="24"/>
                <w:u w:val="none"/>
              </w:rPr>
              <w:t>排放标准</w:t>
            </w:r>
          </w:p>
          <w:p w14:paraId="6146EFA1">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本项目有组织废气DA001，根据湖南省地方标准《生物质成型燃料热风炉》DB43/T 1148-2015，本项目有组织废气执行《锅炉大气污染物排放标准》（GB13271-2014）表3</w:t>
            </w:r>
            <w:r>
              <w:rPr>
                <w:rFonts w:hint="eastAsia" w:ascii="宋体" w:hAnsi="宋体" w:cs="宋体"/>
                <w:color w:val="auto"/>
                <w:sz w:val="24"/>
                <w:szCs w:val="24"/>
                <w:u w:val="single"/>
                <w:lang w:val="en-US" w:eastAsia="zh-CN"/>
              </w:rPr>
              <w:t>燃气</w:t>
            </w:r>
            <w:r>
              <w:rPr>
                <w:rFonts w:hint="eastAsia" w:ascii="宋体" w:hAnsi="宋体" w:eastAsia="宋体" w:cs="宋体"/>
                <w:color w:val="auto"/>
                <w:sz w:val="24"/>
                <w:szCs w:val="24"/>
                <w:u w:val="single"/>
                <w:lang w:val="en-US" w:eastAsia="zh-CN"/>
              </w:rPr>
              <w:t>锅炉特别排放限值</w:t>
            </w:r>
            <w:r>
              <w:rPr>
                <w:rFonts w:hint="eastAsia" w:ascii="宋体" w:hAnsi="宋体" w:cs="宋体"/>
                <w:color w:val="auto"/>
                <w:sz w:val="24"/>
                <w:szCs w:val="24"/>
                <w:u w:val="single"/>
                <w:lang w:val="en-US" w:eastAsia="zh-CN"/>
              </w:rPr>
              <w:t>。</w:t>
            </w:r>
          </w:p>
          <w:p w14:paraId="2CB13529">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厂界无组织颗粒物浓度执行《大气污染物综合排放标准》（GB16297-1996）无组织排放限值。</w:t>
            </w:r>
          </w:p>
          <w:p w14:paraId="2A425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21"/>
                <w:szCs w:val="21"/>
              </w:rPr>
            </w:pPr>
            <w:r>
              <w:rPr>
                <w:rFonts w:hint="eastAsia" w:ascii="宋体" w:hAnsi="宋体" w:eastAsia="宋体" w:cs="宋体"/>
                <w:b/>
                <w:color w:val="auto"/>
                <w:sz w:val="21"/>
                <w:szCs w:val="21"/>
              </w:rPr>
              <w:t>表3-</w:t>
            </w:r>
            <w:r>
              <w:rPr>
                <w:rFonts w:hint="eastAsia" w:ascii="宋体" w:hAnsi="宋体" w:cs="宋体"/>
                <w:b/>
                <w:color w:val="auto"/>
                <w:sz w:val="21"/>
                <w:szCs w:val="21"/>
                <w:lang w:val="en-US" w:eastAsia="zh-CN"/>
              </w:rPr>
              <w:t>6</w:t>
            </w:r>
            <w:r>
              <w:rPr>
                <w:rFonts w:hint="eastAsia" w:ascii="宋体" w:hAnsi="宋体" w:eastAsia="宋体" w:cs="宋体"/>
                <w:b/>
                <w:color w:val="auto"/>
                <w:sz w:val="21"/>
                <w:szCs w:val="21"/>
              </w:rPr>
              <w:tab/>
            </w:r>
            <w:r>
              <w:rPr>
                <w:rFonts w:hint="eastAsia" w:ascii="宋体" w:hAnsi="宋体" w:eastAsia="宋体" w:cs="宋体"/>
                <w:b/>
                <w:color w:val="auto"/>
                <w:sz w:val="21"/>
                <w:szCs w:val="21"/>
              </w:rPr>
              <w:t>项目</w:t>
            </w:r>
            <w:r>
              <w:rPr>
                <w:rFonts w:hint="eastAsia" w:ascii="宋体" w:hAnsi="宋体" w:eastAsia="宋体" w:cs="宋体"/>
                <w:b/>
                <w:color w:val="auto"/>
                <w:sz w:val="21"/>
                <w:szCs w:val="21"/>
                <w:lang w:val="en-US" w:eastAsia="zh-CN"/>
              </w:rPr>
              <w:t>有组织废气</w:t>
            </w:r>
            <w:r>
              <w:rPr>
                <w:rFonts w:hint="eastAsia" w:ascii="宋体" w:hAnsi="宋体" w:eastAsia="宋体" w:cs="宋体"/>
                <w:b/>
                <w:color w:val="auto"/>
                <w:sz w:val="21"/>
                <w:szCs w:val="21"/>
              </w:rPr>
              <w:t>排放执行标准</w:t>
            </w:r>
          </w:p>
          <w:tbl>
            <w:tblPr>
              <w:tblStyle w:val="2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1830"/>
              <w:gridCol w:w="1736"/>
              <w:gridCol w:w="1592"/>
              <w:gridCol w:w="1740"/>
            </w:tblGrid>
            <w:tr w14:paraId="05527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02" w:type="dxa"/>
                  <w:vAlign w:val="center"/>
                </w:tcPr>
                <w:p w14:paraId="1BA5E789">
                  <w:pPr>
                    <w:pStyle w:val="83"/>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1"/>
                      <w:u w:val="none"/>
                      <w:lang w:val="en-US" w:eastAsia="zh-CN"/>
                    </w:rPr>
                  </w:pPr>
                  <w:r>
                    <w:rPr>
                      <w:rFonts w:hint="eastAsia" w:ascii="宋体" w:hAnsi="宋体" w:eastAsia="宋体" w:cs="宋体"/>
                      <w:color w:val="auto"/>
                      <w:sz w:val="21"/>
                      <w:u w:val="none"/>
                      <w:lang w:val="en-US" w:eastAsia="zh-CN"/>
                    </w:rPr>
                    <w:t>点位</w:t>
                  </w:r>
                </w:p>
              </w:tc>
              <w:tc>
                <w:tcPr>
                  <w:tcW w:w="1830" w:type="dxa"/>
                  <w:vAlign w:val="center"/>
                </w:tcPr>
                <w:p w14:paraId="37C60F01">
                  <w:pPr>
                    <w:pStyle w:val="83"/>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1"/>
                      <w:u w:val="none"/>
                    </w:rPr>
                  </w:pPr>
                  <w:r>
                    <w:rPr>
                      <w:rFonts w:hint="eastAsia" w:ascii="宋体" w:hAnsi="宋体" w:eastAsia="宋体" w:cs="宋体"/>
                      <w:color w:val="auto"/>
                      <w:sz w:val="21"/>
                      <w:u w:val="none"/>
                    </w:rPr>
                    <w:t>污染物</w:t>
                  </w:r>
                </w:p>
              </w:tc>
              <w:tc>
                <w:tcPr>
                  <w:tcW w:w="1736" w:type="dxa"/>
                  <w:vAlign w:val="center"/>
                </w:tcPr>
                <w:p w14:paraId="7B1AC592">
                  <w:pPr>
                    <w:pStyle w:val="83"/>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13"/>
                      <w:u w:val="none"/>
                    </w:rPr>
                  </w:pPr>
                  <w:r>
                    <w:rPr>
                      <w:rFonts w:hint="eastAsia" w:ascii="宋体" w:hAnsi="宋体" w:eastAsia="宋体" w:cs="宋体"/>
                      <w:color w:val="auto"/>
                      <w:sz w:val="21"/>
                      <w:u w:val="none"/>
                    </w:rPr>
                    <w:t>限值mg/m</w:t>
                  </w:r>
                  <w:r>
                    <w:rPr>
                      <w:rFonts w:hint="eastAsia" w:ascii="宋体" w:hAnsi="宋体" w:eastAsia="宋体" w:cs="宋体"/>
                      <w:color w:val="auto"/>
                      <w:position w:val="7"/>
                      <w:sz w:val="13"/>
                      <w:u w:val="none"/>
                    </w:rPr>
                    <w:t>3</w:t>
                  </w:r>
                </w:p>
              </w:tc>
              <w:tc>
                <w:tcPr>
                  <w:tcW w:w="1592" w:type="dxa"/>
                  <w:vAlign w:val="center"/>
                </w:tcPr>
                <w:p w14:paraId="6E695925">
                  <w:pPr>
                    <w:pStyle w:val="83"/>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1"/>
                    </w:rPr>
                  </w:pPr>
                  <w:r>
                    <w:rPr>
                      <w:rFonts w:hint="eastAsia" w:ascii="宋体" w:hAnsi="宋体" w:eastAsia="宋体" w:cs="宋体"/>
                      <w:color w:val="auto"/>
                      <w:sz w:val="21"/>
                    </w:rPr>
                    <w:t>污染物排放监控位置</w:t>
                  </w:r>
                </w:p>
              </w:tc>
              <w:tc>
                <w:tcPr>
                  <w:tcW w:w="1740" w:type="dxa"/>
                  <w:vAlign w:val="center"/>
                </w:tcPr>
                <w:p w14:paraId="4911A5E1">
                  <w:pPr>
                    <w:pStyle w:val="8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auto"/>
                      <w:sz w:val="21"/>
                    </w:rPr>
                  </w:pPr>
                  <w:r>
                    <w:rPr>
                      <w:rFonts w:hint="eastAsia" w:ascii="宋体" w:hAnsi="宋体" w:eastAsia="宋体" w:cs="宋体"/>
                      <w:color w:val="auto"/>
                      <w:sz w:val="21"/>
                      <w:u w:val="none"/>
                    </w:rPr>
                    <w:t>执行标准</w:t>
                  </w:r>
                </w:p>
              </w:tc>
            </w:tr>
            <w:tr w14:paraId="3C5B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02" w:type="dxa"/>
                  <w:vMerge w:val="restart"/>
                  <w:vAlign w:val="center"/>
                </w:tcPr>
                <w:p w14:paraId="5EEAF3A2">
                  <w:pPr>
                    <w:pStyle w:val="8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auto"/>
                      <w:sz w:val="21"/>
                      <w:u w:val="none"/>
                      <w:lang w:val="en-US" w:eastAsia="zh-CN"/>
                    </w:rPr>
                  </w:pPr>
                  <w:r>
                    <w:rPr>
                      <w:rFonts w:hint="eastAsia" w:ascii="宋体" w:hAnsi="宋体" w:eastAsia="宋体" w:cs="宋体"/>
                      <w:color w:val="auto"/>
                      <w:kern w:val="2"/>
                      <w:sz w:val="21"/>
                      <w:szCs w:val="24"/>
                      <w:u w:val="none"/>
                      <w:lang w:val="en-US" w:eastAsia="zh-CN" w:bidi="ar-SA"/>
                    </w:rPr>
                    <w:t>生物质热风炉排气筒（DA001）</w:t>
                  </w:r>
                </w:p>
              </w:tc>
              <w:tc>
                <w:tcPr>
                  <w:tcW w:w="1830" w:type="dxa"/>
                  <w:vAlign w:val="center"/>
                </w:tcPr>
                <w:p w14:paraId="5F25A528">
                  <w:pPr>
                    <w:pStyle w:val="8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auto"/>
                      <w:kern w:val="2"/>
                      <w:sz w:val="21"/>
                      <w:szCs w:val="24"/>
                      <w:u w:val="none"/>
                      <w:lang w:val="en-US" w:eastAsia="zh-CN" w:bidi="ar-SA"/>
                    </w:rPr>
                  </w:pPr>
                  <w:r>
                    <w:rPr>
                      <w:rFonts w:hint="eastAsia" w:ascii="宋体" w:hAnsi="宋体" w:eastAsia="宋体" w:cs="宋体"/>
                      <w:color w:val="auto"/>
                      <w:sz w:val="21"/>
                      <w:u w:val="none"/>
                    </w:rPr>
                    <w:t>颗粒物</w:t>
                  </w:r>
                </w:p>
              </w:tc>
              <w:tc>
                <w:tcPr>
                  <w:tcW w:w="1736" w:type="dxa"/>
                  <w:vAlign w:val="center"/>
                </w:tcPr>
                <w:p w14:paraId="1F61802E">
                  <w:pPr>
                    <w:pStyle w:val="8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auto"/>
                      <w:kern w:val="2"/>
                      <w:sz w:val="21"/>
                      <w:szCs w:val="24"/>
                      <w:u w:val="none"/>
                      <w:lang w:val="en-US" w:eastAsia="zh-CN" w:bidi="ar-SA"/>
                    </w:rPr>
                  </w:pPr>
                  <w:r>
                    <w:rPr>
                      <w:rFonts w:hint="eastAsia" w:ascii="宋体" w:hAnsi="宋体" w:eastAsia="宋体" w:cs="宋体"/>
                      <w:color w:val="auto"/>
                      <w:kern w:val="2"/>
                      <w:sz w:val="21"/>
                      <w:szCs w:val="24"/>
                      <w:u w:val="none"/>
                      <w:lang w:val="en-US" w:eastAsia="zh-CN" w:bidi="ar-SA"/>
                    </w:rPr>
                    <w:t>20</w:t>
                  </w:r>
                </w:p>
              </w:tc>
              <w:tc>
                <w:tcPr>
                  <w:tcW w:w="1592" w:type="dxa"/>
                  <w:vMerge w:val="restart"/>
                  <w:vAlign w:val="center"/>
                </w:tcPr>
                <w:p w14:paraId="246F70F6">
                  <w:pPr>
                    <w:pStyle w:val="8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auto"/>
                      <w:sz w:val="21"/>
                      <w:u w:val="none"/>
                      <w:lang w:val="en-US" w:eastAsia="zh-CN"/>
                    </w:rPr>
                  </w:pPr>
                  <w:r>
                    <w:rPr>
                      <w:rFonts w:hint="eastAsia" w:ascii="宋体" w:hAnsi="宋体" w:eastAsia="宋体" w:cs="宋体"/>
                      <w:color w:val="auto"/>
                      <w:sz w:val="21"/>
                      <w:u w:val="none"/>
                      <w:lang w:val="en-US" w:eastAsia="zh-CN"/>
                    </w:rPr>
                    <w:t>烟囱或烟道</w:t>
                  </w:r>
                </w:p>
              </w:tc>
              <w:tc>
                <w:tcPr>
                  <w:tcW w:w="1740" w:type="dxa"/>
                  <w:vMerge w:val="restart"/>
                  <w:vAlign w:val="center"/>
                </w:tcPr>
                <w:p w14:paraId="4F649878">
                  <w:pPr>
                    <w:pStyle w:val="8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auto"/>
                      <w:sz w:val="21"/>
                      <w:u w:val="none"/>
                      <w:lang w:val="en-US" w:eastAsia="zh-CN"/>
                    </w:rPr>
                  </w:pPr>
                  <w:r>
                    <w:rPr>
                      <w:rFonts w:hint="eastAsia" w:ascii="宋体" w:hAnsi="宋体" w:eastAsia="宋体" w:cs="宋体"/>
                      <w:color w:val="auto"/>
                      <w:sz w:val="21"/>
                      <w:u w:val="none"/>
                      <w:lang w:val="en-US" w:eastAsia="zh-CN"/>
                    </w:rPr>
                    <w:t>《锅炉大气污染物排放标准》（GB13271-2014）中表3燃气锅炉特别排放限值-</w:t>
                  </w:r>
                </w:p>
              </w:tc>
            </w:tr>
            <w:tr w14:paraId="2DD4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02" w:type="dxa"/>
                  <w:vMerge w:val="continue"/>
                  <w:vAlign w:val="center"/>
                </w:tcPr>
                <w:p w14:paraId="28165F7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
                      <w:szCs w:val="2"/>
                      <w:u w:val="none"/>
                    </w:rPr>
                  </w:pPr>
                </w:p>
              </w:tc>
              <w:tc>
                <w:tcPr>
                  <w:tcW w:w="1830" w:type="dxa"/>
                  <w:vAlign w:val="center"/>
                </w:tcPr>
                <w:p w14:paraId="391B5B6E">
                  <w:pPr>
                    <w:pStyle w:val="8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auto"/>
                      <w:kern w:val="2"/>
                      <w:sz w:val="21"/>
                      <w:szCs w:val="24"/>
                      <w:u w:val="none"/>
                      <w:lang w:val="en-US" w:eastAsia="zh-CN" w:bidi="ar-SA"/>
                    </w:rPr>
                  </w:pPr>
                  <w:r>
                    <w:rPr>
                      <w:rFonts w:hint="eastAsia" w:ascii="宋体" w:hAnsi="宋体" w:eastAsia="宋体" w:cs="宋体"/>
                      <w:color w:val="auto"/>
                      <w:kern w:val="2"/>
                      <w:sz w:val="21"/>
                      <w:szCs w:val="24"/>
                      <w:u w:val="none"/>
                      <w:lang w:val="en-US" w:eastAsia="zh-CN" w:bidi="ar-SA"/>
                    </w:rPr>
                    <w:t>二氧化硫</w:t>
                  </w:r>
                </w:p>
              </w:tc>
              <w:tc>
                <w:tcPr>
                  <w:tcW w:w="1736" w:type="dxa"/>
                  <w:vAlign w:val="center"/>
                </w:tcPr>
                <w:p w14:paraId="4CBAD163">
                  <w:pPr>
                    <w:pStyle w:val="8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auto"/>
                      <w:kern w:val="2"/>
                      <w:sz w:val="21"/>
                      <w:szCs w:val="24"/>
                      <w:u w:val="none"/>
                      <w:lang w:val="en-US" w:eastAsia="zh-CN" w:bidi="ar-SA"/>
                    </w:rPr>
                  </w:pPr>
                  <w:r>
                    <w:rPr>
                      <w:rFonts w:hint="eastAsia" w:ascii="宋体" w:hAnsi="宋体" w:eastAsia="宋体" w:cs="宋体"/>
                      <w:color w:val="auto"/>
                      <w:kern w:val="2"/>
                      <w:sz w:val="21"/>
                      <w:szCs w:val="24"/>
                      <w:u w:val="none"/>
                      <w:lang w:val="en-US" w:eastAsia="zh-CN" w:bidi="ar-SA"/>
                    </w:rPr>
                    <w:t>50</w:t>
                  </w:r>
                </w:p>
              </w:tc>
              <w:tc>
                <w:tcPr>
                  <w:tcW w:w="1592" w:type="dxa"/>
                  <w:vMerge w:val="continue"/>
                  <w:vAlign w:val="center"/>
                </w:tcPr>
                <w:p w14:paraId="0C99F9D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
                      <w:szCs w:val="2"/>
                    </w:rPr>
                  </w:pPr>
                </w:p>
              </w:tc>
              <w:tc>
                <w:tcPr>
                  <w:tcW w:w="1740" w:type="dxa"/>
                  <w:vMerge w:val="continue"/>
                  <w:vAlign w:val="center"/>
                </w:tcPr>
                <w:p w14:paraId="7E4DD05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
                      <w:szCs w:val="2"/>
                    </w:rPr>
                  </w:pPr>
                </w:p>
              </w:tc>
            </w:tr>
            <w:tr w14:paraId="7819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02" w:type="dxa"/>
                  <w:vMerge w:val="continue"/>
                  <w:vAlign w:val="center"/>
                </w:tcPr>
                <w:p w14:paraId="68DA369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
                      <w:szCs w:val="2"/>
                      <w:u w:val="none"/>
                    </w:rPr>
                  </w:pPr>
                </w:p>
              </w:tc>
              <w:tc>
                <w:tcPr>
                  <w:tcW w:w="1830" w:type="dxa"/>
                  <w:vAlign w:val="center"/>
                </w:tcPr>
                <w:p w14:paraId="7C0E9C4A">
                  <w:pPr>
                    <w:pStyle w:val="8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auto"/>
                      <w:kern w:val="2"/>
                      <w:sz w:val="21"/>
                      <w:szCs w:val="24"/>
                      <w:u w:val="none"/>
                      <w:lang w:val="en-US" w:eastAsia="zh-CN" w:bidi="ar-SA"/>
                    </w:rPr>
                  </w:pPr>
                  <w:r>
                    <w:rPr>
                      <w:rFonts w:hint="eastAsia" w:ascii="宋体" w:hAnsi="宋体" w:eastAsia="宋体" w:cs="宋体"/>
                      <w:color w:val="auto"/>
                      <w:kern w:val="2"/>
                      <w:sz w:val="21"/>
                      <w:szCs w:val="24"/>
                      <w:u w:val="none"/>
                      <w:lang w:val="en-US" w:eastAsia="zh-CN" w:bidi="ar-SA"/>
                    </w:rPr>
                    <w:t>氮氧化物</w:t>
                  </w:r>
                </w:p>
              </w:tc>
              <w:tc>
                <w:tcPr>
                  <w:tcW w:w="1736" w:type="dxa"/>
                  <w:vAlign w:val="center"/>
                </w:tcPr>
                <w:p w14:paraId="0E38FEB6">
                  <w:pPr>
                    <w:pStyle w:val="83"/>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color w:val="auto"/>
                      <w:kern w:val="2"/>
                      <w:sz w:val="21"/>
                      <w:szCs w:val="24"/>
                      <w:u w:val="none"/>
                      <w:lang w:val="en-US" w:eastAsia="zh-CN" w:bidi="ar-SA"/>
                    </w:rPr>
                  </w:pPr>
                  <w:r>
                    <w:rPr>
                      <w:rFonts w:hint="eastAsia" w:ascii="宋体" w:hAnsi="宋体" w:eastAsia="宋体" w:cs="宋体"/>
                      <w:color w:val="auto"/>
                      <w:kern w:val="2"/>
                      <w:sz w:val="21"/>
                      <w:szCs w:val="24"/>
                      <w:u w:val="none"/>
                      <w:lang w:val="en-US" w:eastAsia="zh-CN" w:bidi="ar-SA"/>
                    </w:rPr>
                    <w:t>150</w:t>
                  </w:r>
                </w:p>
              </w:tc>
              <w:tc>
                <w:tcPr>
                  <w:tcW w:w="1592" w:type="dxa"/>
                  <w:vMerge w:val="continue"/>
                  <w:vAlign w:val="center"/>
                </w:tcPr>
                <w:p w14:paraId="65B76DD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
                      <w:szCs w:val="2"/>
                    </w:rPr>
                  </w:pPr>
                </w:p>
              </w:tc>
              <w:tc>
                <w:tcPr>
                  <w:tcW w:w="1740" w:type="dxa"/>
                  <w:vMerge w:val="continue"/>
                  <w:vAlign w:val="center"/>
                </w:tcPr>
                <w:p w14:paraId="46BDC93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
                      <w:szCs w:val="2"/>
                    </w:rPr>
                  </w:pPr>
                </w:p>
              </w:tc>
            </w:tr>
          </w:tbl>
          <w:p w14:paraId="10CF19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表3-</w:t>
            </w:r>
            <w:r>
              <w:rPr>
                <w:rFonts w:hint="eastAsia" w:ascii="宋体" w:hAnsi="宋体" w:cs="宋体"/>
                <w:b/>
                <w:color w:val="auto"/>
                <w:sz w:val="21"/>
                <w:szCs w:val="21"/>
                <w:lang w:val="en-US" w:eastAsia="zh-CN"/>
              </w:rPr>
              <w:t>7</w:t>
            </w:r>
            <w:r>
              <w:rPr>
                <w:rFonts w:hint="eastAsia" w:ascii="宋体" w:hAnsi="宋体" w:eastAsia="宋体" w:cs="宋体"/>
                <w:b/>
                <w:color w:val="auto"/>
                <w:sz w:val="21"/>
                <w:szCs w:val="21"/>
                <w:lang w:val="en-US" w:eastAsia="zh-CN"/>
              </w:rPr>
              <w:t xml:space="preserve"> 无组织废气排放标准</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1421"/>
              <w:gridCol w:w="1118"/>
              <w:gridCol w:w="1603"/>
              <w:gridCol w:w="1874"/>
            </w:tblGrid>
            <w:tr w14:paraId="6069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75" w:type="pct"/>
                  <w:vAlign w:val="center"/>
                </w:tcPr>
                <w:p w14:paraId="6F705FE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cs="宋体"/>
                      <w:color w:val="auto"/>
                      <w:sz w:val="21"/>
                      <w:szCs w:val="21"/>
                      <w:lang w:val="en-US" w:eastAsia="zh-CN"/>
                    </w:rPr>
                    <w:t>污染源</w:t>
                  </w:r>
                </w:p>
              </w:tc>
              <w:tc>
                <w:tcPr>
                  <w:tcW w:w="856" w:type="pct"/>
                  <w:vAlign w:val="center"/>
                </w:tcPr>
                <w:p w14:paraId="044467C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控制因子</w:t>
                  </w:r>
                </w:p>
              </w:tc>
              <w:tc>
                <w:tcPr>
                  <w:tcW w:w="673" w:type="pct"/>
                  <w:vAlign w:val="center"/>
                </w:tcPr>
                <w:p w14:paraId="6F1C6D8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单位</w:t>
                  </w:r>
                </w:p>
              </w:tc>
              <w:tc>
                <w:tcPr>
                  <w:tcW w:w="965" w:type="pct"/>
                  <w:vAlign w:val="center"/>
                </w:tcPr>
                <w:p w14:paraId="4C3B91E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标准值</w:t>
                  </w:r>
                </w:p>
              </w:tc>
              <w:tc>
                <w:tcPr>
                  <w:tcW w:w="1128" w:type="pct"/>
                  <w:vAlign w:val="center"/>
                </w:tcPr>
                <w:p w14:paraId="0A5F1B9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执行标准</w:t>
                  </w:r>
                </w:p>
              </w:tc>
            </w:tr>
            <w:tr w14:paraId="7C86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75" w:type="pct"/>
                  <w:vAlign w:val="center"/>
                </w:tcPr>
                <w:p w14:paraId="555CF21A">
                  <w:pPr>
                    <w:pStyle w:val="11"/>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厂界无组织颗粒物浓度</w:t>
                  </w:r>
                </w:p>
              </w:tc>
              <w:tc>
                <w:tcPr>
                  <w:tcW w:w="856" w:type="pct"/>
                  <w:vAlign w:val="center"/>
                </w:tcPr>
                <w:p w14:paraId="2DB0B07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颗粒物</w:t>
                  </w:r>
                </w:p>
              </w:tc>
              <w:tc>
                <w:tcPr>
                  <w:tcW w:w="673" w:type="pct"/>
                  <w:vAlign w:val="center"/>
                </w:tcPr>
                <w:p w14:paraId="3F5C1D6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mg/m³</w:t>
                  </w:r>
                </w:p>
              </w:tc>
              <w:tc>
                <w:tcPr>
                  <w:tcW w:w="965" w:type="pct"/>
                  <w:vAlign w:val="center"/>
                </w:tcPr>
                <w:p w14:paraId="11F3489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周界外浓度最高点：1.0</w:t>
                  </w:r>
                </w:p>
              </w:tc>
              <w:tc>
                <w:tcPr>
                  <w:tcW w:w="1128" w:type="pct"/>
                  <w:vAlign w:val="center"/>
                </w:tcPr>
                <w:p w14:paraId="6B6047F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《大气污染物综合排放标准》（GB16297-1996）</w:t>
                  </w:r>
                </w:p>
              </w:tc>
            </w:tr>
          </w:tbl>
          <w:p w14:paraId="6C3A71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u w:val="none"/>
              </w:rPr>
            </w:pPr>
            <w:r>
              <w:rPr>
                <w:rFonts w:hint="eastAsia" w:ascii="宋体" w:hAnsi="宋体" w:eastAsia="宋体" w:cs="宋体"/>
                <w:b/>
                <w:color w:val="auto"/>
                <w:sz w:val="24"/>
                <w:u w:val="none"/>
              </w:rPr>
              <w:t>3、噪声排放标准</w:t>
            </w:r>
          </w:p>
          <w:p w14:paraId="5783A204">
            <w:pPr>
              <w:pStyle w:val="8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Cs w:val="21"/>
                <w:u w:val="none"/>
              </w:rPr>
            </w:pPr>
            <w:r>
              <w:rPr>
                <w:rFonts w:hint="eastAsia" w:ascii="宋体" w:hAnsi="宋体" w:eastAsia="宋体" w:cs="宋体"/>
                <w:color w:val="auto"/>
                <w:sz w:val="24"/>
                <w:u w:val="none"/>
              </w:rPr>
              <w:t>项目厂界噪声执行《工业企业厂界环境噪声排放标准》（GB12348-2008）</w:t>
            </w:r>
            <w:r>
              <w:rPr>
                <w:rFonts w:hint="eastAsia" w:ascii="宋体" w:hAnsi="宋体" w:eastAsia="宋体" w:cs="宋体"/>
                <w:color w:val="auto"/>
                <w:sz w:val="24"/>
                <w:u w:val="none"/>
                <w:lang w:val="en-US" w:eastAsia="zh-CN"/>
              </w:rPr>
              <w:t>2</w:t>
            </w:r>
            <w:r>
              <w:rPr>
                <w:rFonts w:hint="eastAsia" w:ascii="宋体" w:hAnsi="宋体" w:eastAsia="宋体" w:cs="宋体"/>
                <w:color w:val="auto"/>
                <w:sz w:val="24"/>
                <w:u w:val="none"/>
              </w:rPr>
              <w:t>类标准。具体标准限值见下表。</w:t>
            </w:r>
          </w:p>
          <w:p w14:paraId="78D500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u w:val="none"/>
              </w:rPr>
            </w:pPr>
            <w:r>
              <w:rPr>
                <w:rFonts w:hint="eastAsia" w:ascii="宋体" w:hAnsi="宋体" w:eastAsia="宋体" w:cs="宋体"/>
                <w:b/>
                <w:color w:val="auto"/>
                <w:szCs w:val="21"/>
                <w:u w:val="none"/>
              </w:rPr>
              <w:t>表</w:t>
            </w:r>
            <w:r>
              <w:rPr>
                <w:rFonts w:hint="eastAsia" w:ascii="宋体" w:hAnsi="宋体" w:eastAsia="宋体" w:cs="宋体"/>
                <w:b/>
                <w:color w:val="auto"/>
                <w:szCs w:val="21"/>
                <w:u w:val="none"/>
                <w:lang w:val="en-US" w:eastAsia="zh-CN"/>
              </w:rPr>
              <w:t>3-</w:t>
            </w:r>
            <w:r>
              <w:rPr>
                <w:rFonts w:hint="eastAsia" w:ascii="宋体" w:hAnsi="宋体" w:cs="宋体"/>
                <w:b/>
                <w:color w:val="auto"/>
                <w:szCs w:val="21"/>
                <w:u w:val="none"/>
                <w:lang w:val="en-US" w:eastAsia="zh-CN"/>
              </w:rPr>
              <w:t>8</w:t>
            </w:r>
            <w:r>
              <w:rPr>
                <w:rFonts w:hint="eastAsia" w:ascii="宋体" w:hAnsi="宋体" w:eastAsia="宋体" w:cs="宋体"/>
                <w:b/>
                <w:color w:val="auto"/>
                <w:szCs w:val="21"/>
                <w:u w:val="none"/>
              </w:rPr>
              <w:t>工业企业厂界噪声限值单位：dB</w:t>
            </w:r>
            <w:r>
              <w:rPr>
                <w:rFonts w:hint="eastAsia" w:ascii="宋体" w:hAnsi="宋体" w:eastAsia="宋体" w:cs="宋体"/>
                <w:b/>
                <w:color w:val="auto"/>
                <w:szCs w:val="21"/>
                <w:u w:val="none"/>
                <w:lang w:eastAsia="zh-CN"/>
              </w:rPr>
              <w:t>（</w:t>
            </w:r>
            <w:r>
              <w:rPr>
                <w:rFonts w:hint="eastAsia" w:ascii="宋体" w:hAnsi="宋体" w:eastAsia="宋体" w:cs="宋体"/>
                <w:b/>
                <w:color w:val="auto"/>
                <w:szCs w:val="21"/>
                <w:u w:val="none"/>
                <w:lang w:val="en-US" w:eastAsia="zh-CN"/>
              </w:rPr>
              <w:t>A</w:t>
            </w:r>
            <w:r>
              <w:rPr>
                <w:rFonts w:hint="eastAsia" w:ascii="宋体" w:hAnsi="宋体" w:eastAsia="宋体" w:cs="宋体"/>
                <w:b/>
                <w:color w:val="auto"/>
                <w:szCs w:val="21"/>
                <w:u w:val="none"/>
                <w:lang w:eastAsia="zh-CN"/>
              </w:rPr>
              <w:t>）</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2152"/>
              <w:gridCol w:w="1953"/>
            </w:tblGrid>
            <w:tr w14:paraId="7A72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26" w:type="pct"/>
                  <w:noWrap w:val="0"/>
                  <w:vAlign w:val="center"/>
                </w:tcPr>
                <w:p w14:paraId="7F31871B">
                  <w:pPr>
                    <w:pStyle w:val="53"/>
                    <w:bidi w:val="0"/>
                    <w:rPr>
                      <w:rFonts w:hint="eastAsia" w:ascii="宋体" w:hAnsi="宋体" w:eastAsia="宋体" w:cs="宋体"/>
                      <w:color w:val="auto"/>
                      <w:lang w:eastAsia="zh-CN"/>
                    </w:rPr>
                  </w:pPr>
                  <w:r>
                    <w:rPr>
                      <w:rFonts w:hint="eastAsia" w:ascii="宋体" w:hAnsi="宋体" w:eastAsia="宋体" w:cs="宋体"/>
                      <w:color w:val="auto"/>
                    </w:rPr>
                    <w:t>（GB12348-2008）2类功能区排放标准</w:t>
                  </w:r>
                </w:p>
              </w:tc>
              <w:tc>
                <w:tcPr>
                  <w:tcW w:w="1296" w:type="pct"/>
                  <w:noWrap w:val="0"/>
                  <w:vAlign w:val="center"/>
                </w:tcPr>
                <w:p w14:paraId="471A89D9">
                  <w:pPr>
                    <w:pStyle w:val="53"/>
                    <w:bidi w:val="0"/>
                    <w:rPr>
                      <w:rFonts w:hint="eastAsia" w:ascii="宋体" w:hAnsi="宋体" w:eastAsia="宋体" w:cs="宋体"/>
                      <w:color w:val="auto"/>
                    </w:rPr>
                  </w:pPr>
                  <w:r>
                    <w:rPr>
                      <w:rFonts w:hint="eastAsia" w:ascii="宋体" w:hAnsi="宋体" w:eastAsia="宋体" w:cs="宋体"/>
                      <w:color w:val="auto"/>
                    </w:rPr>
                    <w:t>昼间</w:t>
                  </w:r>
                </w:p>
              </w:tc>
              <w:tc>
                <w:tcPr>
                  <w:tcW w:w="1176" w:type="pct"/>
                  <w:noWrap w:val="0"/>
                  <w:vAlign w:val="center"/>
                </w:tcPr>
                <w:p w14:paraId="43922799">
                  <w:pPr>
                    <w:pStyle w:val="53"/>
                    <w:bidi w:val="0"/>
                    <w:rPr>
                      <w:rFonts w:hint="eastAsia" w:ascii="宋体" w:hAnsi="宋体" w:eastAsia="宋体" w:cs="宋体"/>
                      <w:color w:val="auto"/>
                    </w:rPr>
                  </w:pPr>
                  <w:r>
                    <w:rPr>
                      <w:rFonts w:hint="eastAsia" w:ascii="宋体" w:hAnsi="宋体" w:eastAsia="宋体" w:cs="宋体"/>
                      <w:color w:val="auto"/>
                    </w:rPr>
                    <w:t>夜间</w:t>
                  </w:r>
                </w:p>
              </w:tc>
            </w:tr>
            <w:tr w14:paraId="2594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26" w:type="pct"/>
                  <w:noWrap w:val="0"/>
                  <w:vAlign w:val="center"/>
                </w:tcPr>
                <w:p w14:paraId="51AA0E4F">
                  <w:pPr>
                    <w:pStyle w:val="53"/>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eastAsia="宋体" w:cs="宋体"/>
                      <w:color w:val="auto"/>
                    </w:rPr>
                    <w:t>类</w:t>
                  </w:r>
                </w:p>
              </w:tc>
              <w:tc>
                <w:tcPr>
                  <w:tcW w:w="1296" w:type="pct"/>
                  <w:noWrap w:val="0"/>
                  <w:vAlign w:val="center"/>
                </w:tcPr>
                <w:p w14:paraId="75D22DC5">
                  <w:pPr>
                    <w:pStyle w:val="53"/>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60</w:t>
                  </w:r>
                </w:p>
              </w:tc>
              <w:tc>
                <w:tcPr>
                  <w:tcW w:w="1176" w:type="pct"/>
                  <w:noWrap w:val="0"/>
                  <w:vAlign w:val="center"/>
                </w:tcPr>
                <w:p w14:paraId="338B0B27">
                  <w:pPr>
                    <w:pStyle w:val="53"/>
                    <w:bidi w:val="0"/>
                    <w:rPr>
                      <w:rFonts w:hint="eastAsia" w:ascii="宋体" w:hAnsi="宋体" w:eastAsia="宋体" w:cs="宋体"/>
                      <w:color w:val="auto"/>
                      <w:lang w:eastAsia="zh-CN"/>
                    </w:rPr>
                  </w:pPr>
                  <w:r>
                    <w:rPr>
                      <w:rFonts w:hint="eastAsia" w:ascii="宋体" w:hAnsi="宋体" w:eastAsia="宋体" w:cs="宋体"/>
                      <w:color w:val="auto"/>
                    </w:rPr>
                    <w:t>5</w:t>
                  </w:r>
                  <w:r>
                    <w:rPr>
                      <w:rFonts w:hint="eastAsia" w:ascii="宋体" w:hAnsi="宋体" w:eastAsia="宋体" w:cs="宋体"/>
                      <w:color w:val="auto"/>
                      <w:lang w:val="en-US" w:eastAsia="zh-CN"/>
                    </w:rPr>
                    <w:t>0</w:t>
                  </w:r>
                </w:p>
              </w:tc>
            </w:tr>
          </w:tbl>
          <w:p w14:paraId="55F304D8">
            <w:pPr>
              <w:spacing w:before="120" w:beforeLines="50" w:line="360" w:lineRule="auto"/>
              <w:ind w:firstLine="361" w:firstLineChars="150"/>
              <w:rPr>
                <w:rFonts w:hint="eastAsia" w:ascii="宋体" w:hAnsi="宋体" w:eastAsia="宋体" w:cs="宋体"/>
                <w:b/>
                <w:color w:val="auto"/>
                <w:sz w:val="24"/>
                <w:u w:val="none"/>
              </w:rPr>
            </w:pPr>
            <w:r>
              <w:rPr>
                <w:rFonts w:hint="eastAsia" w:ascii="宋体" w:hAnsi="宋体" w:eastAsia="宋体" w:cs="宋体"/>
                <w:b/>
                <w:color w:val="auto"/>
                <w:sz w:val="24"/>
                <w:u w:val="none"/>
              </w:rPr>
              <w:t>4、固体废物排放标准</w:t>
            </w:r>
          </w:p>
          <w:p w14:paraId="4C2AA6A7">
            <w:pPr>
              <w:spacing w:line="360" w:lineRule="auto"/>
              <w:ind w:firstLine="472" w:firstLineChars="200"/>
              <w:contextualSpacing/>
              <w:rPr>
                <w:rFonts w:hint="default" w:ascii="Times New Roman" w:hAnsi="Times New Roman" w:cs="Times New Roman"/>
                <w:color w:val="FF0000"/>
                <w:kern w:val="0"/>
                <w:sz w:val="24"/>
                <w:u w:val="none"/>
              </w:rPr>
            </w:pPr>
            <w:r>
              <w:rPr>
                <w:rFonts w:hint="eastAsia" w:ascii="宋体" w:hAnsi="宋体" w:eastAsia="宋体" w:cs="宋体"/>
                <w:color w:val="auto"/>
                <w:spacing w:val="-2"/>
                <w:sz w:val="24"/>
                <w:u w:val="none"/>
                <w:lang w:bidi="ar"/>
              </w:rPr>
              <w:t>一般固体废弃物执行《一般工业固体废物贮存和填埋污染控制标准》（GB18599-2020）；生活垃圾</w:t>
            </w:r>
            <w:r>
              <w:rPr>
                <w:rFonts w:hint="eastAsia" w:ascii="宋体" w:hAnsi="宋体" w:eastAsia="宋体" w:cs="宋体"/>
                <w:color w:val="auto"/>
                <w:spacing w:val="-2"/>
                <w:sz w:val="24"/>
                <w:u w:val="none"/>
                <w:lang w:eastAsia="zh-CN" w:bidi="ar"/>
              </w:rPr>
              <w:t>由环卫部门清运</w:t>
            </w:r>
            <w:r>
              <w:rPr>
                <w:rFonts w:hint="eastAsia" w:ascii="宋体" w:hAnsi="宋体" w:eastAsia="宋体" w:cs="宋体"/>
                <w:color w:val="auto"/>
                <w:sz w:val="24"/>
                <w:u w:val="none"/>
              </w:rPr>
              <w:t>。</w:t>
            </w:r>
          </w:p>
        </w:tc>
      </w:tr>
      <w:tr w14:paraId="15C6E6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28" w:hRule="atLeast"/>
          <w:jc w:val="center"/>
        </w:trPr>
        <w:tc>
          <w:tcPr>
            <w:tcW w:w="430" w:type="dxa"/>
            <w:vAlign w:val="center"/>
          </w:tcPr>
          <w:p w14:paraId="4601259C">
            <w:pPr>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总量</w:t>
            </w:r>
          </w:p>
          <w:p w14:paraId="3B5FD64C">
            <w:pPr>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控制</w:t>
            </w:r>
          </w:p>
          <w:p w14:paraId="34E9B63D">
            <w:pPr>
              <w:adjustRightInd w:val="0"/>
              <w:snapToGrid w:val="0"/>
              <w:jc w:val="center"/>
              <w:rPr>
                <w:rFonts w:hint="default" w:ascii="Times New Roman" w:hAnsi="Times New Roman" w:cs="Times New Roman"/>
                <w:color w:val="FF0000"/>
                <w:kern w:val="0"/>
                <w:szCs w:val="21"/>
              </w:rPr>
            </w:pPr>
            <w:r>
              <w:rPr>
                <w:rFonts w:hint="eastAsia" w:ascii="宋体" w:hAnsi="宋体" w:eastAsia="宋体" w:cs="宋体"/>
                <w:color w:val="auto"/>
                <w:kern w:val="0"/>
                <w:szCs w:val="21"/>
              </w:rPr>
              <w:t>指标</w:t>
            </w:r>
          </w:p>
        </w:tc>
        <w:tc>
          <w:tcPr>
            <w:tcW w:w="8527" w:type="dxa"/>
            <w:vAlign w:val="center"/>
          </w:tcPr>
          <w:p w14:paraId="4CD1A78F">
            <w:pPr>
              <w:bidi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按照生态环境部发布的全国“十二五”环境保护计划，国家实行总量控制的污染物有SO</w:t>
            </w:r>
            <w:r>
              <w:rPr>
                <w:rFonts w:hint="eastAsia" w:ascii="宋体" w:hAnsi="宋体" w:eastAsia="宋体" w:cs="宋体"/>
                <w:color w:val="auto"/>
                <w:sz w:val="24"/>
                <w:szCs w:val="24"/>
                <w:u w:val="single"/>
                <w:vertAlign w:val="subscript"/>
                <w:lang w:val="en-US" w:eastAsia="zh-CN"/>
              </w:rPr>
              <w:t>2</w:t>
            </w:r>
            <w:r>
              <w:rPr>
                <w:rFonts w:hint="eastAsia" w:ascii="宋体" w:hAnsi="宋体" w:eastAsia="宋体" w:cs="宋体"/>
                <w:color w:val="auto"/>
                <w:sz w:val="24"/>
                <w:szCs w:val="24"/>
                <w:u w:val="single"/>
                <w:lang w:val="en-US" w:eastAsia="zh-CN"/>
              </w:rPr>
              <w:t>、氮氧化物和COD</w:t>
            </w:r>
            <w:r>
              <w:rPr>
                <w:rFonts w:hint="eastAsia" w:ascii="宋体" w:hAnsi="宋体" w:eastAsia="宋体" w:cs="宋体"/>
                <w:color w:val="auto"/>
                <w:sz w:val="24"/>
                <w:szCs w:val="24"/>
                <w:u w:val="single"/>
                <w:vertAlign w:val="subscript"/>
                <w:lang w:val="en-US" w:eastAsia="zh-CN"/>
              </w:rPr>
              <w:t>Cr</w:t>
            </w:r>
            <w:r>
              <w:rPr>
                <w:rFonts w:hint="eastAsia" w:ascii="宋体" w:hAnsi="宋体" w:eastAsia="宋体" w:cs="宋体"/>
                <w:color w:val="auto"/>
                <w:sz w:val="24"/>
                <w:szCs w:val="24"/>
                <w:u w:val="single"/>
                <w:lang w:val="en-US" w:eastAsia="zh-CN"/>
              </w:rPr>
              <w:t>、NH</w:t>
            </w:r>
            <w:r>
              <w:rPr>
                <w:rFonts w:hint="eastAsia" w:ascii="宋体" w:hAnsi="宋体" w:eastAsia="宋体" w:cs="宋体"/>
                <w:color w:val="auto"/>
                <w:sz w:val="24"/>
                <w:szCs w:val="24"/>
                <w:u w:val="single"/>
                <w:vertAlign w:val="subscript"/>
                <w:lang w:val="en-US" w:eastAsia="zh-CN"/>
              </w:rPr>
              <w:t>3</w:t>
            </w:r>
            <w:r>
              <w:rPr>
                <w:rFonts w:hint="eastAsia" w:ascii="宋体" w:hAnsi="宋体" w:eastAsia="宋体" w:cs="宋体"/>
                <w:color w:val="auto"/>
                <w:sz w:val="24"/>
                <w:szCs w:val="24"/>
                <w:u w:val="single"/>
                <w:lang w:val="en-US" w:eastAsia="zh-CN"/>
              </w:rPr>
              <w:t>-N等4项。根据《国家环境保护“十三五”规划基本思路》，“十三五”期间全国主要污染物排放总量控制指标继续实施化学需氧量、氨氮、二氧化硫和氮氧化物，部分重点区域和重点行业新增烟粉尘、VOCs、总氮、总磷四项控制指标。</w:t>
            </w:r>
          </w:p>
          <w:p w14:paraId="5ACC7577">
            <w:pPr>
              <w:bidi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1、废水</w:t>
            </w:r>
            <w:r>
              <w:rPr>
                <w:rFonts w:hint="eastAsia" w:ascii="宋体" w:hAnsi="宋体" w:eastAsia="宋体" w:cs="宋体"/>
                <w:color w:val="auto"/>
                <w:sz w:val="24"/>
                <w:szCs w:val="24"/>
                <w:u w:val="single"/>
                <w:lang w:eastAsia="zh-CN"/>
              </w:rPr>
              <w:t>：根据工程分析，</w:t>
            </w:r>
            <w:r>
              <w:rPr>
                <w:rFonts w:hint="eastAsia" w:ascii="宋体" w:hAnsi="宋体" w:eastAsia="宋体" w:cs="宋体"/>
                <w:color w:val="auto"/>
                <w:sz w:val="24"/>
                <w:szCs w:val="24"/>
                <w:u w:val="single"/>
                <w:lang w:val="en-US" w:eastAsia="zh-CN"/>
              </w:rPr>
              <w:t>本项目为稻谷的烘干，无生产废水，生活废水用于周边农田施肥，不外排。</w:t>
            </w:r>
          </w:p>
          <w:p w14:paraId="66A97B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2、废气：</w:t>
            </w:r>
            <w:r>
              <w:rPr>
                <w:rFonts w:hint="eastAsia" w:ascii="宋体" w:hAnsi="宋体" w:eastAsia="宋体" w:cs="宋体"/>
                <w:color w:val="auto"/>
                <w:sz w:val="24"/>
                <w:szCs w:val="24"/>
                <w:u w:val="single"/>
              </w:rPr>
              <w:t>参考《排放源统计调查产排污核算方法和系数手册》（环境部公告2021年第24号）中“4430工业锅炉（热力生产和供应行业）产污系数表”</w:t>
            </w:r>
            <w:r>
              <w:rPr>
                <w:rFonts w:hint="eastAsia" w:ascii="宋体" w:hAnsi="宋体" w:eastAsia="宋体" w:cs="宋体"/>
                <w:color w:val="auto"/>
                <w:sz w:val="24"/>
                <w:szCs w:val="24"/>
                <w:u w:val="single"/>
                <w:lang w:val="en-US" w:eastAsia="zh-CN"/>
              </w:rPr>
              <w:t>及湖南省地方标准《生物质成型燃料热风炉》（DB43/T1148-2015）推荐企业热风炉执行《锅炉大气污染物排放标准》（GB13271-2014）中标准限制，</w:t>
            </w:r>
            <w:r>
              <w:rPr>
                <w:rFonts w:hint="eastAsia" w:ascii="宋体" w:hAnsi="宋体" w:eastAsia="宋体" w:cs="宋体"/>
                <w:color w:val="auto"/>
                <w:sz w:val="24"/>
                <w:szCs w:val="24"/>
                <w:u w:val="single"/>
              </w:rPr>
              <w:t>SO</w:t>
            </w:r>
            <w:r>
              <w:rPr>
                <w:rFonts w:hint="eastAsia" w:ascii="宋体" w:hAnsi="宋体" w:eastAsia="宋体" w:cs="宋体"/>
                <w:color w:val="auto"/>
                <w:sz w:val="24"/>
                <w:szCs w:val="24"/>
                <w:u w:val="single"/>
                <w:vertAlign w:val="subscript"/>
              </w:rPr>
              <w:t>2</w:t>
            </w:r>
            <w:r>
              <w:rPr>
                <w:rFonts w:hint="eastAsia" w:ascii="宋体" w:hAnsi="宋体" w:eastAsia="宋体" w:cs="宋体"/>
                <w:color w:val="auto"/>
                <w:sz w:val="24"/>
                <w:szCs w:val="24"/>
                <w:u w:val="single"/>
              </w:rPr>
              <w:t>、NO</w:t>
            </w:r>
            <w:r>
              <w:rPr>
                <w:rFonts w:hint="eastAsia" w:ascii="宋体" w:hAnsi="宋体" w:eastAsia="宋体" w:cs="宋体"/>
                <w:color w:val="auto"/>
                <w:sz w:val="24"/>
                <w:szCs w:val="24"/>
                <w:u w:val="single"/>
                <w:vertAlign w:val="subscript"/>
              </w:rPr>
              <w:t>x</w:t>
            </w:r>
            <w:r>
              <w:rPr>
                <w:rFonts w:hint="eastAsia" w:ascii="宋体" w:hAnsi="宋体" w:eastAsia="宋体" w:cs="宋体"/>
                <w:color w:val="auto"/>
                <w:sz w:val="24"/>
                <w:szCs w:val="24"/>
                <w:u w:val="single"/>
              </w:rPr>
              <w:t>的排放浓度限值分别为</w:t>
            </w:r>
            <w:r>
              <w:rPr>
                <w:rFonts w:hint="eastAsia" w:ascii="宋体" w:hAnsi="宋体" w:cs="宋体"/>
                <w:color w:val="auto"/>
                <w:sz w:val="24"/>
                <w:szCs w:val="24"/>
                <w:u w:val="single"/>
                <w:lang w:val="en-US" w:eastAsia="zh-CN"/>
              </w:rPr>
              <w:t>50</w:t>
            </w:r>
            <w:r>
              <w:rPr>
                <w:rFonts w:hint="eastAsia" w:ascii="宋体" w:hAnsi="宋体" w:eastAsia="宋体" w:cs="宋体"/>
                <w:color w:val="auto"/>
                <w:sz w:val="24"/>
                <w:szCs w:val="24"/>
                <w:u w:val="single"/>
              </w:rPr>
              <w:t>mg/m</w:t>
            </w:r>
            <w:r>
              <w:rPr>
                <w:rFonts w:hint="eastAsia" w:ascii="宋体" w:hAnsi="宋体" w:eastAsia="宋体" w:cs="宋体"/>
                <w:color w:val="auto"/>
                <w:sz w:val="24"/>
                <w:szCs w:val="24"/>
                <w:u w:val="single"/>
                <w:vertAlign w:val="superscript"/>
              </w:rPr>
              <w:t>3</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150</w:t>
            </w:r>
            <w:bookmarkStart w:id="22" w:name="_GoBack"/>
            <w:bookmarkEnd w:id="22"/>
            <w:r>
              <w:rPr>
                <w:rFonts w:hint="eastAsia" w:ascii="宋体" w:hAnsi="宋体" w:eastAsia="宋体" w:cs="宋体"/>
                <w:color w:val="auto"/>
                <w:sz w:val="24"/>
                <w:szCs w:val="24"/>
                <w:u w:val="single"/>
              </w:rPr>
              <w:t>mg/m</w:t>
            </w:r>
            <w:r>
              <w:rPr>
                <w:rFonts w:hint="eastAsia" w:ascii="宋体" w:hAnsi="宋体" w:eastAsia="宋体" w:cs="宋体"/>
                <w:color w:val="auto"/>
                <w:sz w:val="24"/>
                <w:szCs w:val="24"/>
                <w:u w:val="single"/>
                <w:vertAlign w:val="superscript"/>
              </w:rPr>
              <w:t>3</w:t>
            </w:r>
            <w:r>
              <w:rPr>
                <w:rFonts w:hint="eastAsia" w:ascii="宋体" w:hAnsi="宋体" w:eastAsia="宋体" w:cs="宋体"/>
                <w:color w:val="auto"/>
                <w:sz w:val="24"/>
                <w:szCs w:val="24"/>
                <w:u w:val="single"/>
                <w:lang w:val="en-US" w:eastAsia="zh-CN"/>
              </w:rPr>
              <w:t>。</w:t>
            </w:r>
          </w:p>
          <w:p w14:paraId="13325361">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生物质热风炉废气量=6240</w:t>
            </w:r>
            <w:r>
              <w:rPr>
                <w:rFonts w:hint="eastAsia" w:ascii="宋体" w:hAnsi="宋体" w:eastAsia="宋体" w:cs="宋体"/>
                <w:color w:val="auto"/>
                <w:sz w:val="24"/>
                <w:szCs w:val="24"/>
                <w:u w:val="single"/>
              </w:rPr>
              <w:t>标</w:t>
            </w:r>
            <w:r>
              <w:rPr>
                <w:rFonts w:hint="eastAsia" w:ascii="宋体" w:hAnsi="宋体" w:eastAsia="宋体" w:cs="宋体"/>
                <w:color w:val="auto"/>
                <w:sz w:val="24"/>
                <w:szCs w:val="24"/>
                <w:u w:val="single"/>
                <w:vertAlign w:val="baseline"/>
              </w:rPr>
              <w:t>m</w:t>
            </w:r>
            <w:r>
              <w:rPr>
                <w:rFonts w:hint="eastAsia" w:ascii="宋体" w:hAnsi="宋体" w:eastAsia="宋体" w:cs="宋体"/>
                <w:color w:val="auto"/>
                <w:sz w:val="24"/>
                <w:szCs w:val="24"/>
                <w:u w:val="single"/>
                <w:vertAlign w:val="superscript"/>
              </w:rPr>
              <w:t>3</w:t>
            </w:r>
            <w:r>
              <w:rPr>
                <w:rFonts w:hint="eastAsia" w:ascii="宋体" w:hAnsi="宋体" w:eastAsia="宋体" w:cs="宋体"/>
                <w:color w:val="auto"/>
                <w:sz w:val="24"/>
                <w:szCs w:val="24"/>
                <w:u w:val="single"/>
              </w:rPr>
              <w:t>/t·原料×</w:t>
            </w:r>
            <w:r>
              <w:rPr>
                <w:rFonts w:hint="eastAsia" w:ascii="宋体" w:hAnsi="宋体" w:cs="宋体"/>
                <w:color w:val="auto"/>
                <w:sz w:val="24"/>
                <w:u w:val="single"/>
                <w:lang w:val="en-US" w:eastAsia="zh-CN"/>
              </w:rPr>
              <w:t>1214.85</w:t>
            </w:r>
            <w:r>
              <w:rPr>
                <w:rFonts w:hint="eastAsia" w:ascii="宋体" w:hAnsi="宋体" w:eastAsia="宋体" w:cs="宋体"/>
                <w:color w:val="auto"/>
                <w:sz w:val="24"/>
                <w:szCs w:val="24"/>
                <w:u w:val="single"/>
                <w:lang w:val="en-US" w:eastAsia="zh-CN"/>
              </w:rPr>
              <w:t>t=</w:t>
            </w:r>
            <w:r>
              <w:rPr>
                <w:rFonts w:hint="eastAsia" w:ascii="宋体" w:hAnsi="宋体" w:cs="宋体"/>
                <w:color w:val="auto"/>
                <w:sz w:val="24"/>
                <w:szCs w:val="24"/>
                <w:u w:val="single"/>
                <w:lang w:val="en-US" w:eastAsia="zh-CN"/>
              </w:rPr>
              <w:t>7580664</w:t>
            </w:r>
            <w:r>
              <w:rPr>
                <w:rFonts w:hint="eastAsia" w:ascii="宋体" w:hAnsi="宋体" w:eastAsia="宋体" w:cs="宋体"/>
                <w:color w:val="auto"/>
                <w:sz w:val="24"/>
                <w:szCs w:val="24"/>
                <w:u w:val="single"/>
                <w:lang w:val="en-US" w:eastAsia="zh-CN"/>
              </w:rPr>
              <w:t>m³</w:t>
            </w:r>
          </w:p>
          <w:p w14:paraId="764175FA">
            <w:pPr>
              <w:pStyle w:val="2"/>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80" w:firstLineChars="200"/>
              <w:jc w:val="left"/>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rPr>
              <w:t>SO</w:t>
            </w:r>
            <w:r>
              <w:rPr>
                <w:rFonts w:hint="eastAsia" w:ascii="宋体" w:hAnsi="宋体" w:eastAsia="宋体" w:cs="宋体"/>
                <w:color w:val="auto"/>
                <w:sz w:val="24"/>
                <w:szCs w:val="24"/>
                <w:u w:val="single"/>
                <w:vertAlign w:val="subscript"/>
              </w:rPr>
              <w:t>2</w:t>
            </w:r>
            <w:r>
              <w:rPr>
                <w:rFonts w:hint="eastAsia" w:ascii="宋体" w:hAnsi="宋体" w:eastAsia="宋体" w:cs="宋体"/>
                <w:color w:val="auto"/>
                <w:sz w:val="24"/>
                <w:szCs w:val="24"/>
                <w:u w:val="single"/>
                <w:vertAlign w:val="baseline"/>
                <w:lang w:val="en-US" w:eastAsia="zh-CN"/>
              </w:rPr>
              <w:t>=</w:t>
            </w:r>
            <w:r>
              <w:rPr>
                <w:rFonts w:hint="eastAsia" w:ascii="宋体" w:hAnsi="宋体" w:cs="宋体"/>
                <w:color w:val="auto"/>
                <w:sz w:val="24"/>
                <w:szCs w:val="24"/>
                <w:u w:val="single"/>
                <w:vertAlign w:val="baseline"/>
                <w:lang w:val="en-US" w:eastAsia="zh-CN"/>
              </w:rPr>
              <w:t>50</w:t>
            </w:r>
            <w:r>
              <w:rPr>
                <w:rFonts w:hint="eastAsia" w:ascii="宋体" w:hAnsi="宋体" w:eastAsia="宋体" w:cs="宋体"/>
                <w:color w:val="auto"/>
                <w:sz w:val="24"/>
                <w:szCs w:val="24"/>
                <w:u w:val="single"/>
              </w:rPr>
              <w:t>mg/m</w:t>
            </w:r>
            <w:r>
              <w:rPr>
                <w:rFonts w:hint="eastAsia" w:ascii="宋体" w:hAnsi="宋体" w:eastAsia="宋体" w:cs="宋体"/>
                <w:color w:val="auto"/>
                <w:sz w:val="24"/>
                <w:szCs w:val="24"/>
                <w:u w:val="single"/>
                <w:vertAlign w:val="superscript"/>
              </w:rPr>
              <w:t>3</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7580664</w:t>
            </w:r>
            <w:r>
              <w:rPr>
                <w:rFonts w:hint="eastAsia" w:ascii="宋体" w:hAnsi="宋体" w:eastAsia="宋体" w:cs="宋体"/>
                <w:color w:val="auto"/>
                <w:sz w:val="24"/>
                <w:szCs w:val="24"/>
                <w:u w:val="single"/>
                <w:lang w:val="en-US" w:eastAsia="zh-CN"/>
              </w:rPr>
              <w:t>m³=</w:t>
            </w:r>
            <w:r>
              <w:rPr>
                <w:rFonts w:hint="eastAsia" w:ascii="宋体" w:hAnsi="宋体" w:cs="宋体"/>
                <w:color w:val="auto"/>
                <w:sz w:val="24"/>
                <w:szCs w:val="24"/>
                <w:u w:val="single"/>
                <w:lang w:val="en-US" w:eastAsia="zh-CN"/>
              </w:rPr>
              <w:t>0.3790332</w:t>
            </w:r>
            <w:r>
              <w:rPr>
                <w:rFonts w:hint="eastAsia" w:ascii="宋体" w:hAnsi="宋体" w:eastAsia="宋体" w:cs="宋体"/>
                <w:color w:val="auto"/>
                <w:sz w:val="24"/>
                <w:szCs w:val="24"/>
                <w:u w:val="single"/>
                <w:lang w:val="en-US" w:eastAsia="zh-CN"/>
              </w:rPr>
              <w:t>t</w:t>
            </w:r>
          </w:p>
          <w:p w14:paraId="7F8718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color w:val="auto"/>
                <w:u w:val="single"/>
                <w:lang w:val="en-US" w:eastAsia="zh-CN"/>
              </w:rPr>
            </w:pPr>
            <w:r>
              <w:rPr>
                <w:rFonts w:hint="eastAsia" w:ascii="宋体" w:hAnsi="宋体" w:eastAsia="宋体" w:cs="宋体"/>
                <w:color w:val="auto"/>
                <w:sz w:val="24"/>
                <w:szCs w:val="24"/>
                <w:u w:val="single"/>
              </w:rPr>
              <w:t>NO</w:t>
            </w:r>
            <w:r>
              <w:rPr>
                <w:rFonts w:hint="eastAsia" w:ascii="宋体" w:hAnsi="宋体" w:eastAsia="宋体" w:cs="宋体"/>
                <w:color w:val="auto"/>
                <w:sz w:val="24"/>
                <w:szCs w:val="24"/>
                <w:u w:val="single"/>
                <w:vertAlign w:val="subscript"/>
              </w:rPr>
              <w:t>x</w:t>
            </w:r>
            <w:r>
              <w:rPr>
                <w:rFonts w:hint="eastAsia" w:ascii="宋体" w:hAnsi="宋体" w:eastAsia="宋体" w:cs="宋体"/>
                <w:color w:val="auto"/>
                <w:sz w:val="24"/>
                <w:szCs w:val="24"/>
                <w:u w:val="single"/>
                <w:vertAlign w:val="baseline"/>
                <w:lang w:val="en-US" w:eastAsia="zh-CN"/>
              </w:rPr>
              <w:t>=</w:t>
            </w:r>
            <w:r>
              <w:rPr>
                <w:rFonts w:hint="eastAsia" w:ascii="宋体" w:hAnsi="宋体" w:cs="宋体"/>
                <w:color w:val="auto"/>
                <w:sz w:val="24"/>
                <w:szCs w:val="24"/>
                <w:u w:val="single"/>
                <w:vertAlign w:val="baseline"/>
                <w:lang w:val="en-US" w:eastAsia="zh-CN"/>
              </w:rPr>
              <w:t>150</w:t>
            </w:r>
            <w:r>
              <w:rPr>
                <w:rFonts w:hint="eastAsia" w:ascii="宋体" w:hAnsi="宋体" w:eastAsia="宋体" w:cs="宋体"/>
                <w:color w:val="auto"/>
                <w:sz w:val="24"/>
                <w:szCs w:val="24"/>
                <w:u w:val="single"/>
              </w:rPr>
              <w:t>mg/m</w:t>
            </w:r>
            <w:r>
              <w:rPr>
                <w:rFonts w:hint="eastAsia" w:ascii="宋体" w:hAnsi="宋体" w:eastAsia="宋体" w:cs="宋体"/>
                <w:color w:val="auto"/>
                <w:sz w:val="24"/>
                <w:szCs w:val="24"/>
                <w:u w:val="single"/>
                <w:vertAlign w:val="superscript"/>
              </w:rPr>
              <w:t>3</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7580664</w:t>
            </w:r>
            <w:r>
              <w:rPr>
                <w:rFonts w:hint="eastAsia" w:ascii="宋体" w:hAnsi="宋体" w:eastAsia="宋体" w:cs="宋体"/>
                <w:color w:val="auto"/>
                <w:sz w:val="24"/>
                <w:szCs w:val="24"/>
                <w:u w:val="single"/>
                <w:lang w:val="en-US" w:eastAsia="zh-CN"/>
              </w:rPr>
              <w:t>m³=</w:t>
            </w:r>
            <w:r>
              <w:rPr>
                <w:rFonts w:hint="eastAsia" w:ascii="宋体" w:hAnsi="宋体" w:cs="宋体"/>
                <w:color w:val="auto"/>
                <w:sz w:val="24"/>
                <w:szCs w:val="24"/>
                <w:u w:val="single"/>
                <w:lang w:val="en-US" w:eastAsia="zh-CN"/>
              </w:rPr>
              <w:t>1.1370996</w:t>
            </w:r>
            <w:r>
              <w:rPr>
                <w:rFonts w:hint="eastAsia" w:ascii="宋体" w:hAnsi="宋体" w:eastAsia="宋体" w:cs="宋体"/>
                <w:color w:val="auto"/>
                <w:sz w:val="24"/>
                <w:szCs w:val="24"/>
                <w:u w:val="single"/>
                <w:lang w:val="en-US" w:eastAsia="zh-CN"/>
              </w:rPr>
              <w:t>t</w:t>
            </w:r>
          </w:p>
          <w:p w14:paraId="7CB29126">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项目污染物总量核算情况具体见下表。</w:t>
            </w:r>
          </w:p>
          <w:p w14:paraId="6208CB36">
            <w:pPr>
              <w:pStyle w:val="2"/>
              <w:keepNext w:val="0"/>
              <w:keepLines w:val="0"/>
              <w:pageBreakBefore w:val="0"/>
              <w:kinsoku/>
              <w:wordWrap/>
              <w:overflowPunct/>
              <w:topLinePunct w:val="0"/>
              <w:autoSpaceDE/>
              <w:autoSpaceDN/>
              <w:bidi w:val="0"/>
              <w:adjustRightInd/>
              <w:spacing w:before="0" w:beforeAutospacing="0" w:after="0" w:afterAutospacing="0" w:line="240" w:lineRule="auto"/>
              <w:ind w:left="0" w:leftChars="0" w:right="0"/>
              <w:jc w:val="center"/>
              <w:textAlignment w:val="auto"/>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lang w:val="en-US" w:eastAsia="zh-CN"/>
              </w:rPr>
              <w:t>表3-9 项目总量核算表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4"/>
              <w:gridCol w:w="1954"/>
              <w:gridCol w:w="1960"/>
            </w:tblGrid>
            <w:tr w14:paraId="29B9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41" w:type="pct"/>
                  <w:vMerge w:val="restart"/>
                  <w:vAlign w:val="center"/>
                </w:tcPr>
                <w:p w14:paraId="472B770F">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single"/>
                      <w:vertAlign w:val="baseline"/>
                      <w:lang w:val="en-US" w:eastAsia="zh-CN"/>
                    </w:rPr>
                    <w:t>总量指标</w:t>
                  </w:r>
                </w:p>
              </w:tc>
              <w:tc>
                <w:tcPr>
                  <w:tcW w:w="2358" w:type="pct"/>
                  <w:gridSpan w:val="2"/>
                  <w:vAlign w:val="center"/>
                </w:tcPr>
                <w:p w14:paraId="7DBE0FC8">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default"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single"/>
                      <w:vertAlign w:val="baseline"/>
                      <w:lang w:val="en-US" w:eastAsia="zh-CN"/>
                    </w:rPr>
                    <w:t>标准核算量</w:t>
                  </w:r>
                </w:p>
              </w:tc>
            </w:tr>
            <w:tr w14:paraId="4DA5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41" w:type="pct"/>
                  <w:vMerge w:val="continue"/>
                  <w:vAlign w:val="center"/>
                </w:tcPr>
                <w:p w14:paraId="6061AC54">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eastAsia" w:ascii="宋体" w:hAnsi="宋体" w:eastAsia="宋体" w:cs="宋体"/>
                      <w:color w:val="auto"/>
                      <w:sz w:val="21"/>
                      <w:szCs w:val="21"/>
                      <w:u w:val="single"/>
                      <w:vertAlign w:val="baseline"/>
                      <w:lang w:val="en-US" w:eastAsia="zh-CN"/>
                    </w:rPr>
                  </w:pPr>
                </w:p>
              </w:tc>
              <w:tc>
                <w:tcPr>
                  <w:tcW w:w="1177" w:type="pct"/>
                  <w:vAlign w:val="center"/>
                </w:tcPr>
                <w:p w14:paraId="437B053A">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single"/>
                      <w:vertAlign w:val="baseline"/>
                      <w:lang w:val="en-US" w:eastAsia="zh-CN"/>
                    </w:rPr>
                    <w:t>SO</w:t>
                  </w:r>
                  <w:r>
                    <w:rPr>
                      <w:rFonts w:hint="eastAsia" w:ascii="宋体" w:hAnsi="宋体" w:eastAsia="宋体" w:cs="宋体"/>
                      <w:color w:val="auto"/>
                      <w:sz w:val="21"/>
                      <w:szCs w:val="21"/>
                      <w:u w:val="single"/>
                      <w:vertAlign w:val="subscript"/>
                      <w:lang w:val="en-US" w:eastAsia="zh-CN"/>
                    </w:rPr>
                    <w:t>2</w:t>
                  </w:r>
                </w:p>
              </w:tc>
              <w:tc>
                <w:tcPr>
                  <w:tcW w:w="1181" w:type="pct"/>
                  <w:vAlign w:val="center"/>
                </w:tcPr>
                <w:p w14:paraId="4439B443">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single"/>
                      <w:vertAlign w:val="baseline"/>
                      <w:lang w:val="en-US" w:eastAsia="zh-CN"/>
                    </w:rPr>
                    <w:t>NOx</w:t>
                  </w:r>
                </w:p>
              </w:tc>
            </w:tr>
            <w:tr w14:paraId="4ED4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41" w:type="pct"/>
                  <w:vAlign w:val="center"/>
                </w:tcPr>
                <w:p w14:paraId="6F747EBC">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single"/>
                      <w:vertAlign w:val="baseline"/>
                      <w:lang w:val="en-US" w:eastAsia="zh-CN"/>
                    </w:rPr>
                    <w:t>生物质热风炉废气</w:t>
                  </w:r>
                </w:p>
              </w:tc>
              <w:tc>
                <w:tcPr>
                  <w:tcW w:w="1177" w:type="pct"/>
                  <w:vAlign w:val="center"/>
                </w:tcPr>
                <w:p w14:paraId="6EF8D341">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default"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single"/>
                      <w:vertAlign w:val="baseline"/>
                      <w:lang w:val="en-US" w:eastAsia="zh-CN"/>
                    </w:rPr>
                    <w:t>0.3790332</w:t>
                  </w:r>
                </w:p>
              </w:tc>
              <w:tc>
                <w:tcPr>
                  <w:tcW w:w="1181" w:type="pct"/>
                  <w:vAlign w:val="center"/>
                </w:tcPr>
                <w:p w14:paraId="2A9C5EC4">
                  <w:pPr>
                    <w:keepNext w:val="0"/>
                    <w:keepLines w:val="0"/>
                    <w:pageBreakBefore w:val="0"/>
                    <w:kinsoku/>
                    <w:wordWrap/>
                    <w:overflowPunct/>
                    <w:topLinePunct w:val="0"/>
                    <w:autoSpaceDE/>
                    <w:autoSpaceDN/>
                    <w:bidi w:val="0"/>
                    <w:adjustRightInd/>
                    <w:spacing w:beforeAutospacing="0" w:afterAutospacing="0" w:line="240" w:lineRule="auto"/>
                    <w:ind w:left="0" w:leftChars="0" w:right="0"/>
                    <w:jc w:val="center"/>
                    <w:textAlignment w:val="auto"/>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single"/>
                      <w:vertAlign w:val="baseline"/>
                      <w:lang w:val="en-US" w:eastAsia="zh-CN"/>
                    </w:rPr>
                    <w:t>1.1370996</w:t>
                  </w:r>
                </w:p>
              </w:tc>
            </w:tr>
          </w:tbl>
          <w:p w14:paraId="27726E81">
            <w:pPr>
              <w:bidi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根据</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lang w:val="en-US" w:eastAsia="zh-CN"/>
              </w:rPr>
              <w:t>湖南省主要污染物排污权有偿使用和交易管理办法</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lang w:val="en-US" w:eastAsia="zh-CN"/>
              </w:rPr>
              <w:t>湖南省主要污染物排污权有偿使用和交易实施细则》第二条，本细则适用于全省行政区域内排污权有偿使用和交易管理。</w:t>
            </w:r>
          </w:p>
          <w:p w14:paraId="3BB80C11">
            <w:pPr>
              <w:bidi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化学需氧量、氨氮、二氧化硫、氮氧化物、挥发性有机物、总磷、铅、隔、砷、汞、铬十一类污染物实施管理的范围为有效实施的国家固定污染源排污许可分类管理名录的工业类排污项目。</w:t>
            </w:r>
          </w:p>
          <w:p w14:paraId="3B13DE2E">
            <w:pPr>
              <w:bidi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本项目不是工业项目，不需要通过交易取得。</w:t>
            </w:r>
          </w:p>
          <w:p w14:paraId="6C8F4D06">
            <w:pPr>
              <w:bidi w:val="0"/>
              <w:spacing w:line="360" w:lineRule="auto"/>
              <w:ind w:firstLine="420" w:firstLineChars="200"/>
              <w:rPr>
                <w:rFonts w:hint="default"/>
                <w:color w:val="FF0000"/>
                <w:lang w:val="en-US" w:eastAsia="zh-CN"/>
              </w:rPr>
            </w:pPr>
          </w:p>
        </w:tc>
      </w:tr>
    </w:tbl>
    <w:p w14:paraId="3C1F2A5B">
      <w:pPr>
        <w:pStyle w:val="26"/>
        <w:jc w:val="center"/>
        <w:outlineLvl w:val="0"/>
        <w:rPr>
          <w:rFonts w:ascii="黑体" w:hAnsi="黑体" w:eastAsia="黑体"/>
          <w:snapToGrid w:val="0"/>
          <w:color w:val="auto"/>
          <w:sz w:val="30"/>
          <w:szCs w:val="30"/>
        </w:rPr>
      </w:pPr>
      <w:r>
        <w:rPr>
          <w:rFonts w:ascii="黑体" w:hAnsi="黑体" w:eastAsia="黑体"/>
          <w:snapToGrid w:val="0"/>
          <w:color w:val="FF0000"/>
          <w:sz w:val="36"/>
          <w:szCs w:val="36"/>
        </w:rPr>
        <w:br w:type="page"/>
      </w:r>
      <w:bookmarkStart w:id="11" w:name="_Toc7016"/>
      <w:bookmarkStart w:id="12" w:name="_Toc5479"/>
      <w:r>
        <w:rPr>
          <w:rFonts w:hint="eastAsia" w:ascii="Times New Roman" w:hAnsi="Times New Roman"/>
          <w:b/>
          <w:bCs/>
          <w:color w:val="auto"/>
          <w:kern w:val="2"/>
          <w:sz w:val="32"/>
          <w:szCs w:val="32"/>
        </w:rPr>
        <w:t>四、主要环境影响和保护措施</w:t>
      </w:r>
      <w:bookmarkEnd w:id="11"/>
      <w:bookmarkEnd w:id="12"/>
    </w:p>
    <w:tbl>
      <w:tblPr>
        <w:tblStyle w:val="2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4"/>
        <w:gridCol w:w="8707"/>
      </w:tblGrid>
      <w:tr w14:paraId="2B1E4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4" w:hRule="atLeast"/>
          <w:jc w:val="center"/>
        </w:trPr>
        <w:tc>
          <w:tcPr>
            <w:tcW w:w="599" w:type="dxa"/>
            <w:tcMar>
              <w:left w:w="28" w:type="dxa"/>
              <w:right w:w="28" w:type="dxa"/>
            </w:tcMar>
            <w:vAlign w:val="center"/>
          </w:tcPr>
          <w:p w14:paraId="20F7FF0E">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施工</w:t>
            </w:r>
          </w:p>
          <w:p w14:paraId="15CAE4FF">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期环</w:t>
            </w:r>
          </w:p>
          <w:p w14:paraId="0825C28A">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境影</w:t>
            </w:r>
          </w:p>
          <w:p w14:paraId="1B56C041">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响和</w:t>
            </w:r>
          </w:p>
          <w:p w14:paraId="43A55D4C">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保护</w:t>
            </w:r>
          </w:p>
          <w:p w14:paraId="6A24B889">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cs="宋体"/>
                <w:bCs/>
                <w:color w:val="FF0000"/>
                <w:szCs w:val="21"/>
              </w:rPr>
            </w:pPr>
            <w:r>
              <w:rPr>
                <w:rFonts w:hint="eastAsia" w:ascii="宋体" w:hAnsi="宋体" w:cs="宋体"/>
                <w:bCs/>
                <w:color w:val="auto"/>
                <w:sz w:val="24"/>
              </w:rPr>
              <w:t>措施</w:t>
            </w:r>
          </w:p>
        </w:tc>
        <w:tc>
          <w:tcPr>
            <w:tcW w:w="8382" w:type="dxa"/>
            <w:vAlign w:val="center"/>
          </w:tcPr>
          <w:p w14:paraId="100418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本项目施工期</w:t>
            </w:r>
            <w:r>
              <w:rPr>
                <w:rFonts w:hint="eastAsia" w:ascii="宋体" w:hAnsi="宋体" w:eastAsia="宋体" w:cs="宋体"/>
                <w:color w:val="auto"/>
                <w:sz w:val="24"/>
                <w:u w:val="none"/>
                <w:lang w:val="en-US" w:eastAsia="zh-CN"/>
              </w:rPr>
              <w:t>主要建设内容包括地面硬化、厂房搭建以及</w:t>
            </w:r>
            <w:r>
              <w:rPr>
                <w:rFonts w:hint="eastAsia" w:ascii="宋体" w:hAnsi="宋体" w:eastAsia="宋体" w:cs="宋体"/>
                <w:color w:val="auto"/>
                <w:sz w:val="24"/>
                <w:u w:val="none"/>
                <w:lang w:eastAsia="zh-CN"/>
              </w:rPr>
              <w:t>设备安装，不涉及地基施工，施工期产生的污染物较少，且属于暂时性，具体分析如下。</w:t>
            </w:r>
          </w:p>
          <w:p w14:paraId="10F471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val="en-US" w:eastAsia="zh-CN"/>
              </w:rPr>
              <w:t>1、</w:t>
            </w:r>
            <w:r>
              <w:rPr>
                <w:rFonts w:hint="eastAsia" w:ascii="宋体" w:hAnsi="宋体" w:eastAsia="宋体" w:cs="宋体"/>
                <w:color w:val="auto"/>
                <w:sz w:val="24"/>
                <w:u w:val="none"/>
                <w:lang w:eastAsia="zh-CN"/>
              </w:rPr>
              <w:t>废水污染物治理措施</w:t>
            </w:r>
          </w:p>
          <w:p w14:paraId="376ADE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施工期废水主要为施工人员产生的生活污水，工程建筑施工过程产生的施工废水。</w:t>
            </w:r>
          </w:p>
          <w:p w14:paraId="469DEB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1</w:t>
            </w:r>
            <w:r>
              <w:rPr>
                <w:rFonts w:hint="eastAsia" w:ascii="宋体" w:hAnsi="宋体" w:eastAsia="宋体" w:cs="宋体"/>
                <w:color w:val="auto"/>
                <w:sz w:val="24"/>
                <w:u w:val="none"/>
                <w:lang w:eastAsia="zh-CN"/>
              </w:rPr>
              <w:t>）生活污水</w:t>
            </w:r>
          </w:p>
          <w:p w14:paraId="0B7239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施工高峰期施工人员为15人，工人每天用水量约为50L/d，排污系数按0.85计，则生活污水产生量为 0.6375m</w:t>
            </w:r>
            <w:r>
              <w:rPr>
                <w:rFonts w:hint="eastAsia" w:ascii="宋体" w:hAnsi="宋体" w:eastAsia="宋体" w:cs="宋体"/>
                <w:color w:val="auto"/>
                <w:sz w:val="24"/>
                <w:u w:val="none"/>
                <w:vertAlign w:val="superscript"/>
                <w:lang w:eastAsia="zh-CN"/>
              </w:rPr>
              <w:t>3</w:t>
            </w:r>
            <w:r>
              <w:rPr>
                <w:rFonts w:hint="eastAsia" w:ascii="宋体" w:hAnsi="宋体" w:eastAsia="宋体" w:cs="宋体"/>
                <w:color w:val="auto"/>
                <w:sz w:val="24"/>
                <w:u w:val="none"/>
                <w:lang w:eastAsia="zh-CN"/>
              </w:rPr>
              <w:t>/d。本项目施工期生活污水依托周边居民化粪池进行处理，处理后用于农田施肥。</w:t>
            </w:r>
          </w:p>
          <w:p w14:paraId="031C4B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2</w:t>
            </w:r>
            <w:r>
              <w:rPr>
                <w:rFonts w:hint="eastAsia" w:ascii="宋体" w:hAnsi="宋体" w:eastAsia="宋体" w:cs="宋体"/>
                <w:color w:val="auto"/>
                <w:sz w:val="24"/>
                <w:u w:val="none"/>
                <w:lang w:eastAsia="zh-CN"/>
              </w:rPr>
              <w:t>）施工废水</w:t>
            </w:r>
          </w:p>
          <w:p w14:paraId="02D4E0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施工废水主要来源于施工机械的清洗废水，该部分废水中的主要污染物为 SS，建设单位在建筑施工现场修建临时废水储存池，对施工废水进行沉淀处理后用于厂区洒水，不外排。</w:t>
            </w:r>
          </w:p>
          <w:p w14:paraId="48655D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val="en-US" w:eastAsia="zh-CN"/>
              </w:rPr>
              <w:t>2、</w:t>
            </w:r>
            <w:r>
              <w:rPr>
                <w:rFonts w:hint="eastAsia" w:ascii="宋体" w:hAnsi="宋体" w:eastAsia="宋体" w:cs="宋体"/>
                <w:color w:val="auto"/>
                <w:sz w:val="24"/>
                <w:u w:val="none"/>
                <w:lang w:eastAsia="zh-CN"/>
              </w:rPr>
              <w:t>大气污染物治理措施</w:t>
            </w:r>
          </w:p>
          <w:p w14:paraId="374910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1</w:t>
            </w:r>
            <w:r>
              <w:rPr>
                <w:rFonts w:hint="eastAsia" w:ascii="宋体" w:hAnsi="宋体" w:eastAsia="宋体" w:cs="宋体"/>
                <w:color w:val="auto"/>
                <w:sz w:val="24"/>
                <w:u w:val="none"/>
                <w:lang w:eastAsia="zh-CN"/>
              </w:rPr>
              <w:t>）施工扬尘</w:t>
            </w:r>
          </w:p>
          <w:p w14:paraId="6F50F4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施工粉尘主要来源于地面扬尘。经类比分析，施工扬尘浓度平均值约为3.5mg/m</w:t>
            </w:r>
            <w:r>
              <w:rPr>
                <w:rFonts w:hint="eastAsia" w:ascii="宋体" w:hAnsi="宋体" w:eastAsia="宋体" w:cs="宋体"/>
                <w:color w:val="auto"/>
                <w:sz w:val="24"/>
                <w:u w:val="none"/>
                <w:vertAlign w:val="superscript"/>
                <w:lang w:eastAsia="zh-CN"/>
              </w:rPr>
              <w:t>3</w:t>
            </w:r>
            <w:r>
              <w:rPr>
                <w:rFonts w:hint="eastAsia" w:ascii="宋体" w:hAnsi="宋体" w:eastAsia="宋体" w:cs="宋体"/>
                <w:color w:val="auto"/>
                <w:sz w:val="24"/>
                <w:u w:val="none"/>
                <w:lang w:eastAsia="zh-CN"/>
              </w:rPr>
              <w:t>。因此，在施工过程中，施工单位必须严格依照扬尘防护规定进行施工，尽量减少扬尘对环境的影响程度，使周界外浓度低于1mg/m</w:t>
            </w:r>
            <w:r>
              <w:rPr>
                <w:rFonts w:hint="eastAsia" w:ascii="宋体" w:hAnsi="宋体" w:eastAsia="宋体" w:cs="宋体"/>
                <w:color w:val="auto"/>
                <w:sz w:val="24"/>
                <w:u w:val="none"/>
                <w:vertAlign w:val="superscript"/>
                <w:lang w:eastAsia="zh-CN"/>
              </w:rPr>
              <w:t>3</w:t>
            </w:r>
            <w:r>
              <w:rPr>
                <w:rFonts w:hint="eastAsia" w:ascii="宋体" w:hAnsi="宋体" w:eastAsia="宋体" w:cs="宋体"/>
                <w:color w:val="auto"/>
                <w:sz w:val="24"/>
                <w:u w:val="none"/>
                <w:lang w:eastAsia="zh-CN"/>
              </w:rPr>
              <w:t>。施工期间要求施工单位采取以下措施：</w:t>
            </w:r>
          </w:p>
          <w:p w14:paraId="0DA1B5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①封闭施工现场，采用密目防尘网，以减少粉尘飞扬现象，降低粉尘向大气中排放。</w:t>
            </w:r>
          </w:p>
          <w:p w14:paraId="7E4C10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②文明施工，定期对地面洒水，降低扬尘产生量，并对洒落地面的渣土及时清除。</w:t>
            </w:r>
          </w:p>
          <w:p w14:paraId="187A5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③进出的施工车辆进行限速行驶，减少扬尘产生，同时施工现场主要运输道路尽量采取硬化路面并进行洒水抑尘。</w:t>
            </w:r>
          </w:p>
          <w:p w14:paraId="1911E9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2</w:t>
            </w:r>
            <w:r>
              <w:rPr>
                <w:rFonts w:hint="eastAsia" w:ascii="宋体" w:hAnsi="宋体" w:eastAsia="宋体" w:cs="宋体"/>
                <w:color w:val="auto"/>
                <w:sz w:val="24"/>
                <w:u w:val="none"/>
                <w:lang w:eastAsia="zh-CN"/>
              </w:rPr>
              <w:t>）施工机械废气</w:t>
            </w:r>
          </w:p>
          <w:p w14:paraId="26F3C0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施工期间，使用机动车运送原材料、设备和建筑机械设备的运转，均会排放一定量的CO、NO</w:t>
            </w:r>
            <w:r>
              <w:rPr>
                <w:rFonts w:hint="eastAsia" w:ascii="宋体" w:hAnsi="宋体" w:eastAsia="宋体" w:cs="宋体"/>
                <w:color w:val="auto"/>
                <w:sz w:val="24"/>
                <w:u w:val="none"/>
                <w:vertAlign w:val="subscript"/>
                <w:lang w:eastAsia="zh-CN"/>
              </w:rPr>
              <w:t>X</w:t>
            </w:r>
            <w:r>
              <w:rPr>
                <w:rFonts w:hint="eastAsia" w:ascii="宋体" w:hAnsi="宋体" w:eastAsia="宋体" w:cs="宋体"/>
                <w:color w:val="auto"/>
                <w:sz w:val="24"/>
                <w:u w:val="none"/>
                <w:lang w:eastAsia="zh-CN"/>
              </w:rPr>
              <w:t>和未完全燃烧的THC。但是，其排放量小，且为间断性排放，加之施工场地开阔，扩散条件好，因此对其不加处理也可达到相应的排放标准。在施工期间应多加注意施工设备的维护，使其能够正常的运行。</w:t>
            </w:r>
          </w:p>
          <w:p w14:paraId="634176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val="en-US" w:eastAsia="zh-CN"/>
              </w:rPr>
              <w:t>3、</w:t>
            </w:r>
            <w:r>
              <w:rPr>
                <w:rFonts w:hint="eastAsia" w:ascii="宋体" w:hAnsi="宋体" w:eastAsia="宋体" w:cs="宋体"/>
                <w:color w:val="auto"/>
                <w:sz w:val="24"/>
                <w:u w:val="none"/>
                <w:lang w:eastAsia="zh-CN"/>
              </w:rPr>
              <w:t>噪声治理措施</w:t>
            </w:r>
          </w:p>
          <w:p w14:paraId="063C30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本项目施工期噪声主要来源于施工现场的各类机械设备噪声。施工期主要的固定噪声源为混凝土搅拌机、振捣机、电钻等。针对施工期间产生的噪声，本环评要求施工单位加强管理，采取下列噪声控制措施：</w:t>
            </w:r>
          </w:p>
          <w:p w14:paraId="5EEBA3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①选用低噪声设备，并采取有效的隔声减振措施；</w:t>
            </w:r>
          </w:p>
          <w:p w14:paraId="04F79B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②合理设计施工平面布置，钢筋加工设在工棚内；</w:t>
            </w:r>
          </w:p>
          <w:p w14:paraId="53CEB9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③文明施工，装卸、搬运钢管、模板等严禁抛掷；</w:t>
            </w:r>
          </w:p>
          <w:p w14:paraId="74F356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④施工单位应合理安排施工时间，将强噪声作业尽量安排在白天进行。</w:t>
            </w:r>
          </w:p>
          <w:p w14:paraId="7ADA05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val="en-US" w:eastAsia="zh-CN"/>
              </w:rPr>
              <w:t>4、</w:t>
            </w:r>
            <w:r>
              <w:rPr>
                <w:rFonts w:hint="eastAsia" w:ascii="宋体" w:hAnsi="宋体" w:eastAsia="宋体" w:cs="宋体"/>
                <w:color w:val="auto"/>
                <w:sz w:val="24"/>
                <w:u w:val="none"/>
                <w:lang w:eastAsia="zh-CN"/>
              </w:rPr>
              <w:t>施工期固废治理措施</w:t>
            </w:r>
          </w:p>
          <w:p w14:paraId="5E65E5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施工期固体废物主要为建筑垃圾、装修垃圾、施工人员生活垃圾。</w:t>
            </w:r>
          </w:p>
          <w:p w14:paraId="19583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1</w:t>
            </w:r>
            <w:r>
              <w:rPr>
                <w:rFonts w:hint="eastAsia" w:ascii="宋体" w:hAnsi="宋体" w:eastAsia="宋体" w:cs="宋体"/>
                <w:color w:val="auto"/>
                <w:sz w:val="24"/>
                <w:u w:val="none"/>
                <w:lang w:eastAsia="zh-CN"/>
              </w:rPr>
              <w:t>）建筑垃圾</w:t>
            </w:r>
          </w:p>
          <w:p w14:paraId="73A264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施工期建筑垃圾（如水泥袋、铁质弃料、木材弃料等）产生量约为</w:t>
            </w:r>
            <w:r>
              <w:rPr>
                <w:rFonts w:hint="eastAsia" w:ascii="宋体" w:hAnsi="宋体" w:eastAsia="宋体" w:cs="宋体"/>
                <w:color w:val="auto"/>
                <w:sz w:val="24"/>
                <w:u w:val="none"/>
                <w:lang w:val="en-US" w:eastAsia="zh-CN"/>
              </w:rPr>
              <w:t>3</w:t>
            </w:r>
            <w:r>
              <w:rPr>
                <w:rFonts w:hint="eastAsia" w:ascii="宋体" w:hAnsi="宋体" w:eastAsia="宋体" w:cs="宋体"/>
                <w:color w:val="auto"/>
                <w:sz w:val="24"/>
                <w:u w:val="none"/>
                <w:lang w:eastAsia="zh-CN"/>
              </w:rPr>
              <w:t>t。施工现场设置建筑废弃物临时堆场，并进行防雨、防泄漏处理。对钢筋、钢板、木材等下角料可分类回收，交废物收购站回收处理；不能回收的建筑垃圾收集后定期清运到指定垃圾场，避免影响环境。</w:t>
            </w:r>
          </w:p>
          <w:p w14:paraId="21C560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2</w:t>
            </w:r>
            <w:r>
              <w:rPr>
                <w:rFonts w:hint="eastAsia" w:ascii="宋体" w:hAnsi="宋体" w:eastAsia="宋体" w:cs="宋体"/>
                <w:color w:val="auto"/>
                <w:sz w:val="24"/>
                <w:u w:val="none"/>
                <w:lang w:eastAsia="zh-CN"/>
              </w:rPr>
              <w:t>）装修垃圾</w:t>
            </w:r>
          </w:p>
          <w:p w14:paraId="15CFAC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施工期装修垃圾产生量约为</w:t>
            </w:r>
            <w:r>
              <w:rPr>
                <w:rFonts w:hint="eastAsia" w:ascii="宋体" w:hAnsi="宋体" w:eastAsia="宋体" w:cs="宋体"/>
                <w:color w:val="auto"/>
                <w:sz w:val="24"/>
                <w:u w:val="none"/>
                <w:lang w:val="en-US" w:eastAsia="zh-CN"/>
              </w:rPr>
              <w:t>2.5</w:t>
            </w:r>
            <w:r>
              <w:rPr>
                <w:rFonts w:hint="eastAsia" w:ascii="宋体" w:hAnsi="宋体" w:eastAsia="宋体" w:cs="宋体"/>
                <w:color w:val="auto"/>
                <w:sz w:val="24"/>
                <w:u w:val="none"/>
                <w:lang w:eastAsia="zh-CN"/>
              </w:rPr>
              <w:t>t，装修垃圾主要为废砖头、砂、水泥基木屑等，会产生扬尘，因此不能随意倾倒，应采用编织袋包装后放至指定地点，并统一清运到指定建筑垃圾场处理。</w:t>
            </w:r>
          </w:p>
          <w:p w14:paraId="215A24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3</w:t>
            </w:r>
            <w:r>
              <w:rPr>
                <w:rFonts w:hint="eastAsia" w:ascii="宋体" w:hAnsi="宋体" w:eastAsia="宋体" w:cs="宋体"/>
                <w:color w:val="auto"/>
                <w:sz w:val="24"/>
                <w:u w:val="none"/>
                <w:lang w:eastAsia="zh-CN"/>
              </w:rPr>
              <w:t>）生活垃圾</w:t>
            </w:r>
          </w:p>
          <w:p w14:paraId="35D983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施工期间，生活垃圾产生量按照15人，0.5kg/人</w:t>
            </w:r>
            <w:r>
              <w:rPr>
                <w:rFonts w:hint="eastAsia" w:ascii="宋体" w:hAnsi="宋体" w:eastAsia="宋体" w:cs="宋体"/>
                <w:color w:val="auto"/>
                <w:sz w:val="24"/>
                <w:u w:val="none"/>
                <w:lang w:val="en-US" w:eastAsia="zh-CN"/>
              </w:rPr>
              <w:t>/天</w:t>
            </w:r>
            <w:r>
              <w:rPr>
                <w:rFonts w:hint="eastAsia" w:ascii="宋体" w:hAnsi="宋体" w:eastAsia="宋体" w:cs="宋体"/>
                <w:color w:val="auto"/>
                <w:sz w:val="24"/>
                <w:u w:val="none"/>
                <w:lang w:eastAsia="zh-CN"/>
              </w:rPr>
              <w:t>计算，生活垃圾产生量为7.5kg/d。施工人员每日产生的生活垃圾应经垃圾桶收集后，由环卫部门统一运送至垃圾填埋场集中处理。</w:t>
            </w:r>
          </w:p>
          <w:p w14:paraId="3C429E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综上所述，项目施工期在严格落实本次环评提出的上述措施后，其施工的固体废物可实现清洁处理和处置，不会造成二次污染。</w:t>
            </w:r>
          </w:p>
          <w:p w14:paraId="2F5EA0BB">
            <w:pPr>
              <w:keepNext w:val="0"/>
              <w:keepLines w:val="0"/>
              <w:widowControl/>
              <w:suppressLineNumbers w:val="0"/>
              <w:ind w:firstLine="380" w:firstLineChars="200"/>
              <w:jc w:val="left"/>
              <w:rPr>
                <w:rFonts w:hint="eastAsia" w:ascii="宋体" w:hAnsi="宋体" w:eastAsia="宋体" w:cs="宋体"/>
                <w:bCs/>
                <w:color w:val="FF0000"/>
                <w:spacing w:val="-10"/>
                <w:szCs w:val="21"/>
                <w:lang w:eastAsia="zh-CN"/>
              </w:rPr>
            </w:pPr>
          </w:p>
        </w:tc>
      </w:tr>
      <w:tr w14:paraId="76565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2" w:hRule="atLeast"/>
          <w:jc w:val="center"/>
        </w:trPr>
        <w:tc>
          <w:tcPr>
            <w:tcW w:w="599" w:type="dxa"/>
            <w:vMerge w:val="restart"/>
            <w:tcMar>
              <w:left w:w="28" w:type="dxa"/>
              <w:right w:w="28" w:type="dxa"/>
            </w:tcMar>
            <w:vAlign w:val="center"/>
          </w:tcPr>
          <w:p w14:paraId="398E9427">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运营</w:t>
            </w:r>
          </w:p>
          <w:p w14:paraId="68239D9C">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期环</w:t>
            </w:r>
          </w:p>
          <w:p w14:paraId="3B6BDA82">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境影</w:t>
            </w:r>
          </w:p>
          <w:p w14:paraId="12050AE1">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响和</w:t>
            </w:r>
          </w:p>
          <w:p w14:paraId="2B494034">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auto"/>
                <w:sz w:val="24"/>
              </w:rPr>
            </w:pPr>
            <w:r>
              <w:rPr>
                <w:rFonts w:hint="eastAsia" w:ascii="宋体" w:hAnsi="宋体" w:cs="宋体"/>
                <w:bCs/>
                <w:color w:val="auto"/>
                <w:sz w:val="24"/>
              </w:rPr>
              <w:t>保护</w:t>
            </w:r>
          </w:p>
          <w:p w14:paraId="02D76E13">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宋体" w:hAnsi="宋体" w:cs="宋体"/>
                <w:bCs/>
                <w:color w:val="FF0000"/>
                <w:sz w:val="24"/>
              </w:rPr>
            </w:pPr>
            <w:r>
              <w:rPr>
                <w:rFonts w:hint="eastAsia" w:ascii="宋体" w:hAnsi="宋体" w:cs="宋体"/>
                <w:bCs/>
                <w:color w:val="auto"/>
                <w:sz w:val="24"/>
              </w:rPr>
              <w:t>措施</w:t>
            </w:r>
          </w:p>
        </w:tc>
        <w:tc>
          <w:tcPr>
            <w:tcW w:w="8382" w:type="dxa"/>
            <w:vAlign w:val="center"/>
          </w:tcPr>
          <w:p w14:paraId="1829AA35">
            <w:pPr>
              <w:autoSpaceDE w:val="0"/>
              <w:autoSpaceDN w:val="0"/>
              <w:adjustRightInd w:val="0"/>
              <w:snapToGrid w:val="0"/>
              <w:spacing w:line="360" w:lineRule="auto"/>
              <w:jc w:val="left"/>
              <w:rPr>
                <w:b/>
                <w:bCs/>
                <w:color w:val="auto"/>
                <w:kern w:val="0"/>
                <w:sz w:val="24"/>
              </w:rPr>
            </w:pPr>
            <w:r>
              <w:rPr>
                <w:rFonts w:hint="eastAsia"/>
                <w:b/>
                <w:bCs/>
                <w:color w:val="auto"/>
                <w:sz w:val="24"/>
              </w:rPr>
              <w:t>（一）</w:t>
            </w:r>
            <w:r>
              <w:rPr>
                <w:rFonts w:hint="eastAsia"/>
                <w:b/>
                <w:bCs/>
                <w:color w:val="auto"/>
                <w:kern w:val="0"/>
                <w:sz w:val="24"/>
              </w:rPr>
              <w:t>废气</w:t>
            </w:r>
          </w:p>
          <w:p w14:paraId="31D81638">
            <w:pPr>
              <w:bidi w:val="0"/>
              <w:spacing w:line="360" w:lineRule="auto"/>
              <w:ind w:firstLine="480" w:firstLineChars="200"/>
              <w:rPr>
                <w:rFonts w:hint="eastAsia" w:ascii="宋体" w:hAnsi="宋体" w:eastAsia="宋体" w:cs="宋体"/>
                <w:color w:val="auto"/>
                <w:sz w:val="24"/>
                <w:szCs w:val="24"/>
                <w:lang w:eastAsia="zh-CN"/>
              </w:rPr>
            </w:pPr>
            <w:r>
              <w:rPr>
                <w:rFonts w:hint="default"/>
                <w:color w:val="auto"/>
                <w:sz w:val="24"/>
                <w:szCs w:val="24"/>
                <w:lang w:eastAsia="zh-CN"/>
              </w:rPr>
              <w:t>本项目预处理工序产生的废气主要为卸</w:t>
            </w:r>
            <w:r>
              <w:rPr>
                <w:rFonts w:hint="eastAsia"/>
                <w:color w:val="auto"/>
                <w:sz w:val="24"/>
                <w:szCs w:val="24"/>
                <w:lang w:val="en-US" w:eastAsia="zh-CN"/>
              </w:rPr>
              <w:t>量</w:t>
            </w:r>
            <w:r>
              <w:rPr>
                <w:rFonts w:hint="default"/>
                <w:color w:val="auto"/>
                <w:sz w:val="24"/>
                <w:szCs w:val="24"/>
                <w:lang w:eastAsia="zh-CN"/>
              </w:rPr>
              <w:t>粉尘、</w:t>
            </w:r>
            <w:r>
              <w:rPr>
                <w:rFonts w:hint="eastAsia"/>
                <w:color w:val="auto"/>
                <w:sz w:val="24"/>
                <w:szCs w:val="24"/>
                <w:lang w:val="en-US" w:eastAsia="zh-CN"/>
              </w:rPr>
              <w:t>筛分粉尘、</w:t>
            </w:r>
            <w:r>
              <w:rPr>
                <w:rFonts w:hint="default"/>
                <w:color w:val="auto"/>
                <w:sz w:val="24"/>
                <w:szCs w:val="24"/>
                <w:lang w:eastAsia="zh-CN"/>
              </w:rPr>
              <w:t>烘干粉尘、</w:t>
            </w:r>
            <w:r>
              <w:rPr>
                <w:rFonts w:hint="eastAsia"/>
                <w:color w:val="auto"/>
                <w:sz w:val="24"/>
                <w:szCs w:val="24"/>
                <w:lang w:val="en-US" w:eastAsia="zh-CN"/>
              </w:rPr>
              <w:t>出渣粉尘、</w:t>
            </w:r>
            <w:r>
              <w:rPr>
                <w:rFonts w:hint="default"/>
                <w:color w:val="auto"/>
                <w:sz w:val="24"/>
                <w:szCs w:val="24"/>
                <w:lang w:eastAsia="zh-CN"/>
              </w:rPr>
              <w:t>热风</w:t>
            </w:r>
            <w:r>
              <w:rPr>
                <w:rFonts w:hint="eastAsia" w:ascii="宋体" w:hAnsi="宋体" w:eastAsia="宋体" w:cs="宋体"/>
                <w:color w:val="auto"/>
                <w:sz w:val="24"/>
                <w:szCs w:val="24"/>
                <w:lang w:eastAsia="zh-CN"/>
              </w:rPr>
              <w:t>炉废气。</w:t>
            </w:r>
          </w:p>
          <w:p w14:paraId="3A4A5D9B">
            <w:pPr>
              <w:pStyle w:val="83"/>
              <w:spacing w:before="77" w:line="360" w:lineRule="auto"/>
              <w:ind w:left="588"/>
              <w:rPr>
                <w:rFonts w:hint="eastAsia" w:ascii="宋体" w:hAnsi="宋体" w:eastAsia="宋体" w:cs="宋体"/>
                <w:b/>
                <w:color w:val="auto"/>
                <w:sz w:val="24"/>
                <w:lang w:eastAsia="zh-CN"/>
              </w:rPr>
            </w:pPr>
            <w:r>
              <w:rPr>
                <w:rFonts w:hint="eastAsia" w:ascii="宋体" w:hAnsi="宋体" w:eastAsia="宋体" w:cs="宋体"/>
                <w:b/>
                <w:color w:val="auto"/>
                <w:sz w:val="24"/>
              </w:rPr>
              <w:t>（1）卸料</w:t>
            </w:r>
            <w:r>
              <w:rPr>
                <w:rFonts w:hint="eastAsia" w:ascii="宋体" w:hAnsi="宋体" w:eastAsia="宋体" w:cs="宋体"/>
                <w:b/>
                <w:color w:val="auto"/>
                <w:sz w:val="24"/>
                <w:lang w:val="en-US" w:eastAsia="zh-CN"/>
              </w:rPr>
              <w:t>粉尘</w:t>
            </w:r>
          </w:p>
          <w:p w14:paraId="7CDFABB0">
            <w:pPr>
              <w:pStyle w:val="83"/>
              <w:numPr>
                <w:ilvl w:val="0"/>
                <w:numId w:val="0"/>
              </w:numPr>
              <w:spacing w:before="77" w:line="360" w:lineRule="auto"/>
              <w:ind w:left="630" w:leftChars="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项目原料卸料起尘采用清华大学装卸起尘公式进行计算。</w:t>
            </w:r>
          </w:p>
          <w:p w14:paraId="04716955">
            <w:pPr>
              <w:pStyle w:val="8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4"/>
                <w:szCs w:val="24"/>
                <w:vertAlign w:val="superscript"/>
                <w:lang w:val="en-US" w:eastAsia="zh-CN" w:bidi="ar-SA"/>
              </w:rPr>
            </w:pPr>
            <w:r>
              <w:rPr>
                <w:rFonts w:hint="eastAsia" w:ascii="宋体" w:hAnsi="宋体" w:eastAsia="宋体" w:cs="宋体"/>
                <w:color w:val="auto"/>
                <w:kern w:val="2"/>
                <w:sz w:val="24"/>
                <w:szCs w:val="24"/>
                <w:lang w:val="en-US" w:eastAsia="zh-CN" w:bidi="ar-SA"/>
              </w:rPr>
              <w:t>Q=M·e</w:t>
            </w:r>
            <w:r>
              <w:rPr>
                <w:rFonts w:hint="eastAsia" w:ascii="宋体" w:hAnsi="宋体" w:eastAsia="宋体" w:cs="宋体"/>
                <w:color w:val="auto"/>
                <w:kern w:val="2"/>
                <w:sz w:val="24"/>
                <w:szCs w:val="24"/>
                <w:vertAlign w:val="superscript"/>
                <w:lang w:val="en-US" w:eastAsia="zh-CN" w:bidi="ar-SA"/>
              </w:rPr>
              <w:t>0.64U</w:t>
            </w:r>
            <w:r>
              <w:rPr>
                <w:rFonts w:hint="eastAsia" w:ascii="宋体" w:hAnsi="宋体" w:eastAsia="宋体" w:cs="宋体"/>
                <w:color w:val="auto"/>
                <w:kern w:val="2"/>
                <w:sz w:val="24"/>
                <w:szCs w:val="24"/>
                <w:lang w:val="en-US" w:eastAsia="zh-CN" w:bidi="ar-SA"/>
              </w:rPr>
              <w:t>·e</w:t>
            </w:r>
            <w:r>
              <w:rPr>
                <w:rFonts w:hint="eastAsia" w:ascii="宋体" w:hAnsi="宋体" w:eastAsia="宋体" w:cs="宋体"/>
                <w:color w:val="auto"/>
                <w:kern w:val="2"/>
                <w:sz w:val="24"/>
                <w:szCs w:val="24"/>
                <w:vertAlign w:val="superscript"/>
                <w:lang w:val="en-US" w:eastAsia="zh-CN" w:bidi="ar-SA"/>
              </w:rPr>
              <w:t>-0.27w</w:t>
            </w:r>
            <w:r>
              <w:rPr>
                <w:rFonts w:hint="eastAsia" w:ascii="宋体" w:hAnsi="宋体" w:eastAsia="宋体" w:cs="宋体"/>
                <w:color w:val="auto"/>
                <w:kern w:val="2"/>
                <w:sz w:val="24"/>
                <w:szCs w:val="24"/>
                <w:lang w:val="en-US" w:eastAsia="zh-CN" w:bidi="ar-SA"/>
              </w:rPr>
              <w:t>·H</w:t>
            </w:r>
            <w:r>
              <w:rPr>
                <w:rFonts w:hint="eastAsia" w:ascii="宋体" w:hAnsi="宋体" w:eastAsia="宋体" w:cs="宋体"/>
                <w:color w:val="auto"/>
                <w:kern w:val="2"/>
                <w:sz w:val="24"/>
                <w:szCs w:val="24"/>
                <w:vertAlign w:val="superscript"/>
                <w:lang w:val="en-US" w:eastAsia="zh-CN" w:bidi="ar-SA"/>
              </w:rPr>
              <w:t>1.283</w:t>
            </w:r>
          </w:p>
          <w:p w14:paraId="2D65D32F">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式中：Q-装卸扬尘，g/次；</w:t>
            </w:r>
          </w:p>
          <w:p w14:paraId="5AC12072">
            <w:pPr>
              <w:bidi w:val="0"/>
              <w:spacing w:line="360" w:lineRule="auto"/>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U-风速，m/s（评价选取U=1.0m/s，（车间内））</w:t>
            </w:r>
          </w:p>
          <w:p w14:paraId="75872A2B">
            <w:pPr>
              <w:bidi w:val="0"/>
              <w:spacing w:line="360" w:lineRule="auto"/>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W-物料湿度，取34%；</w:t>
            </w:r>
          </w:p>
          <w:p w14:paraId="1050C5EE">
            <w:pPr>
              <w:bidi w:val="0"/>
              <w:spacing w:line="360" w:lineRule="auto"/>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M-车辆吨位；</w:t>
            </w:r>
          </w:p>
          <w:p w14:paraId="6B848DBD">
            <w:pPr>
              <w:bidi w:val="0"/>
              <w:spacing w:line="360" w:lineRule="auto"/>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H-装卸高度，1.5m。</w:t>
            </w:r>
          </w:p>
          <w:p w14:paraId="244916E9">
            <w:pPr>
              <w:pStyle w:val="3"/>
              <w:keepNext/>
              <w:keepLines w:val="0"/>
              <w:pageBreakBefore w:val="0"/>
              <w:widowControl w:val="0"/>
              <w:kinsoku/>
              <w:wordWrap/>
              <w:overflowPunct w:val="0"/>
              <w:topLinePunct w:val="0"/>
              <w:autoSpaceDE/>
              <w:autoSpaceDN/>
              <w:bidi w:val="0"/>
              <w:adjustRightInd/>
              <w:snapToGrid w:val="0"/>
              <w:spacing w:before="0" w:after="0" w:line="360" w:lineRule="auto"/>
              <w:ind w:left="0" w:firstLine="480" w:firstLineChars="200"/>
              <w:textAlignment w:val="auto"/>
              <w:rPr>
                <w:rFonts w:hint="default" w:ascii="Times New Roman" w:hAnsi="Times New Roman" w:cs="Times New Roman"/>
                <w:color w:val="auto"/>
                <w:sz w:val="24"/>
                <w:lang w:eastAsia="zh-CN"/>
              </w:rPr>
            </w:pPr>
            <w:r>
              <w:rPr>
                <w:rFonts w:hint="eastAsia" w:ascii="宋体" w:hAnsi="宋体" w:eastAsia="宋体" w:cs="宋体"/>
                <w:b w:val="0"/>
                <w:bCs w:val="0"/>
                <w:color w:val="auto"/>
                <w:kern w:val="2"/>
                <w:sz w:val="24"/>
                <w:szCs w:val="24"/>
                <w:lang w:val="en-US" w:eastAsia="zh-CN" w:bidi="ar-SA"/>
              </w:rPr>
              <w:t>根据设计的生产规模，本项目装卸量为4500t/a，每年车辆运输次数约为2300次，经计算，项目产品装卸扬尘量约为6.47g/次，0.0149t/a，无组织排放。</w:t>
            </w:r>
          </w:p>
          <w:p w14:paraId="6EDC6556">
            <w:pPr>
              <w:pStyle w:val="83"/>
              <w:numPr>
                <w:ilvl w:val="0"/>
                <w:numId w:val="6"/>
              </w:numPr>
              <w:spacing w:before="77" w:line="360" w:lineRule="auto"/>
              <w:ind w:left="630" w:leftChars="0" w:firstLineChars="0"/>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筛分粉尘</w:t>
            </w:r>
          </w:p>
          <w:p w14:paraId="323702D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lang w:val="en-US" w:eastAsia="zh-CN"/>
              </w:rPr>
            </w:pPr>
            <w:r>
              <w:rPr>
                <w:rFonts w:hint="eastAsia" w:ascii="宋体" w:hAnsi="宋体" w:eastAsia="宋体" w:cs="宋体"/>
                <w:b w:val="0"/>
                <w:bCs w:val="0"/>
                <w:color w:val="auto"/>
                <w:kern w:val="2"/>
                <w:sz w:val="24"/>
                <w:szCs w:val="24"/>
                <w:lang w:val="en-US" w:eastAsia="zh-CN" w:bidi="ar-SA"/>
              </w:rPr>
              <w:t>卸料后物料通过提升机输送至清理筛，类比同类型项目，稻谷原粮中杂质一般为总重的</w:t>
            </w:r>
            <w:r>
              <w:rPr>
                <w:rFonts w:hint="default" w:ascii="宋体" w:hAnsi="宋体" w:eastAsia="宋体" w:cs="宋体"/>
                <w:b w:val="0"/>
                <w:bCs w:val="0"/>
                <w:color w:val="auto"/>
                <w:kern w:val="2"/>
                <w:sz w:val="24"/>
                <w:szCs w:val="24"/>
                <w:lang w:val="en-US" w:eastAsia="zh-CN" w:bidi="ar-SA"/>
              </w:rPr>
              <w:t>0.2%</w:t>
            </w:r>
            <w:r>
              <w:rPr>
                <w:rFonts w:hint="eastAsia" w:ascii="宋体" w:hAnsi="宋体" w:eastAsia="宋体" w:cs="宋体"/>
                <w:b w:val="0"/>
                <w:bCs w:val="0"/>
                <w:color w:val="auto"/>
                <w:kern w:val="2"/>
                <w:sz w:val="24"/>
                <w:szCs w:val="24"/>
                <w:lang w:val="en-US" w:eastAsia="zh-CN" w:bidi="ar-SA"/>
              </w:rPr>
              <w:t>，则生产中粉尘产生总量为</w:t>
            </w:r>
            <w:r>
              <w:rPr>
                <w:rFonts w:hint="eastAsia" w:ascii="宋体" w:hAnsi="宋体" w:cs="宋体"/>
                <w:b w:val="0"/>
                <w:bCs w:val="0"/>
                <w:color w:val="auto"/>
                <w:kern w:val="2"/>
                <w:sz w:val="24"/>
                <w:szCs w:val="24"/>
                <w:lang w:val="en-US" w:eastAsia="zh-CN" w:bidi="ar-SA"/>
              </w:rPr>
              <w:t>26</w:t>
            </w:r>
            <w:r>
              <w:rPr>
                <w:rFonts w:hint="default" w:ascii="宋体" w:hAnsi="宋体" w:eastAsia="宋体" w:cs="宋体"/>
                <w:b w:val="0"/>
                <w:bCs w:val="0"/>
                <w:color w:val="auto"/>
                <w:kern w:val="2"/>
                <w:sz w:val="24"/>
                <w:szCs w:val="24"/>
                <w:lang w:val="en-US" w:eastAsia="zh-CN" w:bidi="ar-SA"/>
              </w:rPr>
              <w:t>t/a</w:t>
            </w:r>
            <w:r>
              <w:rPr>
                <w:rFonts w:hint="eastAsia" w:ascii="宋体" w:hAnsi="宋体" w:eastAsia="宋体" w:cs="宋体"/>
                <w:b w:val="0"/>
                <w:bCs w:val="0"/>
                <w:color w:val="auto"/>
                <w:kern w:val="2"/>
                <w:sz w:val="24"/>
                <w:szCs w:val="24"/>
                <w:lang w:val="en-US" w:eastAsia="zh-CN" w:bidi="ar-SA"/>
              </w:rPr>
              <w:t>。筛分过程中，在引风机风力作用下，</w:t>
            </w:r>
            <w:r>
              <w:rPr>
                <w:rFonts w:hint="eastAsia" w:ascii="宋体" w:hAnsi="宋体" w:eastAsia="宋体" w:cs="宋体"/>
                <w:color w:val="auto"/>
                <w:sz w:val="24"/>
                <w:lang w:val="en-US" w:eastAsia="zh-CN"/>
              </w:rPr>
              <w:t>产生的粉尘通过集气装置系统收集后进入沉降室+脉冲布袋除尘器处理后，无组织排放；废气收集效率为95%，除尘效率为95%，粉尘的收集量为</w:t>
            </w:r>
            <w:r>
              <w:rPr>
                <w:rFonts w:hint="eastAsia" w:ascii="宋体" w:hAnsi="宋体" w:cs="宋体"/>
                <w:color w:val="auto"/>
                <w:sz w:val="24"/>
                <w:lang w:val="en-US" w:eastAsia="zh-CN"/>
              </w:rPr>
              <w:t>24.7</w:t>
            </w:r>
            <w:r>
              <w:rPr>
                <w:rFonts w:hint="eastAsia" w:ascii="宋体" w:hAnsi="宋体" w:eastAsia="宋体" w:cs="宋体"/>
                <w:color w:val="auto"/>
                <w:sz w:val="24"/>
                <w:lang w:val="en-US" w:eastAsia="zh-CN"/>
              </w:rPr>
              <w:t>t/a，无组织排放量为</w:t>
            </w:r>
            <w:r>
              <w:rPr>
                <w:rFonts w:hint="eastAsia" w:ascii="宋体" w:hAnsi="宋体" w:cs="宋体"/>
                <w:color w:val="auto"/>
                <w:sz w:val="24"/>
                <w:lang w:val="en-US" w:eastAsia="zh-CN"/>
              </w:rPr>
              <w:t>：2.535</w:t>
            </w:r>
            <w:r>
              <w:rPr>
                <w:rFonts w:hint="eastAsia" w:ascii="宋体" w:hAnsi="宋体" w:eastAsia="宋体" w:cs="宋体"/>
                <w:color w:val="auto"/>
                <w:sz w:val="24"/>
                <w:lang w:val="en-US" w:eastAsia="zh-CN"/>
              </w:rPr>
              <w:t>t/a。</w:t>
            </w:r>
          </w:p>
          <w:p w14:paraId="1E72F8E3">
            <w:pPr>
              <w:pStyle w:val="83"/>
              <w:numPr>
                <w:ilvl w:val="0"/>
                <w:numId w:val="6"/>
              </w:numPr>
              <w:spacing w:before="77" w:line="360" w:lineRule="auto"/>
              <w:ind w:left="630" w:leftChars="0" w:firstLineChars="0"/>
              <w:rPr>
                <w:rFonts w:hint="default"/>
                <w:b/>
                <w:color w:val="auto"/>
                <w:sz w:val="24"/>
                <w:lang w:val="en-US" w:eastAsia="zh-CN"/>
              </w:rPr>
            </w:pPr>
            <w:r>
              <w:rPr>
                <w:rFonts w:hint="default"/>
                <w:b/>
                <w:color w:val="auto"/>
                <w:sz w:val="24"/>
                <w:lang w:val="en-US" w:eastAsia="zh-CN"/>
              </w:rPr>
              <w:t>烘干粉尘</w:t>
            </w:r>
          </w:p>
          <w:p w14:paraId="5B772C67">
            <w:pPr>
              <w:bidi w:val="0"/>
              <w:spacing w:line="360" w:lineRule="auto"/>
              <w:ind w:firstLine="480" w:firstLineChars="200"/>
              <w:rPr>
                <w:rFonts w:hint="eastAsia"/>
                <w:color w:val="auto"/>
                <w:sz w:val="24"/>
                <w:szCs w:val="24"/>
                <w:u w:val="single"/>
                <w:lang w:val="en-US" w:eastAsia="zh-CN"/>
              </w:rPr>
            </w:pPr>
            <w:r>
              <w:rPr>
                <w:rFonts w:hint="eastAsia" w:ascii="宋体" w:hAnsi="宋体" w:eastAsia="宋体" w:cs="宋体"/>
                <w:color w:val="auto"/>
                <w:sz w:val="24"/>
                <w:szCs w:val="24"/>
                <w:u w:val="single"/>
                <w:lang w:val="en-US" w:eastAsia="zh-CN"/>
              </w:rPr>
              <w:t>烘干过程粉尘产生量参照</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lang w:val="en-US" w:eastAsia="zh-CN"/>
              </w:rPr>
              <w:t>0514农产品初加工（粮食烘干）行业的系数手册填报</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lang w:val="en-US" w:eastAsia="zh-CN"/>
              </w:rPr>
              <w:t>，排污系数见下表</w:t>
            </w:r>
            <w:r>
              <w:rPr>
                <w:rFonts w:hint="eastAsia"/>
                <w:color w:val="auto"/>
                <w:sz w:val="24"/>
                <w:szCs w:val="24"/>
                <w:u w:val="single"/>
                <w:lang w:val="en-US" w:eastAsia="zh-CN"/>
              </w:rPr>
              <w:t>。</w:t>
            </w:r>
          </w:p>
          <w:p w14:paraId="782F6A2B">
            <w:pPr>
              <w:pStyle w:val="83"/>
              <w:numPr>
                <w:ilvl w:val="0"/>
                <w:numId w:val="0"/>
              </w:numPr>
              <w:spacing w:before="77" w:line="360" w:lineRule="auto"/>
              <w:jc w:val="center"/>
              <w:rPr>
                <w:rFonts w:hint="eastAsia" w:ascii="宋体" w:hAnsi="宋体" w:eastAsia="宋体" w:cs="宋体"/>
                <w:b/>
                <w:color w:val="auto"/>
                <w:sz w:val="21"/>
                <w:szCs w:val="21"/>
                <w:u w:val="single"/>
                <w:lang w:val="en-US" w:eastAsia="zh-CN"/>
              </w:rPr>
            </w:pPr>
            <w:r>
              <w:rPr>
                <w:rFonts w:hint="eastAsia" w:ascii="宋体" w:hAnsi="宋体" w:eastAsia="宋体" w:cs="宋体"/>
                <w:b/>
                <w:color w:val="auto"/>
                <w:sz w:val="21"/>
                <w:szCs w:val="21"/>
                <w:u w:val="single"/>
                <w:lang w:val="en-US" w:eastAsia="zh-CN"/>
              </w:rPr>
              <w:t>表4-1 粮食烘干排污系数表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2284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2B561C9A">
                  <w:pPr>
                    <w:pStyle w:val="69"/>
                    <w:bidi w:val="0"/>
                    <w:jc w:val="center"/>
                    <w:rPr>
                      <w:rFonts w:hint="default"/>
                      <w:color w:val="auto"/>
                      <w:u w:val="single"/>
                      <w:lang w:val="en-US" w:eastAsia="zh-CN"/>
                    </w:rPr>
                  </w:pPr>
                  <w:r>
                    <w:rPr>
                      <w:rFonts w:hint="eastAsia"/>
                      <w:color w:val="auto"/>
                      <w:u w:val="single"/>
                      <w:lang w:val="en-US" w:eastAsia="zh-CN"/>
                    </w:rPr>
                    <w:t>污染物指标</w:t>
                  </w:r>
                </w:p>
              </w:tc>
              <w:tc>
                <w:tcPr>
                  <w:tcW w:w="1666" w:type="pct"/>
                  <w:vAlign w:val="center"/>
                </w:tcPr>
                <w:p w14:paraId="3BA6909C">
                  <w:pPr>
                    <w:pStyle w:val="69"/>
                    <w:bidi w:val="0"/>
                    <w:jc w:val="center"/>
                    <w:rPr>
                      <w:rFonts w:hint="default"/>
                      <w:color w:val="auto"/>
                      <w:u w:val="single"/>
                      <w:lang w:val="en-US" w:eastAsia="zh-CN"/>
                    </w:rPr>
                  </w:pPr>
                  <w:r>
                    <w:rPr>
                      <w:rFonts w:hint="eastAsia"/>
                      <w:color w:val="auto"/>
                      <w:u w:val="single"/>
                      <w:lang w:val="en-US" w:eastAsia="zh-CN"/>
                    </w:rPr>
                    <w:t>单位</w:t>
                  </w:r>
                </w:p>
              </w:tc>
              <w:tc>
                <w:tcPr>
                  <w:tcW w:w="1666" w:type="pct"/>
                  <w:vAlign w:val="center"/>
                </w:tcPr>
                <w:p w14:paraId="14C56095">
                  <w:pPr>
                    <w:pStyle w:val="69"/>
                    <w:bidi w:val="0"/>
                    <w:jc w:val="center"/>
                    <w:rPr>
                      <w:rFonts w:hint="default"/>
                      <w:color w:val="auto"/>
                      <w:u w:val="single"/>
                      <w:lang w:val="en-US" w:eastAsia="zh-CN"/>
                    </w:rPr>
                  </w:pPr>
                  <w:r>
                    <w:rPr>
                      <w:rFonts w:hint="eastAsia"/>
                      <w:color w:val="auto"/>
                      <w:u w:val="single"/>
                      <w:lang w:val="en-US" w:eastAsia="zh-CN"/>
                    </w:rPr>
                    <w:t>产污系数</w:t>
                  </w:r>
                </w:p>
              </w:tc>
            </w:tr>
            <w:tr w14:paraId="2B7E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3C37F2DF">
                  <w:pPr>
                    <w:pStyle w:val="69"/>
                    <w:bidi w:val="0"/>
                    <w:jc w:val="center"/>
                    <w:rPr>
                      <w:rFonts w:hint="default"/>
                      <w:color w:val="auto"/>
                      <w:u w:val="single"/>
                      <w:lang w:val="en-US" w:eastAsia="zh-CN"/>
                    </w:rPr>
                  </w:pPr>
                  <w:r>
                    <w:rPr>
                      <w:rFonts w:hint="eastAsia"/>
                      <w:color w:val="auto"/>
                      <w:u w:val="single"/>
                      <w:lang w:val="en-US" w:eastAsia="zh-CN"/>
                    </w:rPr>
                    <w:t>颗粒物</w:t>
                  </w:r>
                </w:p>
              </w:tc>
              <w:tc>
                <w:tcPr>
                  <w:tcW w:w="1666" w:type="pct"/>
                  <w:vAlign w:val="center"/>
                </w:tcPr>
                <w:p w14:paraId="6D0B2CD1">
                  <w:pPr>
                    <w:pStyle w:val="69"/>
                    <w:bidi w:val="0"/>
                    <w:jc w:val="center"/>
                    <w:rPr>
                      <w:rFonts w:hint="default"/>
                      <w:color w:val="auto"/>
                      <w:u w:val="single"/>
                      <w:lang w:val="en-US" w:eastAsia="zh-CN"/>
                    </w:rPr>
                  </w:pPr>
                  <w:r>
                    <w:rPr>
                      <w:rFonts w:hint="eastAsia"/>
                      <w:color w:val="auto"/>
                      <w:u w:val="single"/>
                      <w:lang w:val="en-US" w:eastAsia="zh-CN"/>
                    </w:rPr>
                    <w:t>千克/吨-原料</w:t>
                  </w:r>
                </w:p>
              </w:tc>
              <w:tc>
                <w:tcPr>
                  <w:tcW w:w="1666" w:type="pct"/>
                  <w:vAlign w:val="center"/>
                </w:tcPr>
                <w:p w14:paraId="44A31571">
                  <w:pPr>
                    <w:pStyle w:val="69"/>
                    <w:bidi w:val="0"/>
                    <w:jc w:val="center"/>
                    <w:rPr>
                      <w:rFonts w:hint="default"/>
                      <w:color w:val="auto"/>
                      <w:u w:val="single"/>
                      <w:lang w:val="en-US" w:eastAsia="zh-CN"/>
                    </w:rPr>
                  </w:pPr>
                  <w:r>
                    <w:rPr>
                      <w:rFonts w:hint="eastAsia"/>
                      <w:color w:val="auto"/>
                      <w:u w:val="single"/>
                      <w:lang w:val="en-US" w:eastAsia="zh-CN"/>
                    </w:rPr>
                    <w:t>0.5</w:t>
                  </w:r>
                </w:p>
              </w:tc>
            </w:tr>
          </w:tbl>
          <w:p w14:paraId="5F35E8AF">
            <w:pPr>
              <w:spacing w:line="360" w:lineRule="auto"/>
              <w:ind w:firstLine="570"/>
              <w:textAlignment w:val="baseline"/>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auto"/>
                <w:sz w:val="24"/>
                <w:u w:val="single"/>
                <w:lang w:val="en-US" w:eastAsia="zh-CN"/>
              </w:rPr>
              <w:t>项目设置1台生物质</w:t>
            </w:r>
            <w:r>
              <w:rPr>
                <w:rFonts w:hint="eastAsia" w:ascii="宋体" w:hAnsi="宋体" w:cs="宋体"/>
                <w:color w:val="auto"/>
                <w:sz w:val="24"/>
                <w:u w:val="single"/>
                <w:lang w:val="en-US" w:eastAsia="zh-CN"/>
              </w:rPr>
              <w:t>热风炉</w:t>
            </w:r>
            <w:r>
              <w:rPr>
                <w:rFonts w:hint="eastAsia" w:ascii="宋体" w:hAnsi="宋体" w:eastAsia="宋体" w:cs="宋体"/>
                <w:color w:val="auto"/>
                <w:sz w:val="24"/>
                <w:u w:val="single"/>
                <w:lang w:val="en-US" w:eastAsia="zh-CN"/>
              </w:rPr>
              <w:t>，采用成型生物质燃料。本项目年需</w:t>
            </w:r>
            <w:r>
              <w:rPr>
                <w:rFonts w:hint="eastAsia" w:ascii="宋体" w:hAnsi="宋体" w:cs="宋体"/>
                <w:color w:val="auto"/>
                <w:sz w:val="24"/>
                <w:u w:val="single"/>
                <w:lang w:val="en-US" w:eastAsia="zh-CN"/>
              </w:rPr>
              <w:t>13000</w:t>
            </w:r>
            <w:r>
              <w:rPr>
                <w:rFonts w:hint="eastAsia" w:ascii="宋体" w:hAnsi="宋体" w:eastAsia="宋体" w:cs="宋体"/>
                <w:color w:val="auto"/>
                <w:sz w:val="24"/>
                <w:u w:val="single"/>
                <w:lang w:val="en-US" w:eastAsia="zh-CN"/>
              </w:rPr>
              <w:t>t原粮，烘干机日生产</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lang w:val="en-US" w:eastAsia="zh-CN"/>
              </w:rPr>
              <w:t>小时，年加工</w:t>
            </w:r>
            <w:r>
              <w:rPr>
                <w:rFonts w:hint="eastAsia" w:ascii="宋体" w:hAnsi="宋体" w:cs="宋体"/>
                <w:color w:val="auto"/>
                <w:sz w:val="24"/>
                <w:u w:val="single"/>
                <w:lang w:val="en-US" w:eastAsia="zh-CN"/>
              </w:rPr>
              <w:t>120</w:t>
            </w:r>
            <w:r>
              <w:rPr>
                <w:rFonts w:hint="eastAsia" w:ascii="宋体" w:hAnsi="宋体" w:eastAsia="宋体" w:cs="宋体"/>
                <w:color w:val="auto"/>
                <w:sz w:val="24"/>
                <w:u w:val="single"/>
                <w:lang w:val="en-US" w:eastAsia="zh-CN"/>
              </w:rPr>
              <w:t>天。烘干后含有粉尘的尾气现阶段进入项目自然沉降室进行沉</w:t>
            </w:r>
            <w:r>
              <w:rPr>
                <w:rFonts w:hint="eastAsia" w:ascii="宋体" w:hAnsi="宋体" w:eastAsia="宋体" w:cs="宋体"/>
                <w:color w:val="000000" w:themeColor="text1"/>
                <w:sz w:val="24"/>
                <w:u w:val="single"/>
                <w:lang w:val="en-US" w:eastAsia="zh-CN"/>
                <w14:textFill>
                  <w14:solidFill>
                    <w14:schemeClr w14:val="tx1"/>
                  </w14:solidFill>
                </w14:textFill>
              </w:rPr>
              <w:t>降后，</w:t>
            </w:r>
            <w:r>
              <w:rPr>
                <w:rFonts w:hint="eastAsia" w:ascii="宋体" w:hAnsi="宋体" w:eastAsia="宋体" w:cs="宋体"/>
                <w:color w:val="000000" w:themeColor="text1"/>
                <w:sz w:val="24"/>
                <w:szCs w:val="24"/>
                <w:u w:val="single"/>
                <w:lang w:eastAsia="zh-CN"/>
                <w14:textFill>
                  <w14:solidFill>
                    <w14:schemeClr w14:val="tx1"/>
                  </w14:solidFill>
                </w14:textFill>
              </w:rPr>
              <w:t>未沉降下来的粉尘</w:t>
            </w:r>
            <w:r>
              <w:rPr>
                <w:rFonts w:hint="eastAsia" w:ascii="宋体" w:hAnsi="宋体" w:eastAsia="宋体" w:cs="宋体"/>
                <w:color w:val="000000" w:themeColor="text1"/>
                <w:sz w:val="24"/>
                <w:szCs w:val="24"/>
                <w:u w:val="single"/>
                <w:lang w:val="en-US" w:eastAsia="zh-CN"/>
                <w14:textFill>
                  <w14:solidFill>
                    <w14:schemeClr w14:val="tx1"/>
                  </w14:solidFill>
                </w14:textFill>
              </w:rPr>
              <w:t>经</w:t>
            </w:r>
            <w:r>
              <w:rPr>
                <w:rFonts w:hint="eastAsia" w:ascii="宋体" w:hAnsi="宋体" w:cs="宋体"/>
                <w:color w:val="000000" w:themeColor="text1"/>
                <w:sz w:val="24"/>
                <w:szCs w:val="24"/>
                <w:u w:val="single"/>
                <w:lang w:val="en-US" w:eastAsia="zh-CN"/>
                <w14:textFill>
                  <w14:solidFill>
                    <w14:schemeClr w14:val="tx1"/>
                  </w14:solidFill>
                </w14:textFill>
              </w:rPr>
              <w:t>布袋</w:t>
            </w:r>
            <w:r>
              <w:rPr>
                <w:rFonts w:hint="eastAsia" w:ascii="宋体" w:hAnsi="宋体" w:eastAsia="宋体" w:cs="宋体"/>
                <w:color w:val="000000" w:themeColor="text1"/>
                <w:sz w:val="24"/>
                <w:szCs w:val="24"/>
                <w:u w:val="single"/>
                <w:lang w:val="en-US" w:eastAsia="zh-CN"/>
                <w14:textFill>
                  <w14:solidFill>
                    <w14:schemeClr w14:val="tx1"/>
                  </w14:solidFill>
                </w14:textFill>
              </w:rPr>
              <w:t>处理。由于项目烘干机为间接加热，烟气与物料不接触，因此烘干废气中不含二氧化硫、氮氧化物，故颗粒物产生量为</w:t>
            </w:r>
            <w:r>
              <w:rPr>
                <w:rFonts w:hint="eastAsia" w:ascii="宋体" w:hAnsi="宋体" w:cs="宋体"/>
                <w:color w:val="000000" w:themeColor="text1"/>
                <w:sz w:val="24"/>
                <w:szCs w:val="24"/>
                <w:u w:val="single"/>
                <w:lang w:val="en-US" w:eastAsia="zh-CN"/>
                <w14:textFill>
                  <w14:solidFill>
                    <w14:schemeClr w14:val="tx1"/>
                  </w14:solidFill>
                </w14:textFill>
              </w:rPr>
              <w:t>6.5</w:t>
            </w:r>
            <w:r>
              <w:rPr>
                <w:rFonts w:hint="eastAsia" w:ascii="宋体" w:hAnsi="宋体" w:eastAsia="宋体" w:cs="宋体"/>
                <w:color w:val="000000" w:themeColor="text1"/>
                <w:sz w:val="24"/>
                <w:szCs w:val="24"/>
                <w:u w:val="single"/>
                <w:lang w:val="en-US" w:eastAsia="zh-CN"/>
                <w14:textFill>
                  <w14:solidFill>
                    <w14:schemeClr w14:val="tx1"/>
                  </w14:solidFill>
                </w14:textFill>
              </w:rPr>
              <w:t>t/a，产生速率为</w:t>
            </w:r>
            <w:r>
              <w:rPr>
                <w:rFonts w:hint="eastAsia" w:ascii="宋体" w:hAnsi="宋体" w:cs="宋体"/>
                <w:color w:val="000000" w:themeColor="text1"/>
                <w:sz w:val="24"/>
                <w:szCs w:val="24"/>
                <w:u w:val="single"/>
                <w:lang w:val="en-US" w:eastAsia="zh-CN"/>
                <w14:textFill>
                  <w14:solidFill>
                    <w14:schemeClr w14:val="tx1"/>
                  </w14:solidFill>
                </w14:textFill>
              </w:rPr>
              <w:t>6.771</w:t>
            </w:r>
            <w:r>
              <w:rPr>
                <w:rFonts w:hint="eastAsia" w:ascii="宋体" w:hAnsi="宋体" w:eastAsia="宋体" w:cs="宋体"/>
                <w:color w:val="000000" w:themeColor="text1"/>
                <w:sz w:val="24"/>
                <w:szCs w:val="24"/>
                <w:u w:val="single"/>
                <w:lang w:val="en-US" w:eastAsia="zh-CN"/>
                <w14:textFill>
                  <w14:solidFill>
                    <w14:schemeClr w14:val="tx1"/>
                  </w14:solidFill>
                </w14:textFill>
              </w:rPr>
              <w:t>kg/h</w:t>
            </w:r>
            <w:r>
              <w:rPr>
                <w:rFonts w:hint="default" w:ascii="宋体" w:hAnsi="宋体" w:eastAsia="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烘干粉尘经沉降室+脉冲布袋除尘器处理后</w:t>
            </w:r>
            <w:r>
              <w:rPr>
                <w:rFonts w:hint="eastAsia" w:ascii="宋体" w:hAnsi="宋体" w:cs="宋体"/>
                <w:color w:val="000000" w:themeColor="text1"/>
                <w:sz w:val="24"/>
                <w:szCs w:val="24"/>
                <w:u w:val="single"/>
                <w:lang w:val="en-US" w:eastAsia="zh-CN"/>
                <w14:textFill>
                  <w14:solidFill>
                    <w14:schemeClr w14:val="tx1"/>
                  </w14:solidFill>
                </w14:textFill>
              </w:rPr>
              <w:t>15m排气筒（DA001）排放</w:t>
            </w:r>
            <w:r>
              <w:rPr>
                <w:rFonts w:hint="eastAsia" w:ascii="宋体" w:hAnsi="宋体" w:eastAsia="宋体" w:cs="宋体"/>
                <w:color w:val="000000" w:themeColor="text1"/>
                <w:sz w:val="24"/>
                <w:szCs w:val="24"/>
                <w:u w:val="single"/>
                <w:lang w:val="en-US" w:eastAsia="zh-CN"/>
                <w14:textFill>
                  <w14:solidFill>
                    <w14:schemeClr w14:val="tx1"/>
                  </w14:solidFill>
                </w14:textFill>
              </w:rPr>
              <w:t>，处理效率按</w:t>
            </w:r>
            <w:r>
              <w:rPr>
                <w:rFonts w:hint="eastAsia" w:ascii="宋体" w:hAnsi="宋体" w:cs="宋体"/>
                <w:color w:val="000000" w:themeColor="text1"/>
                <w:sz w:val="24"/>
                <w:szCs w:val="24"/>
                <w:u w:val="single"/>
                <w:lang w:val="en-US" w:eastAsia="zh-CN"/>
                <w14:textFill>
                  <w14:solidFill>
                    <w14:schemeClr w14:val="tx1"/>
                  </w14:solidFill>
                </w14:textFill>
              </w:rPr>
              <w:t>95</w:t>
            </w:r>
            <w:r>
              <w:rPr>
                <w:rFonts w:hint="eastAsia" w:ascii="宋体" w:hAnsi="宋体" w:eastAsia="宋体" w:cs="宋体"/>
                <w:color w:val="000000" w:themeColor="text1"/>
                <w:sz w:val="24"/>
                <w:szCs w:val="24"/>
                <w:u w:val="single"/>
                <w:lang w:val="en-US" w:eastAsia="zh-CN"/>
                <w14:textFill>
                  <w14:solidFill>
                    <w14:schemeClr w14:val="tx1"/>
                  </w14:solidFill>
                </w14:textFill>
              </w:rPr>
              <w:t>%计算，颗粒物的排放量为</w:t>
            </w:r>
            <w:r>
              <w:rPr>
                <w:rFonts w:hint="eastAsia" w:ascii="宋体" w:hAnsi="宋体" w:cs="宋体"/>
                <w:color w:val="000000" w:themeColor="text1"/>
                <w:sz w:val="24"/>
                <w:szCs w:val="24"/>
                <w:u w:val="single"/>
                <w:lang w:val="en-US" w:eastAsia="zh-CN"/>
                <w14:textFill>
                  <w14:solidFill>
                    <w14:schemeClr w14:val="tx1"/>
                  </w14:solidFill>
                </w14:textFill>
              </w:rPr>
              <w:t>0.325</w:t>
            </w:r>
            <w:r>
              <w:rPr>
                <w:rFonts w:hint="eastAsia" w:ascii="宋体" w:hAnsi="宋体" w:eastAsia="宋体" w:cs="宋体"/>
                <w:color w:val="000000" w:themeColor="text1"/>
                <w:sz w:val="24"/>
                <w:szCs w:val="24"/>
                <w:u w:val="single"/>
                <w:lang w:val="en-US" w:eastAsia="zh-CN"/>
                <w14:textFill>
                  <w14:solidFill>
                    <w14:schemeClr w14:val="tx1"/>
                  </w14:solidFill>
                </w14:textFill>
              </w:rPr>
              <w:t>t/a，产生速率为</w:t>
            </w:r>
            <w:r>
              <w:rPr>
                <w:rFonts w:hint="eastAsia" w:ascii="宋体" w:hAnsi="宋体" w:cs="宋体"/>
                <w:color w:val="000000" w:themeColor="text1"/>
                <w:sz w:val="24"/>
                <w:szCs w:val="24"/>
                <w:u w:val="single"/>
                <w:lang w:val="en-US" w:eastAsia="zh-CN"/>
                <w14:textFill>
                  <w14:solidFill>
                    <w14:schemeClr w14:val="tx1"/>
                  </w14:solidFill>
                </w14:textFill>
              </w:rPr>
              <w:t>0.339</w:t>
            </w:r>
            <w:r>
              <w:rPr>
                <w:rFonts w:hint="eastAsia" w:ascii="宋体" w:hAnsi="宋体" w:eastAsia="宋体" w:cs="宋体"/>
                <w:color w:val="000000" w:themeColor="text1"/>
                <w:sz w:val="24"/>
                <w:szCs w:val="24"/>
                <w:u w:val="single"/>
                <w:lang w:val="en-US" w:eastAsia="zh-CN"/>
                <w14:textFill>
                  <w14:solidFill>
                    <w14:schemeClr w14:val="tx1"/>
                  </w14:solidFill>
                </w14:textFill>
              </w:rPr>
              <w:t>kg/h。</w:t>
            </w:r>
          </w:p>
          <w:p w14:paraId="4C851317">
            <w:pPr>
              <w:pStyle w:val="83"/>
              <w:numPr>
                <w:ilvl w:val="0"/>
                <w:numId w:val="6"/>
              </w:numPr>
              <w:spacing w:before="77" w:line="360" w:lineRule="auto"/>
              <w:ind w:left="630" w:leftChars="0" w:firstLineChars="0"/>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热风炉废气</w:t>
            </w:r>
          </w:p>
          <w:p w14:paraId="1A4AC541">
            <w:pPr>
              <w:spacing w:line="360" w:lineRule="auto"/>
              <w:ind w:firstLine="570"/>
              <w:textAlignment w:val="baseline"/>
              <w:rPr>
                <w:rFonts w:hint="eastAsia" w:ascii="宋体" w:hAnsi="宋体" w:cs="宋体"/>
                <w:color w:val="auto"/>
                <w:sz w:val="24"/>
                <w:u w:val="single"/>
                <w:lang w:val="en-US" w:eastAsia="zh-CN"/>
              </w:rPr>
            </w:pPr>
            <w:r>
              <w:rPr>
                <w:rFonts w:hint="eastAsia" w:ascii="宋体" w:hAnsi="宋体" w:eastAsia="宋体" w:cs="宋体"/>
                <w:color w:val="auto"/>
                <w:sz w:val="24"/>
                <w:u w:val="single"/>
                <w:lang w:val="en-US" w:eastAsia="zh-CN"/>
              </w:rPr>
              <w:t>项目设置</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lang w:val="en-US" w:eastAsia="zh-CN"/>
              </w:rPr>
              <w:t>台生物质热风炉，</w:t>
            </w:r>
            <w:r>
              <w:rPr>
                <w:rFonts w:hint="eastAsia" w:ascii="宋体" w:hAnsi="宋体" w:cs="宋体"/>
                <w:color w:val="auto"/>
                <w:sz w:val="24"/>
                <w:u w:val="single"/>
                <w:lang w:val="en-US" w:eastAsia="zh-CN"/>
              </w:rPr>
              <w:t>热风炉</w:t>
            </w:r>
            <w:r>
              <w:rPr>
                <w:rFonts w:hint="eastAsia" w:ascii="宋体" w:hAnsi="宋体" w:eastAsia="宋体" w:cs="宋体"/>
                <w:color w:val="auto"/>
                <w:sz w:val="24"/>
                <w:u w:val="single"/>
                <w:lang w:val="en-US" w:eastAsia="zh-CN"/>
              </w:rPr>
              <w:t>日生产</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lang w:val="en-US" w:eastAsia="zh-CN"/>
              </w:rPr>
              <w:t>小时，年加工</w:t>
            </w:r>
            <w:r>
              <w:rPr>
                <w:rFonts w:hint="eastAsia" w:ascii="宋体" w:hAnsi="宋体" w:cs="宋体"/>
                <w:color w:val="auto"/>
                <w:sz w:val="24"/>
                <w:u w:val="single"/>
                <w:lang w:val="en-US" w:eastAsia="zh-CN"/>
              </w:rPr>
              <w:t>120</w:t>
            </w:r>
            <w:r>
              <w:rPr>
                <w:rFonts w:hint="eastAsia" w:ascii="宋体" w:hAnsi="宋体" w:eastAsia="宋体" w:cs="宋体"/>
                <w:color w:val="auto"/>
                <w:sz w:val="24"/>
                <w:u w:val="single"/>
                <w:lang w:val="en-US" w:eastAsia="zh-CN"/>
              </w:rPr>
              <w:t>天</w:t>
            </w:r>
            <w:r>
              <w:rPr>
                <w:rFonts w:hint="eastAsia" w:ascii="宋体" w:hAnsi="宋体" w:cs="宋体"/>
                <w:color w:val="auto"/>
                <w:sz w:val="24"/>
                <w:u w:val="single"/>
                <w:lang w:val="en-US" w:eastAsia="zh-CN"/>
              </w:rPr>
              <w:t>，</w:t>
            </w:r>
            <w:r>
              <w:rPr>
                <w:rFonts w:hint="eastAsia" w:ascii="宋体" w:hAnsi="宋体" w:eastAsia="宋体" w:cs="宋体"/>
                <w:color w:val="auto"/>
                <w:sz w:val="24"/>
                <w:u w:val="single"/>
                <w:lang w:val="en-US" w:eastAsia="zh-CN"/>
              </w:rPr>
              <w:t>采用成型生物质燃料，</w:t>
            </w:r>
            <w:r>
              <w:rPr>
                <w:rFonts w:hint="eastAsia" w:ascii="宋体" w:hAnsi="宋体" w:cs="宋体"/>
                <w:color w:val="auto"/>
                <w:sz w:val="24"/>
                <w:u w:val="single"/>
                <w:lang w:val="en-US" w:eastAsia="zh-CN"/>
              </w:rPr>
              <w:t>生物质燃料的发热量按低位发热量4054cal/g计算，每台热风炉的供热量为120万kcal/h，本环评热风炉的供热负荷按75%计算，故热风炉的实际供热量为90万kcal/h，则</w:t>
            </w:r>
            <w:r>
              <w:rPr>
                <w:rFonts w:hint="eastAsia" w:ascii="宋体" w:hAnsi="宋体" w:eastAsia="宋体" w:cs="宋体"/>
                <w:color w:val="auto"/>
                <w:sz w:val="24"/>
                <w:u w:val="single"/>
                <w:lang w:val="en-US" w:eastAsia="zh-CN"/>
              </w:rPr>
              <w:t>生物质成型颗粒燃料用量约为</w:t>
            </w:r>
            <w:r>
              <w:rPr>
                <w:rFonts w:hint="eastAsia" w:ascii="宋体" w:hAnsi="宋体" w:cs="宋体"/>
                <w:color w:val="auto"/>
                <w:sz w:val="24"/>
                <w:u w:val="single"/>
                <w:lang w:val="en-US" w:eastAsia="zh-CN"/>
              </w:rPr>
              <w:t>213.13</w:t>
            </w:r>
            <w:r>
              <w:rPr>
                <w:rFonts w:hint="eastAsia" w:ascii="宋体" w:hAnsi="宋体" w:eastAsia="宋体" w:cs="宋体"/>
                <w:color w:val="auto"/>
                <w:sz w:val="24"/>
                <w:u w:val="single"/>
                <w:lang w:val="en-US" w:eastAsia="zh-CN"/>
              </w:rPr>
              <w:t>t/a，根据锅炉节能环保技术规范，生物质锅炉产品额定负荷下热效率目标值和限定值，</w:t>
            </w:r>
            <w:r>
              <w:rPr>
                <w:rFonts w:hint="eastAsia" w:ascii="宋体" w:hAnsi="宋体" w:cs="宋体"/>
                <w:color w:val="auto"/>
                <w:sz w:val="24"/>
                <w:u w:val="single"/>
                <w:lang w:val="en-US" w:eastAsia="zh-CN"/>
              </w:rPr>
              <w:t>热效率按限定值86%计算，故生物质成型颗粒物燃料使用量为242.97</w:t>
            </w:r>
            <w:r>
              <w:rPr>
                <w:rFonts w:hint="eastAsia" w:ascii="宋体" w:hAnsi="宋体" w:eastAsia="宋体" w:cs="宋体"/>
                <w:color w:val="auto"/>
                <w:sz w:val="24"/>
                <w:u w:val="single"/>
                <w:lang w:val="en-US" w:eastAsia="zh-CN"/>
              </w:rPr>
              <w:t>t/a。</w:t>
            </w:r>
          </w:p>
          <w:p w14:paraId="0F2B6775">
            <w:pPr>
              <w:spacing w:line="360" w:lineRule="auto"/>
              <w:textAlignment w:val="baseline"/>
              <w:rPr>
                <w:rFonts w:hint="eastAsia" w:ascii="宋体" w:hAnsi="宋体" w:cs="宋体"/>
                <w:color w:val="auto"/>
                <w:sz w:val="24"/>
                <w:u w:val="single"/>
                <w:lang w:val="en-US" w:eastAsia="zh-CN"/>
              </w:rPr>
            </w:pPr>
            <w:r>
              <w:rPr>
                <w:rFonts w:hint="eastAsia" w:ascii="宋体" w:hAnsi="宋体" w:cs="宋体"/>
                <w:color w:val="auto"/>
                <w:sz w:val="24"/>
                <w:u w:val="single"/>
                <w:lang w:val="en-US" w:eastAsia="zh-CN"/>
              </w:rPr>
              <w:t>5台生物质热风炉年使用</w:t>
            </w:r>
            <w:r>
              <w:rPr>
                <w:rFonts w:hint="eastAsia" w:ascii="宋体" w:hAnsi="宋体" w:eastAsia="宋体" w:cs="宋体"/>
                <w:color w:val="auto"/>
                <w:sz w:val="24"/>
                <w:u w:val="single"/>
                <w:lang w:val="en-US" w:eastAsia="zh-CN"/>
              </w:rPr>
              <w:t>生物质成型颗粒燃料用量约为</w:t>
            </w:r>
            <w:r>
              <w:rPr>
                <w:rFonts w:hint="eastAsia" w:ascii="宋体" w:hAnsi="宋体" w:cs="宋体"/>
                <w:color w:val="auto"/>
                <w:sz w:val="24"/>
                <w:u w:val="single"/>
                <w:lang w:val="en-US" w:eastAsia="zh-CN"/>
              </w:rPr>
              <w:t>1214.85</w:t>
            </w:r>
            <w:r>
              <w:rPr>
                <w:rFonts w:hint="eastAsia" w:ascii="宋体" w:hAnsi="宋体" w:eastAsia="宋体" w:cs="宋体"/>
                <w:color w:val="auto"/>
                <w:sz w:val="24"/>
                <w:u w:val="single"/>
                <w:lang w:val="en-US" w:eastAsia="zh-CN"/>
              </w:rPr>
              <w:t>t/a</w:t>
            </w:r>
          </w:p>
          <w:p w14:paraId="571801B4">
            <w:pPr>
              <w:spacing w:line="360" w:lineRule="auto"/>
              <w:ind w:firstLine="570"/>
              <w:textAlignment w:val="baseline"/>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生物质成型燃料的燃烧废气主要是烟尘、氮氧化物、二氧化硫，本项目热风炉生物质燃料废气参照《排放源统计调查产排污核算方法和系数手册》中工业锅炉（热力供应）行业系数手册，SO</w:t>
            </w:r>
            <w:r>
              <w:rPr>
                <w:rFonts w:hint="eastAsia" w:ascii="宋体" w:hAnsi="宋体" w:eastAsia="宋体" w:cs="宋体"/>
                <w:color w:val="000000" w:themeColor="text1"/>
                <w:sz w:val="24"/>
                <w:u w:val="single"/>
                <w:vertAlign w:val="subscript"/>
                <w:lang w:val="en-US" w:eastAsia="zh-CN"/>
                <w14:textFill>
                  <w14:solidFill>
                    <w14:schemeClr w14:val="tx1"/>
                  </w14:solidFill>
                </w14:textFill>
              </w:rPr>
              <w:t>2</w:t>
            </w:r>
            <w:r>
              <w:rPr>
                <w:rFonts w:hint="eastAsia" w:ascii="宋体" w:hAnsi="宋体" w:eastAsia="宋体" w:cs="宋体"/>
                <w:color w:val="000000" w:themeColor="text1"/>
                <w:sz w:val="24"/>
                <w:u w:val="single"/>
                <w:lang w:val="en-US" w:eastAsia="zh-CN"/>
                <w14:textFill>
                  <w14:solidFill>
                    <w14:schemeClr w14:val="tx1"/>
                  </w14:solidFill>
                </w14:textFill>
              </w:rPr>
              <w:t>取值参照“生物质燃烧大气污染物排放清单编制技术指南”排污系数，具体排污系数见下表。</w:t>
            </w:r>
          </w:p>
          <w:p w14:paraId="5BB89103">
            <w:pPr>
              <w:spacing w:line="360" w:lineRule="auto"/>
              <w:jc w:val="center"/>
              <w:textAlignment w:val="baseline"/>
              <w:rPr>
                <w:rFonts w:hint="eastAsia" w:ascii="宋体" w:hAnsi="宋体" w:eastAsia="宋体" w:cs="宋体"/>
                <w:b/>
                <w:bCs/>
                <w:color w:val="000000" w:themeColor="text1"/>
                <w:sz w:val="21"/>
                <w:szCs w:val="21"/>
                <w:u w:val="single"/>
                <w:lang w:val="en-US" w:eastAsia="zh-CN"/>
                <w14:textFill>
                  <w14:solidFill>
                    <w14:schemeClr w14:val="tx1"/>
                  </w14:solidFill>
                </w14:textFill>
              </w:rPr>
            </w:pPr>
            <w:r>
              <w:rPr>
                <w:rFonts w:hint="eastAsia" w:ascii="宋体" w:hAnsi="宋体" w:eastAsia="宋体" w:cs="宋体"/>
                <w:b/>
                <w:bCs/>
                <w:color w:val="000000" w:themeColor="text1"/>
                <w:sz w:val="21"/>
                <w:szCs w:val="21"/>
                <w:u w:val="single"/>
                <w:lang w:val="en-US" w:eastAsia="zh-CN"/>
                <w14:textFill>
                  <w14:solidFill>
                    <w14:schemeClr w14:val="tx1"/>
                  </w14:solidFill>
                </w14:textFill>
              </w:rPr>
              <w:t>表4-2 工业锅炉（热力供应）行业产污系数表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6FE9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6CD99C57">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污染物指标</w:t>
                  </w:r>
                </w:p>
              </w:tc>
              <w:tc>
                <w:tcPr>
                  <w:tcW w:w="1666" w:type="pct"/>
                  <w:vAlign w:val="center"/>
                </w:tcPr>
                <w:p w14:paraId="42A58459">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单位</w:t>
                  </w:r>
                </w:p>
              </w:tc>
              <w:tc>
                <w:tcPr>
                  <w:tcW w:w="1666" w:type="pct"/>
                  <w:vAlign w:val="center"/>
                </w:tcPr>
                <w:p w14:paraId="52751B3F">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产污系数</w:t>
                  </w:r>
                </w:p>
              </w:tc>
            </w:tr>
            <w:tr w14:paraId="5194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55C86B2F">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二氧化硫</w:t>
                  </w:r>
                </w:p>
              </w:tc>
              <w:tc>
                <w:tcPr>
                  <w:tcW w:w="1666" w:type="pct"/>
                  <w:vAlign w:val="center"/>
                </w:tcPr>
                <w:p w14:paraId="71412586">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千克/吨-原料</w:t>
                  </w:r>
                </w:p>
              </w:tc>
              <w:tc>
                <w:tcPr>
                  <w:tcW w:w="1666" w:type="pct"/>
                  <w:vAlign w:val="center"/>
                </w:tcPr>
                <w:p w14:paraId="54FC2832">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0.7</w:t>
                  </w:r>
                </w:p>
              </w:tc>
            </w:tr>
            <w:tr w14:paraId="2C15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4F1607CB">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氮氧化物</w:t>
                  </w:r>
                </w:p>
              </w:tc>
              <w:tc>
                <w:tcPr>
                  <w:tcW w:w="1666" w:type="pct"/>
                  <w:vAlign w:val="center"/>
                </w:tcPr>
                <w:p w14:paraId="1B7B4459">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千克/吨-原料</w:t>
                  </w:r>
                </w:p>
              </w:tc>
              <w:tc>
                <w:tcPr>
                  <w:tcW w:w="1666" w:type="pct"/>
                  <w:vAlign w:val="center"/>
                </w:tcPr>
                <w:p w14:paraId="0E194BA2">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1.02</w:t>
                  </w:r>
                </w:p>
              </w:tc>
            </w:tr>
            <w:tr w14:paraId="025B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03B7F598">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颗粒物</w:t>
                  </w:r>
                </w:p>
              </w:tc>
              <w:tc>
                <w:tcPr>
                  <w:tcW w:w="1666" w:type="pct"/>
                  <w:vAlign w:val="center"/>
                </w:tcPr>
                <w:p w14:paraId="6A94A735">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千克/吨-原料</w:t>
                  </w:r>
                </w:p>
              </w:tc>
              <w:tc>
                <w:tcPr>
                  <w:tcW w:w="1666" w:type="pct"/>
                  <w:vAlign w:val="center"/>
                </w:tcPr>
                <w:p w14:paraId="2E5F4042">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0.5</w:t>
                  </w:r>
                </w:p>
              </w:tc>
            </w:tr>
            <w:tr w14:paraId="28CB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14:paraId="540805BA">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烟气量</w:t>
                  </w:r>
                </w:p>
              </w:tc>
              <w:tc>
                <w:tcPr>
                  <w:tcW w:w="1666" w:type="pct"/>
                  <w:vAlign w:val="center"/>
                </w:tcPr>
                <w:p w14:paraId="7B84FD0B">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标立方米/吨-原料</w:t>
                  </w:r>
                </w:p>
              </w:tc>
              <w:tc>
                <w:tcPr>
                  <w:tcW w:w="1666" w:type="pct"/>
                  <w:vAlign w:val="center"/>
                </w:tcPr>
                <w:p w14:paraId="4F036F64">
                  <w:pPr>
                    <w:pStyle w:val="53"/>
                    <w:bidi w:val="0"/>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6240</w:t>
                  </w:r>
                </w:p>
              </w:tc>
            </w:tr>
          </w:tbl>
          <w:p w14:paraId="5893081A">
            <w:pPr>
              <w:spacing w:line="360" w:lineRule="auto"/>
              <w:ind w:firstLine="570"/>
              <w:textAlignment w:val="baseline"/>
              <w:rPr>
                <w:rFonts w:hint="default" w:ascii="Times New Roman" w:hAnsi="Times New Roman" w:cs="Times New Roman"/>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本项目生物质成型燃料用量约为</w:t>
            </w:r>
            <w:r>
              <w:rPr>
                <w:rFonts w:hint="eastAsia" w:ascii="宋体" w:hAnsi="宋体" w:cs="宋体"/>
                <w:color w:val="000000" w:themeColor="text1"/>
                <w:sz w:val="24"/>
                <w:u w:val="single"/>
                <w:lang w:val="en-US" w:eastAsia="zh-CN"/>
                <w14:textFill>
                  <w14:solidFill>
                    <w14:schemeClr w14:val="tx1"/>
                  </w14:solidFill>
                </w14:textFill>
              </w:rPr>
              <w:t>1214.85</w:t>
            </w:r>
            <w:r>
              <w:rPr>
                <w:rFonts w:hint="eastAsia" w:ascii="宋体" w:hAnsi="宋体" w:eastAsia="宋体" w:cs="宋体"/>
                <w:color w:val="000000" w:themeColor="text1"/>
                <w:sz w:val="24"/>
                <w:u w:val="single"/>
                <w:lang w:val="en-US" w:eastAsia="zh-CN"/>
                <w14:textFill>
                  <w14:solidFill>
                    <w14:schemeClr w14:val="tx1"/>
                  </w14:solidFill>
                </w14:textFill>
              </w:rPr>
              <w:t>t/a，年工作</w:t>
            </w:r>
            <w:r>
              <w:rPr>
                <w:rFonts w:hint="eastAsia" w:ascii="宋体" w:hAnsi="宋体" w:cs="宋体"/>
                <w:color w:val="000000" w:themeColor="text1"/>
                <w:sz w:val="24"/>
                <w:u w:val="single"/>
                <w:lang w:val="en-US" w:eastAsia="zh-CN"/>
                <w14:textFill>
                  <w14:solidFill>
                    <w14:schemeClr w14:val="tx1"/>
                  </w14:solidFill>
                </w14:textFill>
              </w:rPr>
              <w:t>120</w:t>
            </w:r>
            <w:r>
              <w:rPr>
                <w:rFonts w:hint="eastAsia" w:ascii="宋体" w:hAnsi="宋体" w:eastAsia="宋体" w:cs="宋体"/>
                <w:color w:val="000000" w:themeColor="text1"/>
                <w:sz w:val="24"/>
                <w:u w:val="single"/>
                <w:lang w:val="en-US" w:eastAsia="zh-CN"/>
                <w14:textFill>
                  <w14:solidFill>
                    <w14:schemeClr w14:val="tx1"/>
                  </w14:solidFill>
                </w14:textFill>
              </w:rPr>
              <w:t>天，每天运行</w:t>
            </w:r>
            <w:r>
              <w:rPr>
                <w:rFonts w:hint="eastAsia" w:ascii="宋体" w:hAnsi="宋体" w:cs="宋体"/>
                <w:color w:val="000000" w:themeColor="text1"/>
                <w:sz w:val="24"/>
                <w:u w:val="single"/>
                <w:lang w:val="en-US" w:eastAsia="zh-CN"/>
                <w14:textFill>
                  <w14:solidFill>
                    <w14:schemeClr w14:val="tx1"/>
                  </w14:solidFill>
                </w14:textFill>
              </w:rPr>
              <w:t>8</w:t>
            </w:r>
            <w:r>
              <w:rPr>
                <w:rFonts w:hint="eastAsia" w:ascii="宋体" w:hAnsi="宋体" w:eastAsia="宋体" w:cs="宋体"/>
                <w:color w:val="000000" w:themeColor="text1"/>
                <w:sz w:val="24"/>
                <w:u w:val="single"/>
                <w:lang w:val="en-US" w:eastAsia="zh-CN"/>
                <w14:textFill>
                  <w14:solidFill>
                    <w14:schemeClr w14:val="tx1"/>
                  </w14:solidFill>
                </w14:textFill>
              </w:rPr>
              <w:t>h。热风炉废气</w:t>
            </w:r>
            <w:r>
              <w:rPr>
                <w:rFonts w:hint="eastAsia" w:ascii="宋体" w:hAnsi="宋体" w:cs="宋体"/>
                <w:color w:val="000000" w:themeColor="text1"/>
                <w:sz w:val="24"/>
                <w:u w:val="single"/>
                <w:lang w:val="en-US" w:eastAsia="zh-CN"/>
                <w14:textFill>
                  <w14:solidFill>
                    <w14:schemeClr w14:val="tx1"/>
                  </w14:solidFill>
                </w14:textFill>
              </w:rPr>
              <w:t>经沙克隆+沉降室+布袋除尘器</w:t>
            </w:r>
            <w:r>
              <w:rPr>
                <w:rFonts w:hint="eastAsia" w:ascii="宋体" w:hAnsi="宋体" w:eastAsia="宋体" w:cs="宋体"/>
                <w:color w:val="000000" w:themeColor="text1"/>
                <w:sz w:val="24"/>
                <w:u w:val="single"/>
                <w:lang w:val="en-US" w:eastAsia="zh-CN"/>
                <w14:textFill>
                  <w14:solidFill>
                    <w14:schemeClr w14:val="tx1"/>
                  </w14:solidFill>
                </w14:textFill>
              </w:rPr>
              <w:t>处理后</w:t>
            </w:r>
            <w:r>
              <w:rPr>
                <w:rFonts w:hint="eastAsia" w:ascii="宋体" w:hAnsi="宋体" w:cs="宋体"/>
                <w:color w:val="000000" w:themeColor="text1"/>
                <w:sz w:val="24"/>
                <w:szCs w:val="24"/>
                <w:u w:val="single"/>
                <w:lang w:val="en-US" w:eastAsia="zh-CN"/>
                <w14:textFill>
                  <w14:solidFill>
                    <w14:schemeClr w14:val="tx1"/>
                  </w14:solidFill>
                </w14:textFill>
              </w:rPr>
              <w:t>15m排气筒（DA001）排放</w:t>
            </w:r>
            <w:r>
              <w:rPr>
                <w:rFonts w:hint="eastAsia" w:ascii="宋体" w:hAnsi="宋体" w:eastAsia="宋体" w:cs="宋体"/>
                <w:color w:val="000000" w:themeColor="text1"/>
                <w:sz w:val="24"/>
                <w:u w:val="single"/>
                <w:lang w:val="en-US" w:eastAsia="zh-CN"/>
                <w14:textFill>
                  <w14:solidFill>
                    <w14:schemeClr w14:val="tx1"/>
                  </w14:solidFill>
                </w14:textFill>
              </w:rPr>
              <w:t>，颗粒物的除尘效率按</w:t>
            </w:r>
            <w:r>
              <w:rPr>
                <w:rFonts w:hint="eastAsia" w:ascii="宋体" w:hAnsi="宋体" w:cs="宋体"/>
                <w:color w:val="000000" w:themeColor="text1"/>
                <w:sz w:val="24"/>
                <w:u w:val="single"/>
                <w:lang w:val="en-US" w:eastAsia="zh-CN"/>
                <w14:textFill>
                  <w14:solidFill>
                    <w14:schemeClr w14:val="tx1"/>
                  </w14:solidFill>
                </w14:textFill>
              </w:rPr>
              <w:t>95</w:t>
            </w:r>
            <w:r>
              <w:rPr>
                <w:rFonts w:hint="eastAsia" w:ascii="宋体" w:hAnsi="宋体" w:eastAsia="宋体" w:cs="宋体"/>
                <w:color w:val="000000" w:themeColor="text1"/>
                <w:sz w:val="24"/>
                <w:u w:val="single"/>
                <w:lang w:val="en-US" w:eastAsia="zh-CN"/>
                <w14:textFill>
                  <w14:solidFill>
                    <w14:schemeClr w14:val="tx1"/>
                  </w14:solidFill>
                </w14:textFill>
              </w:rPr>
              <w:t>计算。</w:t>
            </w:r>
            <w:r>
              <w:rPr>
                <w:rFonts w:hint="default" w:ascii="Times New Roman" w:hAnsi="Times New Roman" w:cs="Times New Roman"/>
                <w:color w:val="000000" w:themeColor="text1"/>
                <w:sz w:val="24"/>
                <w:u w:val="single"/>
                <w:lang w:val="en-US" w:eastAsia="zh-CN"/>
                <w14:textFill>
                  <w14:solidFill>
                    <w14:schemeClr w14:val="tx1"/>
                  </w14:solidFill>
                </w14:textFill>
              </w:rPr>
              <w:t>项目热风炉燃烧生物质燃料废气产排情况详见下表。</w:t>
            </w:r>
          </w:p>
          <w:p w14:paraId="68D42EE8">
            <w:pPr>
              <w:spacing w:line="360" w:lineRule="auto"/>
              <w:ind w:firstLine="570"/>
              <w:jc w:val="center"/>
              <w:textAlignment w:val="baseline"/>
              <w:rPr>
                <w:rFonts w:hint="eastAsia" w:ascii="宋体" w:hAnsi="宋体" w:eastAsia="宋体" w:cs="宋体"/>
                <w:b/>
                <w:bCs/>
                <w:color w:val="000000" w:themeColor="text1"/>
                <w:sz w:val="21"/>
                <w:szCs w:val="21"/>
                <w:u w:val="single"/>
                <w:lang w:val="en-US" w:eastAsia="zh-CN"/>
                <w14:textFill>
                  <w14:solidFill>
                    <w14:schemeClr w14:val="tx1"/>
                  </w14:solidFill>
                </w14:textFill>
              </w:rPr>
            </w:pPr>
            <w:r>
              <w:rPr>
                <w:rFonts w:hint="eastAsia" w:ascii="宋体" w:hAnsi="宋体" w:eastAsia="宋体" w:cs="宋体"/>
                <w:b/>
                <w:bCs/>
                <w:color w:val="000000" w:themeColor="text1"/>
                <w:sz w:val="21"/>
                <w:szCs w:val="21"/>
                <w:u w:val="single"/>
                <w:lang w:val="en-US" w:eastAsia="zh-CN"/>
                <w14:textFill>
                  <w14:solidFill>
                    <w14:schemeClr w14:val="tx1"/>
                  </w14:solidFill>
                </w14:textFill>
              </w:rPr>
              <w:t>表4-3 热风炉废气污染物产排污情况一览表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2120"/>
              <w:gridCol w:w="2120"/>
              <w:gridCol w:w="2120"/>
            </w:tblGrid>
            <w:tr w14:paraId="02FA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49" w:type="pct"/>
                  <w:vAlign w:val="center"/>
                </w:tcPr>
                <w:p w14:paraId="56582F8E">
                  <w:pPr>
                    <w:pStyle w:val="92"/>
                    <w:bidi w:val="0"/>
                    <w:jc w:val="center"/>
                    <w:rPr>
                      <w:rFonts w:hint="eastAsia" w:ascii="宋体" w:hAnsi="宋体" w:eastAsia="宋体" w:cs="宋体"/>
                      <w:b/>
                      <w:bCs w:val="0"/>
                      <w:color w:val="000000" w:themeColor="text1"/>
                      <w:u w:val="single"/>
                      <w:lang w:val="en-US" w:eastAsia="zh-CN"/>
                      <w14:textFill>
                        <w14:solidFill>
                          <w14:schemeClr w14:val="tx1"/>
                        </w14:solidFill>
                      </w14:textFill>
                    </w:rPr>
                  </w:pPr>
                  <w:r>
                    <w:rPr>
                      <w:rFonts w:hint="eastAsia" w:ascii="宋体" w:hAnsi="宋体" w:eastAsia="宋体" w:cs="宋体"/>
                      <w:b/>
                      <w:bCs w:val="0"/>
                      <w:color w:val="000000" w:themeColor="text1"/>
                      <w:u w:val="single"/>
                      <w:lang w:val="en-US" w:eastAsia="zh-CN"/>
                      <w14:textFill>
                        <w14:solidFill>
                          <w14:schemeClr w14:val="tx1"/>
                        </w14:solidFill>
                      </w14:textFill>
                    </w:rPr>
                    <w:t>产污点</w:t>
                  </w:r>
                </w:p>
              </w:tc>
              <w:tc>
                <w:tcPr>
                  <w:tcW w:w="1250" w:type="pct"/>
                  <w:vAlign w:val="center"/>
                </w:tcPr>
                <w:p w14:paraId="505A2421">
                  <w:pPr>
                    <w:pStyle w:val="92"/>
                    <w:bidi w:val="0"/>
                    <w:jc w:val="center"/>
                    <w:rPr>
                      <w:rFonts w:hint="eastAsia" w:ascii="宋体" w:hAnsi="宋体" w:eastAsia="宋体" w:cs="宋体"/>
                      <w:b/>
                      <w:bCs w:val="0"/>
                      <w:color w:val="000000" w:themeColor="text1"/>
                      <w:u w:val="single"/>
                      <w:lang w:val="en-US" w:eastAsia="zh-CN"/>
                      <w14:textFill>
                        <w14:solidFill>
                          <w14:schemeClr w14:val="tx1"/>
                        </w14:solidFill>
                      </w14:textFill>
                    </w:rPr>
                  </w:pPr>
                  <w:r>
                    <w:rPr>
                      <w:rFonts w:hint="eastAsia" w:ascii="宋体" w:hAnsi="宋体" w:eastAsia="宋体" w:cs="宋体"/>
                      <w:b/>
                      <w:bCs w:val="0"/>
                      <w:color w:val="000000" w:themeColor="text1"/>
                      <w:u w:val="single"/>
                      <w:lang w:val="en-US" w:eastAsia="zh-CN"/>
                      <w14:textFill>
                        <w14:solidFill>
                          <w14:schemeClr w14:val="tx1"/>
                        </w14:solidFill>
                      </w14:textFill>
                    </w:rPr>
                    <w:t>污染因子</w:t>
                  </w:r>
                </w:p>
              </w:tc>
              <w:tc>
                <w:tcPr>
                  <w:tcW w:w="1250" w:type="pct"/>
                  <w:vAlign w:val="center"/>
                </w:tcPr>
                <w:p w14:paraId="76731453">
                  <w:pPr>
                    <w:pStyle w:val="92"/>
                    <w:bidi w:val="0"/>
                    <w:jc w:val="center"/>
                    <w:rPr>
                      <w:rFonts w:hint="eastAsia" w:ascii="宋体" w:hAnsi="宋体" w:eastAsia="宋体" w:cs="宋体"/>
                      <w:b/>
                      <w:bCs w:val="0"/>
                      <w:color w:val="000000" w:themeColor="text1"/>
                      <w:u w:val="single"/>
                      <w:lang w:val="en-US" w:eastAsia="zh-CN"/>
                      <w14:textFill>
                        <w14:solidFill>
                          <w14:schemeClr w14:val="tx1"/>
                        </w14:solidFill>
                      </w14:textFill>
                    </w:rPr>
                  </w:pPr>
                  <w:r>
                    <w:rPr>
                      <w:rFonts w:hint="eastAsia" w:ascii="宋体" w:hAnsi="宋体" w:eastAsia="宋体" w:cs="宋体"/>
                      <w:b/>
                      <w:bCs w:val="0"/>
                      <w:color w:val="000000" w:themeColor="text1"/>
                      <w:u w:val="single"/>
                      <w:lang w:val="en-US" w:eastAsia="zh-CN"/>
                      <w14:textFill>
                        <w14:solidFill>
                          <w14:schemeClr w14:val="tx1"/>
                        </w14:solidFill>
                      </w14:textFill>
                    </w:rPr>
                    <w:t>产生量（t/a）</w:t>
                  </w:r>
                </w:p>
              </w:tc>
              <w:tc>
                <w:tcPr>
                  <w:tcW w:w="1250" w:type="pct"/>
                  <w:vAlign w:val="center"/>
                </w:tcPr>
                <w:p w14:paraId="5A160638">
                  <w:pPr>
                    <w:pStyle w:val="92"/>
                    <w:bidi w:val="0"/>
                    <w:jc w:val="center"/>
                    <w:rPr>
                      <w:rFonts w:hint="eastAsia" w:ascii="宋体" w:hAnsi="宋体" w:eastAsia="宋体" w:cs="宋体"/>
                      <w:b/>
                      <w:bCs w:val="0"/>
                      <w:color w:val="000000" w:themeColor="text1"/>
                      <w:u w:val="single"/>
                      <w:lang w:val="en-US" w:eastAsia="zh-CN"/>
                      <w14:textFill>
                        <w14:solidFill>
                          <w14:schemeClr w14:val="tx1"/>
                        </w14:solidFill>
                      </w14:textFill>
                    </w:rPr>
                  </w:pPr>
                  <w:r>
                    <w:rPr>
                      <w:rFonts w:hint="eastAsia" w:ascii="宋体" w:hAnsi="宋体" w:eastAsia="宋体" w:cs="宋体"/>
                      <w:b/>
                      <w:bCs w:val="0"/>
                      <w:color w:val="000000" w:themeColor="text1"/>
                      <w:u w:val="single"/>
                      <w:lang w:val="en-US" w:eastAsia="zh-CN"/>
                      <w14:textFill>
                        <w14:solidFill>
                          <w14:schemeClr w14:val="tx1"/>
                        </w14:solidFill>
                      </w14:textFill>
                    </w:rPr>
                    <w:t>排放量（t/a）</w:t>
                  </w:r>
                </w:p>
              </w:tc>
            </w:tr>
            <w:tr w14:paraId="414D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9" w:type="pct"/>
                  <w:vMerge w:val="restart"/>
                  <w:vAlign w:val="center"/>
                </w:tcPr>
                <w:p w14:paraId="1B952E42">
                  <w:pPr>
                    <w:pStyle w:val="92"/>
                    <w:bidi w:val="0"/>
                    <w:jc w:val="center"/>
                    <w:rPr>
                      <w:rFonts w:hint="eastAsia"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热风炉</w:t>
                  </w:r>
                </w:p>
              </w:tc>
              <w:tc>
                <w:tcPr>
                  <w:tcW w:w="1250" w:type="pct"/>
                  <w:vAlign w:val="center"/>
                </w:tcPr>
                <w:p w14:paraId="0DAA8858">
                  <w:pPr>
                    <w:pStyle w:val="92"/>
                    <w:bidi w:val="0"/>
                    <w:jc w:val="center"/>
                    <w:rPr>
                      <w:rFonts w:hint="eastAsia"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SO</w:t>
                  </w:r>
                  <w:r>
                    <w:rPr>
                      <w:rFonts w:hint="eastAsia" w:ascii="宋体" w:hAnsi="宋体" w:eastAsia="宋体" w:cs="宋体"/>
                      <w:color w:val="000000" w:themeColor="text1"/>
                      <w:u w:val="single"/>
                      <w:vertAlign w:val="subscript"/>
                      <w:lang w:val="en-US" w:eastAsia="zh-CN"/>
                      <w14:textFill>
                        <w14:solidFill>
                          <w14:schemeClr w14:val="tx1"/>
                        </w14:solidFill>
                      </w14:textFill>
                    </w:rPr>
                    <w:t>2</w:t>
                  </w:r>
                </w:p>
              </w:tc>
              <w:tc>
                <w:tcPr>
                  <w:tcW w:w="1250" w:type="pct"/>
                  <w:vAlign w:val="center"/>
                </w:tcPr>
                <w:p w14:paraId="47721595">
                  <w:pPr>
                    <w:pStyle w:val="92"/>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cs="宋体"/>
                      <w:color w:val="000000" w:themeColor="text1"/>
                      <w:u w:val="single"/>
                      <w:lang w:val="en-US" w:eastAsia="zh-CN"/>
                      <w14:textFill>
                        <w14:solidFill>
                          <w14:schemeClr w14:val="tx1"/>
                        </w14:solidFill>
                      </w14:textFill>
                    </w:rPr>
                    <w:t>0.85</w:t>
                  </w:r>
                </w:p>
              </w:tc>
              <w:tc>
                <w:tcPr>
                  <w:tcW w:w="1250" w:type="pct"/>
                  <w:vAlign w:val="center"/>
                </w:tcPr>
                <w:p w14:paraId="77A1549F">
                  <w:pPr>
                    <w:pStyle w:val="92"/>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cs="宋体"/>
                      <w:color w:val="000000" w:themeColor="text1"/>
                      <w:u w:val="single"/>
                      <w:lang w:val="en-US" w:eastAsia="zh-CN"/>
                      <w14:textFill>
                        <w14:solidFill>
                          <w14:schemeClr w14:val="tx1"/>
                        </w14:solidFill>
                      </w14:textFill>
                    </w:rPr>
                    <w:t>0.85</w:t>
                  </w:r>
                </w:p>
              </w:tc>
            </w:tr>
            <w:tr w14:paraId="3BAB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9" w:type="pct"/>
                  <w:vMerge w:val="continue"/>
                  <w:vAlign w:val="center"/>
                </w:tcPr>
                <w:p w14:paraId="6623B25B">
                  <w:pPr>
                    <w:pStyle w:val="92"/>
                    <w:bidi w:val="0"/>
                    <w:jc w:val="center"/>
                    <w:rPr>
                      <w:rFonts w:hint="eastAsia" w:ascii="宋体" w:hAnsi="宋体" w:eastAsia="宋体" w:cs="宋体"/>
                      <w:color w:val="000000" w:themeColor="text1"/>
                      <w:u w:val="single"/>
                      <w:lang w:val="en-US" w:eastAsia="zh-CN"/>
                      <w14:textFill>
                        <w14:solidFill>
                          <w14:schemeClr w14:val="tx1"/>
                        </w14:solidFill>
                      </w14:textFill>
                    </w:rPr>
                  </w:pPr>
                </w:p>
              </w:tc>
              <w:tc>
                <w:tcPr>
                  <w:tcW w:w="1250" w:type="pct"/>
                  <w:vAlign w:val="center"/>
                </w:tcPr>
                <w:p w14:paraId="0A33973F">
                  <w:pPr>
                    <w:pStyle w:val="92"/>
                    <w:bidi w:val="0"/>
                    <w:jc w:val="center"/>
                    <w:rPr>
                      <w:rFonts w:hint="eastAsia"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颗粒物</w:t>
                  </w:r>
                </w:p>
              </w:tc>
              <w:tc>
                <w:tcPr>
                  <w:tcW w:w="1250" w:type="pct"/>
                  <w:vAlign w:val="center"/>
                </w:tcPr>
                <w:p w14:paraId="0E34CFD9">
                  <w:pPr>
                    <w:pStyle w:val="92"/>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cs="宋体"/>
                      <w:color w:val="000000" w:themeColor="text1"/>
                      <w:u w:val="single"/>
                      <w:lang w:val="en-US" w:eastAsia="zh-CN"/>
                      <w14:textFill>
                        <w14:solidFill>
                          <w14:schemeClr w14:val="tx1"/>
                        </w14:solidFill>
                      </w14:textFill>
                    </w:rPr>
                    <w:t>0.607</w:t>
                  </w:r>
                </w:p>
              </w:tc>
              <w:tc>
                <w:tcPr>
                  <w:tcW w:w="1250" w:type="pct"/>
                  <w:vAlign w:val="center"/>
                </w:tcPr>
                <w:p w14:paraId="3879921E">
                  <w:pPr>
                    <w:pStyle w:val="92"/>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cs="宋体"/>
                      <w:color w:val="000000" w:themeColor="text1"/>
                      <w:u w:val="single"/>
                      <w:lang w:val="en-US" w:eastAsia="zh-CN"/>
                      <w14:textFill>
                        <w14:solidFill>
                          <w14:schemeClr w14:val="tx1"/>
                        </w14:solidFill>
                      </w14:textFill>
                    </w:rPr>
                    <w:t>0.03</w:t>
                  </w:r>
                </w:p>
              </w:tc>
            </w:tr>
            <w:tr w14:paraId="39D4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9" w:type="pct"/>
                  <w:vMerge w:val="continue"/>
                  <w:vAlign w:val="center"/>
                </w:tcPr>
                <w:p w14:paraId="67307D20">
                  <w:pPr>
                    <w:pStyle w:val="92"/>
                    <w:bidi w:val="0"/>
                    <w:jc w:val="center"/>
                    <w:rPr>
                      <w:rFonts w:hint="eastAsia" w:ascii="宋体" w:hAnsi="宋体" w:eastAsia="宋体" w:cs="宋体"/>
                      <w:color w:val="000000" w:themeColor="text1"/>
                      <w:u w:val="single"/>
                      <w:lang w:val="en-US" w:eastAsia="zh-CN"/>
                      <w14:textFill>
                        <w14:solidFill>
                          <w14:schemeClr w14:val="tx1"/>
                        </w14:solidFill>
                      </w14:textFill>
                    </w:rPr>
                  </w:pPr>
                </w:p>
              </w:tc>
              <w:tc>
                <w:tcPr>
                  <w:tcW w:w="1250" w:type="pct"/>
                  <w:vAlign w:val="center"/>
                </w:tcPr>
                <w:p w14:paraId="6FE283E2">
                  <w:pPr>
                    <w:pStyle w:val="92"/>
                    <w:bidi w:val="0"/>
                    <w:jc w:val="center"/>
                    <w:rPr>
                      <w:rFonts w:hint="eastAsia"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NO</w:t>
                  </w:r>
                  <w:r>
                    <w:rPr>
                      <w:rFonts w:hint="eastAsia" w:ascii="宋体" w:hAnsi="宋体" w:eastAsia="宋体" w:cs="宋体"/>
                      <w:color w:val="000000" w:themeColor="text1"/>
                      <w:u w:val="single"/>
                      <w:vertAlign w:val="subscript"/>
                      <w:lang w:val="en-US" w:eastAsia="zh-CN"/>
                      <w14:textFill>
                        <w14:solidFill>
                          <w14:schemeClr w14:val="tx1"/>
                        </w14:solidFill>
                      </w14:textFill>
                    </w:rPr>
                    <w:t>X</w:t>
                  </w:r>
                </w:p>
              </w:tc>
              <w:tc>
                <w:tcPr>
                  <w:tcW w:w="1250" w:type="pct"/>
                  <w:vAlign w:val="center"/>
                </w:tcPr>
                <w:p w14:paraId="5E28BA86">
                  <w:pPr>
                    <w:pStyle w:val="92"/>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cs="宋体"/>
                      <w:color w:val="000000" w:themeColor="text1"/>
                      <w:u w:val="single"/>
                      <w:lang w:val="en-US" w:eastAsia="zh-CN"/>
                      <w14:textFill>
                        <w14:solidFill>
                          <w14:schemeClr w14:val="tx1"/>
                        </w14:solidFill>
                      </w14:textFill>
                    </w:rPr>
                    <w:t>1.24</w:t>
                  </w:r>
                </w:p>
              </w:tc>
              <w:tc>
                <w:tcPr>
                  <w:tcW w:w="1250" w:type="pct"/>
                  <w:vAlign w:val="center"/>
                </w:tcPr>
                <w:p w14:paraId="766C5D7A">
                  <w:pPr>
                    <w:pStyle w:val="92"/>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cs="宋体"/>
                      <w:color w:val="000000" w:themeColor="text1"/>
                      <w:u w:val="single"/>
                      <w:lang w:val="en-US" w:eastAsia="zh-CN"/>
                      <w14:textFill>
                        <w14:solidFill>
                          <w14:schemeClr w14:val="tx1"/>
                        </w14:solidFill>
                      </w14:textFill>
                    </w:rPr>
                    <w:t>1.24</w:t>
                  </w:r>
                </w:p>
              </w:tc>
            </w:tr>
          </w:tbl>
          <w:p w14:paraId="7C7C086F">
            <w:pPr>
              <w:pStyle w:val="76"/>
              <w:spacing w:line="360" w:lineRule="auto"/>
              <w:rPr>
                <w:rFonts w:hint="eastAsia"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表4-</w:t>
            </w:r>
            <w:r>
              <w:rPr>
                <w:rFonts w:hint="eastAsia" w:ascii="宋体" w:hAnsi="宋体" w:eastAsia="宋体" w:cs="宋体"/>
                <w:color w:val="000000" w:themeColor="text1"/>
                <w:u w:val="single"/>
                <w:lang w:val="en-US"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排放口基本情况一览表</w:t>
            </w:r>
          </w:p>
          <w:tbl>
            <w:tblPr>
              <w:tblStyle w:val="29"/>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4"/>
              <w:gridCol w:w="1066"/>
              <w:gridCol w:w="1167"/>
              <w:gridCol w:w="843"/>
              <w:gridCol w:w="838"/>
              <w:gridCol w:w="1064"/>
              <w:gridCol w:w="2006"/>
            </w:tblGrid>
            <w:tr w14:paraId="5BF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882" w:type="pct"/>
                  <w:vMerge w:val="restart"/>
                  <w:vAlign w:val="center"/>
                </w:tcPr>
                <w:p w14:paraId="603479A4">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编号及名称</w:t>
                  </w:r>
                </w:p>
              </w:tc>
              <w:tc>
                <w:tcPr>
                  <w:tcW w:w="4117" w:type="pct"/>
                  <w:gridSpan w:val="6"/>
                  <w:vAlign w:val="center"/>
                </w:tcPr>
                <w:p w14:paraId="013168CC">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基本情况</w:t>
                  </w:r>
                </w:p>
              </w:tc>
            </w:tr>
            <w:tr w14:paraId="4D97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882" w:type="pct"/>
                  <w:vMerge w:val="continue"/>
                  <w:vAlign w:val="center"/>
                </w:tcPr>
                <w:p w14:paraId="095A511B">
                  <w:pPr>
                    <w:pStyle w:val="53"/>
                    <w:bidi w:val="0"/>
                    <w:rPr>
                      <w:color w:val="000000" w:themeColor="text1"/>
                      <w:u w:val="single"/>
                      <w14:textFill>
                        <w14:solidFill>
                          <w14:schemeClr w14:val="tx1"/>
                        </w14:solidFill>
                      </w14:textFill>
                    </w:rPr>
                  </w:pPr>
                </w:p>
              </w:tc>
              <w:tc>
                <w:tcPr>
                  <w:tcW w:w="630" w:type="pct"/>
                  <w:vAlign w:val="center"/>
                </w:tcPr>
                <w:p w14:paraId="509377AF">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高度</w:t>
                  </w:r>
                </w:p>
                <w:p w14:paraId="70DEAB06">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（m）</w:t>
                  </w:r>
                </w:p>
              </w:tc>
              <w:tc>
                <w:tcPr>
                  <w:tcW w:w="689" w:type="pct"/>
                  <w:vAlign w:val="center"/>
                </w:tcPr>
                <w:p w14:paraId="6A73BFDF">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排气筒内</w:t>
                  </w:r>
                </w:p>
                <w:p w14:paraId="3860DAB9">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径（m）</w:t>
                  </w:r>
                </w:p>
              </w:tc>
              <w:tc>
                <w:tcPr>
                  <w:tcW w:w="498" w:type="pct"/>
                  <w:vAlign w:val="center"/>
                </w:tcPr>
                <w:p w14:paraId="28207D44">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流速</w:t>
                  </w:r>
                </w:p>
                <w:p w14:paraId="6059FA5A">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/m/s</w:t>
                  </w:r>
                </w:p>
              </w:tc>
              <w:tc>
                <w:tcPr>
                  <w:tcW w:w="495" w:type="pct"/>
                  <w:vAlign w:val="center"/>
                </w:tcPr>
                <w:p w14:paraId="672415F8">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温度/℃</w:t>
                  </w:r>
                </w:p>
              </w:tc>
              <w:tc>
                <w:tcPr>
                  <w:tcW w:w="628" w:type="pct"/>
                  <w:vAlign w:val="center"/>
                </w:tcPr>
                <w:p w14:paraId="31C1A506">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类型</w:t>
                  </w:r>
                </w:p>
              </w:tc>
              <w:tc>
                <w:tcPr>
                  <w:tcW w:w="1176" w:type="pct"/>
                  <w:vAlign w:val="center"/>
                </w:tcPr>
                <w:p w14:paraId="5FB1A470">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地理坐标</w:t>
                  </w:r>
                </w:p>
              </w:tc>
            </w:tr>
            <w:tr w14:paraId="34D4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882" w:type="pct"/>
                  <w:vAlign w:val="center"/>
                </w:tcPr>
                <w:p w14:paraId="61DD3DE7">
                  <w:pPr>
                    <w:pStyle w:val="53"/>
                    <w:bidi w:val="0"/>
                    <w:rPr>
                      <w:rFonts w:hint="eastAsia"/>
                      <w:color w:val="000000" w:themeColor="text1"/>
                      <w:u w:val="single"/>
                      <w:lang w:val="en-US" w:eastAsia="zh-CN"/>
                      <w14:textFill>
                        <w14:solidFill>
                          <w14:schemeClr w14:val="tx1"/>
                        </w14:solidFill>
                      </w14:textFill>
                    </w:rPr>
                  </w:pPr>
                  <w:r>
                    <w:rPr>
                      <w:color w:val="000000" w:themeColor="text1"/>
                      <w:u w:val="single"/>
                      <w14:textFill>
                        <w14:solidFill>
                          <w14:schemeClr w14:val="tx1"/>
                        </w14:solidFill>
                      </w14:textFill>
                    </w:rPr>
                    <w:t>DA00</w:t>
                  </w:r>
                  <w:r>
                    <w:rPr>
                      <w:rFonts w:hint="eastAsia"/>
                      <w:color w:val="000000" w:themeColor="text1"/>
                      <w:u w:val="single"/>
                      <w:lang w:val="en-US" w:eastAsia="zh-CN"/>
                      <w14:textFill>
                        <w14:solidFill>
                          <w14:schemeClr w14:val="tx1"/>
                        </w14:solidFill>
                      </w14:textFill>
                    </w:rPr>
                    <w:t>1</w:t>
                  </w:r>
                </w:p>
              </w:tc>
              <w:tc>
                <w:tcPr>
                  <w:tcW w:w="630" w:type="pct"/>
                  <w:vAlign w:val="center"/>
                </w:tcPr>
                <w:p w14:paraId="6E2053DE">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15</w:t>
                  </w:r>
                </w:p>
              </w:tc>
              <w:tc>
                <w:tcPr>
                  <w:tcW w:w="689" w:type="pct"/>
                  <w:vAlign w:val="center"/>
                </w:tcPr>
                <w:p w14:paraId="33D6D612">
                  <w:pPr>
                    <w:pStyle w:val="53"/>
                    <w:bidi w:val="0"/>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0.5</w:t>
                  </w:r>
                </w:p>
              </w:tc>
              <w:tc>
                <w:tcPr>
                  <w:tcW w:w="498" w:type="pct"/>
                  <w:vAlign w:val="center"/>
                </w:tcPr>
                <w:p w14:paraId="4DF533B8">
                  <w:pPr>
                    <w:pStyle w:val="53"/>
                    <w:bidi w:val="0"/>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w:t>
                  </w:r>
                </w:p>
              </w:tc>
              <w:tc>
                <w:tcPr>
                  <w:tcW w:w="495" w:type="pct"/>
                  <w:vAlign w:val="center"/>
                </w:tcPr>
                <w:p w14:paraId="2C575C46">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40</w:t>
                  </w:r>
                </w:p>
              </w:tc>
              <w:tc>
                <w:tcPr>
                  <w:tcW w:w="628" w:type="pct"/>
                  <w:vAlign w:val="center"/>
                </w:tcPr>
                <w:p w14:paraId="7B455228">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一般排放</w:t>
                  </w:r>
                </w:p>
                <w:p w14:paraId="7BCB390F">
                  <w:pPr>
                    <w:pStyle w:val="53"/>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t>口</w:t>
                  </w:r>
                </w:p>
              </w:tc>
              <w:tc>
                <w:tcPr>
                  <w:tcW w:w="1176" w:type="pct"/>
                  <w:vAlign w:val="center"/>
                </w:tcPr>
                <w:p w14:paraId="62E2F5D3">
                  <w:pPr>
                    <w:pStyle w:val="53"/>
                    <w:bidi w:val="0"/>
                    <w:rPr>
                      <w:rFonts w:hint="eastAsia"/>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val="en-US" w:eastAsia="zh-CN"/>
                      <w14:textFill>
                        <w14:solidFill>
                          <w14:schemeClr w14:val="tx1"/>
                        </w14:solidFill>
                      </w14:textFill>
                    </w:rPr>
                    <w:t>E111°39′1.34256″</w:t>
                  </w:r>
                </w:p>
                <w:p w14:paraId="35F46B6C">
                  <w:pPr>
                    <w:pStyle w:val="53"/>
                    <w:bidi w:val="0"/>
                    <w:rPr>
                      <w:color w:val="FF0000"/>
                      <w:u w:val="single"/>
                    </w:rPr>
                  </w:pPr>
                  <w:r>
                    <w:rPr>
                      <w:rFonts w:hint="eastAsia"/>
                      <w:color w:val="000000" w:themeColor="text1"/>
                      <w:sz w:val="21"/>
                      <w:szCs w:val="21"/>
                      <w:u w:val="single"/>
                      <w:lang w:val="en-US" w:eastAsia="zh-CN"/>
                      <w14:textFill>
                        <w14:solidFill>
                          <w14:schemeClr w14:val="tx1"/>
                        </w14:solidFill>
                      </w14:textFill>
                    </w:rPr>
                    <w:t>N29°41′43.52067″</w:t>
                  </w:r>
                </w:p>
              </w:tc>
            </w:tr>
          </w:tbl>
          <w:p w14:paraId="5B944F15">
            <w:pPr>
              <w:pStyle w:val="2"/>
              <w:jc w:val="center"/>
              <w:rPr>
                <w:rFonts w:hint="eastAsia" w:ascii="宋体" w:hAnsi="宋体" w:eastAsia="宋体" w:cs="宋体"/>
                <w:b/>
                <w:bCs/>
                <w:color w:val="000000" w:themeColor="text1"/>
                <w:sz w:val="21"/>
                <w:szCs w:val="21"/>
                <w:u w:val="single"/>
                <w:lang w:val="en-US" w:eastAsia="zh-CN"/>
                <w14:textFill>
                  <w14:solidFill>
                    <w14:schemeClr w14:val="tx1"/>
                  </w14:solidFill>
                </w14:textFill>
              </w:rPr>
            </w:pPr>
            <w:r>
              <w:rPr>
                <w:rFonts w:hint="eastAsia" w:ascii="宋体" w:hAnsi="宋体" w:eastAsia="宋体" w:cs="宋体"/>
                <w:b/>
                <w:bCs/>
                <w:color w:val="000000" w:themeColor="text1"/>
                <w:sz w:val="21"/>
                <w:szCs w:val="21"/>
                <w:u w:val="single"/>
                <w:lang w:val="en-US" w:eastAsia="zh-CN"/>
                <w14:textFill>
                  <w14:solidFill>
                    <w14:schemeClr w14:val="tx1"/>
                  </w14:solidFill>
                </w14:textFill>
              </w:rPr>
              <w:t>表4-5无组织粉尘排放一览表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119"/>
              <w:gridCol w:w="2119"/>
              <w:gridCol w:w="2124"/>
            </w:tblGrid>
            <w:tr w14:paraId="1DEA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49" w:type="pct"/>
                  <w:vAlign w:val="center"/>
                </w:tcPr>
                <w:p w14:paraId="40F3E995">
                  <w:pPr>
                    <w:pStyle w:val="53"/>
                    <w:bidi w:val="0"/>
                    <w:jc w:val="center"/>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产物部分</w:t>
                  </w:r>
                </w:p>
              </w:tc>
              <w:tc>
                <w:tcPr>
                  <w:tcW w:w="1249" w:type="pct"/>
                  <w:vAlign w:val="center"/>
                </w:tcPr>
                <w:p w14:paraId="3E365D02">
                  <w:pPr>
                    <w:pStyle w:val="53"/>
                    <w:bidi w:val="0"/>
                    <w:jc w:val="center"/>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产物量t/a</w:t>
                  </w:r>
                </w:p>
              </w:tc>
              <w:tc>
                <w:tcPr>
                  <w:tcW w:w="1249" w:type="pct"/>
                  <w:vAlign w:val="center"/>
                </w:tcPr>
                <w:p w14:paraId="04E84ABE">
                  <w:pPr>
                    <w:pStyle w:val="53"/>
                    <w:bidi w:val="0"/>
                    <w:jc w:val="center"/>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治理措施</w:t>
                  </w:r>
                </w:p>
              </w:tc>
              <w:tc>
                <w:tcPr>
                  <w:tcW w:w="1252" w:type="pct"/>
                  <w:vAlign w:val="center"/>
                </w:tcPr>
                <w:p w14:paraId="55847F69">
                  <w:pPr>
                    <w:pStyle w:val="53"/>
                    <w:bidi w:val="0"/>
                    <w:jc w:val="center"/>
                    <w:rPr>
                      <w:rFonts w:hint="default"/>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无组织排放量</w:t>
                  </w:r>
                </w:p>
              </w:tc>
            </w:tr>
            <w:tr w14:paraId="4A11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49" w:type="pct"/>
                  <w:vAlign w:val="center"/>
                </w:tcPr>
                <w:p w14:paraId="24226CCA">
                  <w:pPr>
                    <w:pStyle w:val="53"/>
                    <w:bidi w:val="0"/>
                    <w:jc w:val="center"/>
                    <w:rPr>
                      <w:rFonts w:hint="default" w:ascii="宋体" w:hAnsi="Times New Roman" w:eastAsia="宋体" w:cs="Times New Roman"/>
                      <w:color w:val="000000" w:themeColor="text1"/>
                      <w:u w:val="single"/>
                      <w:lang w:val="en-US" w:eastAsia="zh-CN"/>
                      <w14:textFill>
                        <w14:solidFill>
                          <w14:schemeClr w14:val="tx1"/>
                        </w14:solidFill>
                      </w14:textFill>
                    </w:rPr>
                  </w:pPr>
                  <w:r>
                    <w:rPr>
                      <w:rFonts w:hint="eastAsia" w:ascii="宋体" w:hAnsi="Times New Roman" w:eastAsia="宋体" w:cs="Times New Roman"/>
                      <w:color w:val="000000" w:themeColor="text1"/>
                      <w:u w:val="single"/>
                      <w:lang w:val="en-US" w:eastAsia="zh-CN"/>
                      <w14:textFill>
                        <w14:solidFill>
                          <w14:schemeClr w14:val="tx1"/>
                        </w14:solidFill>
                      </w14:textFill>
                    </w:rPr>
                    <w:t>卸粮</w:t>
                  </w:r>
                  <w:r>
                    <w:rPr>
                      <w:rFonts w:hint="eastAsia" w:cs="Times New Roman"/>
                      <w:color w:val="000000" w:themeColor="text1"/>
                      <w:u w:val="single"/>
                      <w:lang w:val="en-US" w:eastAsia="zh-CN"/>
                      <w14:textFill>
                        <w14:solidFill>
                          <w14:schemeClr w14:val="tx1"/>
                        </w14:solidFill>
                      </w14:textFill>
                    </w:rPr>
                    <w:t>、出渣</w:t>
                  </w:r>
                  <w:r>
                    <w:rPr>
                      <w:rFonts w:hint="eastAsia" w:ascii="宋体" w:hAnsi="Times New Roman" w:eastAsia="宋体" w:cs="Times New Roman"/>
                      <w:color w:val="000000" w:themeColor="text1"/>
                      <w:u w:val="single"/>
                      <w:lang w:val="en-US" w:eastAsia="zh-CN"/>
                      <w14:textFill>
                        <w14:solidFill>
                          <w14:schemeClr w14:val="tx1"/>
                        </w14:solidFill>
                      </w14:textFill>
                    </w:rPr>
                    <w:t>粉尘</w:t>
                  </w:r>
                </w:p>
              </w:tc>
              <w:tc>
                <w:tcPr>
                  <w:tcW w:w="1249" w:type="pct"/>
                  <w:vAlign w:val="center"/>
                </w:tcPr>
                <w:p w14:paraId="7F2EEEB0">
                  <w:pPr>
                    <w:pStyle w:val="53"/>
                    <w:bidi w:val="0"/>
                    <w:jc w:val="center"/>
                    <w:rPr>
                      <w:rFonts w:hint="default" w:ascii="宋体" w:hAnsi="Times New Roman" w:eastAsia="宋体"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0.0149</w:t>
                  </w:r>
                </w:p>
              </w:tc>
              <w:tc>
                <w:tcPr>
                  <w:tcW w:w="1249" w:type="pct"/>
                  <w:vAlign w:val="center"/>
                </w:tcPr>
                <w:p w14:paraId="63EBBD6E">
                  <w:pPr>
                    <w:pStyle w:val="53"/>
                    <w:bidi w:val="0"/>
                    <w:jc w:val="center"/>
                    <w:rPr>
                      <w:rFonts w:hint="default" w:ascii="宋体" w:hAnsi="Times New Roman" w:eastAsia="宋体" w:cs="Times New Roman"/>
                      <w:color w:val="000000" w:themeColor="text1"/>
                      <w:u w:val="single"/>
                      <w:lang w:val="en-US" w:eastAsia="zh-CN"/>
                      <w14:textFill>
                        <w14:solidFill>
                          <w14:schemeClr w14:val="tx1"/>
                        </w14:solidFill>
                      </w14:textFill>
                    </w:rPr>
                  </w:pPr>
                  <w:r>
                    <w:rPr>
                      <w:rFonts w:hint="eastAsia" w:ascii="宋体" w:hAnsi="Times New Roman" w:eastAsia="宋体" w:cs="Times New Roman"/>
                      <w:color w:val="000000" w:themeColor="text1"/>
                      <w:u w:val="single"/>
                      <w:lang w:val="en-US" w:eastAsia="zh-CN"/>
                      <w14:textFill>
                        <w14:solidFill>
                          <w14:schemeClr w14:val="tx1"/>
                        </w14:solidFill>
                      </w14:textFill>
                    </w:rPr>
                    <w:t>/</w:t>
                  </w:r>
                </w:p>
              </w:tc>
              <w:tc>
                <w:tcPr>
                  <w:tcW w:w="1252" w:type="pct"/>
                  <w:vAlign w:val="center"/>
                </w:tcPr>
                <w:p w14:paraId="0D0298AC">
                  <w:pPr>
                    <w:pStyle w:val="53"/>
                    <w:bidi w:val="0"/>
                    <w:jc w:val="center"/>
                    <w:rPr>
                      <w:rFonts w:hint="default" w:ascii="宋体" w:hAnsi="Times New Roman" w:eastAsia="宋体"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0.0149</w:t>
                  </w:r>
                </w:p>
              </w:tc>
            </w:tr>
          </w:tbl>
          <w:p w14:paraId="1C91B9B9">
            <w:pPr>
              <w:pStyle w:val="83"/>
              <w:numPr>
                <w:ilvl w:val="0"/>
                <w:numId w:val="6"/>
              </w:numPr>
              <w:spacing w:before="77" w:line="360" w:lineRule="auto"/>
              <w:ind w:left="630" w:leftChars="0" w:firstLineChars="0"/>
              <w:rPr>
                <w:rFonts w:hint="default" w:ascii="Times New Roman" w:hAnsi="Times New Roman"/>
                <w:b/>
                <w:color w:val="000000" w:themeColor="text1"/>
                <w:sz w:val="24"/>
                <w:u w:val="none"/>
                <w:lang w:val="en-US" w:eastAsia="zh-CN"/>
                <w14:textFill>
                  <w14:solidFill>
                    <w14:schemeClr w14:val="tx1"/>
                  </w14:solidFill>
                </w14:textFill>
              </w:rPr>
            </w:pPr>
            <w:r>
              <w:rPr>
                <w:rFonts w:hint="default" w:ascii="Times New Roman" w:hAnsi="Times New Roman"/>
                <w:b/>
                <w:color w:val="000000" w:themeColor="text1"/>
                <w:sz w:val="24"/>
                <w:u w:val="none"/>
                <w:lang w:val="en-US" w:eastAsia="zh-CN"/>
                <w14:textFill>
                  <w14:solidFill>
                    <w14:schemeClr w14:val="tx1"/>
                  </w14:solidFill>
                </w14:textFill>
              </w:rPr>
              <w:t>污染物防治措施的可行性分析</w:t>
            </w:r>
          </w:p>
          <w:p w14:paraId="38A152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pP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沉降室：沉降室结构简单、造价低、施工容易、维护管理方便、阻力小等优点。主要用于处理进粮卸料、初清、入原粮仓或毛谷仓的粉尘，这类粉尘的主要特点的体积大、密度较大，用重力沉降室就能达到很好的处理效果。 </w:t>
            </w:r>
          </w:p>
          <w:p w14:paraId="0A3122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u w:val="single"/>
                <w14:textFill>
                  <w14:solidFill>
                    <w14:schemeClr w14:val="tx1"/>
                  </w14:solidFill>
                </w14:textFill>
              </w:rPr>
            </w:pP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布袋除尘器：布袋除尘是运用最广泛的除尘设施之一，袋式除尘器是一种 </w:t>
            </w:r>
          </w:p>
          <w:p w14:paraId="7B986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pP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 </w:t>
            </w:r>
          </w:p>
          <w:p w14:paraId="7CD4A9D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kern w:val="0"/>
                <w:sz w:val="24"/>
                <w:szCs w:val="24"/>
                <w:u w:val="single"/>
                <w:lang w:val="en-US" w:eastAsia="zh-CN" w:bidi="ar"/>
                <w14:textFill>
                  <w14:solidFill>
                    <w14:schemeClr w14:val="tx1"/>
                  </w14:solidFill>
                </w14:textFill>
              </w:rPr>
            </w:pP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根据《排污许可证申请与核发技术规范 工业炉窑》</w:t>
            </w:r>
            <w:r>
              <w:rPr>
                <w:rFonts w:hint="default" w:ascii="宋体" w:hAnsi="宋体" w:eastAsia="宋体" w:cs="宋体"/>
                <w:color w:val="000000" w:themeColor="text1"/>
                <w:kern w:val="0"/>
                <w:sz w:val="24"/>
                <w:szCs w:val="24"/>
                <w:u w:val="single"/>
                <w:lang w:val="en-US" w:eastAsia="zh-CN" w:bidi="ar"/>
                <w14:textFill>
                  <w14:solidFill>
                    <w14:schemeClr w14:val="tx1"/>
                  </w14:solidFill>
                </w14:textFill>
              </w:rPr>
              <w:t>(HJ1121—2020)</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中规定：可行技术应根据排放限值要求、燃料性质、锅炉容量、燃烧方式和排污单位现场条件等进行选择。干燥炉一般采用除尘器。本项目生物质燃料的热风炉采取沙克隆+</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密闭重力沉降室去除粉尘，并组合布袋除尘进一步去除粉尘，本项目无组织废气要求企业经常性对车间地面、设备外表进行清洁，严格控制扬粉尘影响</w:t>
            </w:r>
            <w:r>
              <w:rPr>
                <w:rFonts w:hint="eastAsia" w:ascii="宋体" w:hAnsi="宋体" w:cs="宋体"/>
                <w:color w:val="000000" w:themeColor="text1"/>
                <w:kern w:val="0"/>
                <w:sz w:val="24"/>
                <w:szCs w:val="24"/>
                <w:u w:val="single"/>
                <w:lang w:val="en-US" w:eastAsia="zh-CN" w:bidi="ar"/>
                <w14:textFill>
                  <w14:solidFill>
                    <w14:schemeClr w14:val="tx1"/>
                  </w14:solidFill>
                </w14:textFill>
              </w:rPr>
              <w:t>，</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确保废气稳定达标排放。因此本环评要求采取的废气治理措施可行。</w:t>
            </w:r>
          </w:p>
          <w:p w14:paraId="647C0A97">
            <w:pPr>
              <w:adjustRightInd w:val="0"/>
              <w:snapToGrid w:val="0"/>
              <w:spacing w:before="120" w:beforeLines="50"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rFonts w:hint="eastAsia"/>
                <w:b/>
                <w:bCs/>
                <w:color w:val="000000" w:themeColor="text1"/>
                <w:sz w:val="24"/>
                <w:lang w:eastAsia="zh-CN"/>
                <w14:textFill>
                  <w14:solidFill>
                    <w14:schemeClr w14:val="tx1"/>
                  </w14:solidFill>
                </w14:textFill>
              </w:rPr>
              <w:t>二</w:t>
            </w:r>
            <w:r>
              <w:rPr>
                <w:rFonts w:hint="eastAsia"/>
                <w:b/>
                <w:bCs/>
                <w:color w:val="000000" w:themeColor="text1"/>
                <w:sz w:val="24"/>
                <w14:textFill>
                  <w14:solidFill>
                    <w14:schemeClr w14:val="tx1"/>
                  </w14:solidFill>
                </w14:textFill>
              </w:rPr>
              <w:t>）废水</w:t>
            </w:r>
          </w:p>
          <w:p w14:paraId="00D63AB5">
            <w:pPr>
              <w:spacing w:line="360" w:lineRule="auto"/>
              <w:ind w:firstLine="240" w:firstLineChars="100"/>
              <w:textAlignment w:val="baseline"/>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（1）生活用水</w:t>
            </w:r>
          </w:p>
          <w:p w14:paraId="6EF9125C">
            <w:pPr>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lang w:val="en-US" w:eastAsia="zh-CN"/>
              </w:rPr>
              <w:t>本项目废水仅生活用水。</w:t>
            </w:r>
            <w:r>
              <w:rPr>
                <w:rFonts w:hint="eastAsia" w:ascii="宋体" w:hAnsi="宋体" w:eastAsia="宋体" w:cs="宋体"/>
                <w:color w:val="auto"/>
                <w:sz w:val="24"/>
                <w:szCs w:val="24"/>
                <w:lang w:val="en-US" w:eastAsia="zh-CN"/>
              </w:rPr>
              <w:t>根据建设单位提供资料，项目劳动定员</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人，参考《湖南省用水定额地方标准》(DB43/T388--2020)可知，驻厂员工生活用水定为90L(人d)，则本项目生活用水量为</w:t>
            </w:r>
            <w:r>
              <w:rPr>
                <w:rFonts w:hint="eastAsia" w:ascii="宋体" w:hAnsi="宋体" w:cs="宋体"/>
                <w:color w:val="auto"/>
                <w:sz w:val="24"/>
                <w:szCs w:val="24"/>
                <w:lang w:val="en-US" w:eastAsia="zh-CN"/>
              </w:rPr>
              <w:t>0.72</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/d，</w:t>
            </w:r>
            <w:r>
              <w:rPr>
                <w:rFonts w:hint="eastAsia" w:ascii="宋体" w:hAnsi="宋体" w:cs="宋体"/>
                <w:color w:val="auto"/>
                <w:sz w:val="24"/>
                <w:szCs w:val="24"/>
                <w:lang w:val="en-US" w:eastAsia="zh-CN"/>
              </w:rPr>
              <w:t>86.4</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/a(按</w:t>
            </w:r>
            <w:r>
              <w:rPr>
                <w:rFonts w:hint="eastAsia" w:ascii="宋体" w:hAnsi="宋体" w:cs="宋体"/>
                <w:color w:val="auto"/>
                <w:sz w:val="24"/>
                <w:szCs w:val="24"/>
                <w:lang w:val="en-US" w:eastAsia="zh-CN"/>
              </w:rPr>
              <w:t>120</w:t>
            </w:r>
            <w:r>
              <w:rPr>
                <w:rFonts w:hint="eastAsia" w:ascii="宋体" w:hAnsi="宋体" w:eastAsia="宋体" w:cs="宋体"/>
                <w:color w:val="auto"/>
                <w:sz w:val="24"/>
                <w:szCs w:val="24"/>
                <w:lang w:val="en-US" w:eastAsia="zh-CN"/>
              </w:rPr>
              <w:t>天计)。生活污水经化粪池预处理后用于周边农田施肥，综合利用不外排，不会对周边水环境造成影响。</w:t>
            </w:r>
          </w:p>
          <w:p w14:paraId="39B9B2F1">
            <w:pPr>
              <w:bidi w:val="0"/>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（2）生活污水处理措施可行性分析</w:t>
            </w:r>
          </w:p>
          <w:p w14:paraId="5439DB5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产生的生活污水量较少，水质简单，经化粪池预处理后，可以交由周边农户作为农肥利用，项目所在区域为乡村，周边多为农田和耕地，完全可以消纳本项目生产期间产生的的生活污水。综上所述，本项目无废水外排，对区城水环境影响极小。</w:t>
            </w:r>
          </w:p>
          <w:p w14:paraId="1A1C730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b/>
                <w:bCs/>
                <w:color w:val="auto"/>
                <w:kern w:val="0"/>
                <w:sz w:val="24"/>
              </w:rPr>
            </w:pPr>
            <w:r>
              <w:rPr>
                <w:rFonts w:hint="eastAsia"/>
                <w:b/>
                <w:bCs/>
                <w:color w:val="auto"/>
                <w:kern w:val="0"/>
                <w:sz w:val="24"/>
              </w:rPr>
              <w:t>（三）</w:t>
            </w:r>
            <w:r>
              <w:rPr>
                <w:b/>
                <w:bCs/>
                <w:color w:val="auto"/>
                <w:kern w:val="0"/>
                <w:sz w:val="24"/>
              </w:rPr>
              <w:t>声环境质量影响分析</w:t>
            </w:r>
          </w:p>
          <w:p w14:paraId="64A7F54F">
            <w:pPr>
              <w:tabs>
                <w:tab w:val="center" w:pos="4234"/>
              </w:tabs>
              <w:adjustRightInd w:val="0"/>
              <w:snapToGrid w:val="0"/>
              <w:spacing w:line="360" w:lineRule="auto"/>
              <w:ind w:firstLine="480" w:firstLineChars="200"/>
              <w:rPr>
                <w:rFonts w:hint="eastAsia" w:ascii="Times New Roman" w:hAnsi="Times New Roman" w:eastAsia="宋体" w:cs="Times New Roman"/>
                <w:color w:val="FF0000"/>
                <w:kern w:val="0"/>
                <w:sz w:val="24"/>
                <w:u w:val="single" w:color="auto"/>
                <w:lang w:eastAsia="zh-CN"/>
              </w:rPr>
            </w:pPr>
            <w:r>
              <w:rPr>
                <w:rFonts w:hint="eastAsia" w:cs="Times New Roman"/>
                <w:color w:val="auto"/>
                <w:kern w:val="0"/>
                <w:sz w:val="24"/>
                <w:u w:val="single" w:color="auto"/>
                <w:lang w:val="en-US" w:eastAsia="zh-CN"/>
              </w:rPr>
              <w:t>根据同类项目可知本项目</w:t>
            </w:r>
            <w:r>
              <w:rPr>
                <w:rFonts w:hint="eastAsia" w:ascii="Times New Roman" w:hAnsi="Times New Roman" w:eastAsia="宋体" w:cs="Times New Roman"/>
                <w:color w:val="auto"/>
                <w:kern w:val="0"/>
                <w:sz w:val="24"/>
                <w:u w:val="single" w:color="auto"/>
                <w:lang w:eastAsia="zh-CN"/>
              </w:rPr>
              <w:t>噪声主要来自于生产车间主要设备运行引起的机械性噪声，主要高噪声设备源强见下表。</w:t>
            </w:r>
          </w:p>
          <w:p w14:paraId="3FE8B8E0">
            <w:pPr>
              <w:spacing w:before="50"/>
              <w:jc w:val="center"/>
              <w:rPr>
                <w:rFonts w:hint="default" w:ascii="宋体" w:hAnsi="宋体" w:eastAsia="宋体" w:cs="宋体"/>
                <w:b/>
                <w:bCs/>
                <w:color w:val="auto"/>
                <w:sz w:val="21"/>
                <w:szCs w:val="21"/>
                <w:highlight w:val="none"/>
                <w:u w:val="single" w:color="auto"/>
                <w:lang w:val="en-US" w:eastAsia="zh-CN"/>
              </w:rPr>
            </w:pPr>
            <w:r>
              <w:rPr>
                <w:rFonts w:hint="eastAsia" w:ascii="宋体" w:hAnsi="宋体" w:eastAsia="宋体" w:cs="宋体"/>
                <w:b/>
                <w:bCs/>
                <w:color w:val="auto"/>
                <w:kern w:val="0"/>
                <w:sz w:val="21"/>
                <w:szCs w:val="21"/>
                <w:u w:val="single" w:color="auto"/>
                <w:lang w:eastAsia="zh-CN"/>
              </w:rPr>
              <w:t>表4-</w:t>
            </w:r>
            <w:r>
              <w:rPr>
                <w:rFonts w:hint="eastAsia" w:ascii="宋体" w:hAnsi="宋体" w:eastAsia="宋体" w:cs="宋体"/>
                <w:b/>
                <w:bCs/>
                <w:color w:val="auto"/>
                <w:kern w:val="0"/>
                <w:sz w:val="21"/>
                <w:szCs w:val="21"/>
                <w:u w:val="single" w:color="auto"/>
                <w:lang w:val="en-US" w:eastAsia="zh-CN"/>
              </w:rPr>
              <w:t>6</w:t>
            </w:r>
            <w:r>
              <w:rPr>
                <w:rFonts w:hint="default" w:ascii="宋体" w:hAnsi="宋体" w:eastAsia="宋体" w:cs="宋体"/>
                <w:b/>
                <w:bCs/>
                <w:color w:val="auto"/>
                <w:sz w:val="21"/>
                <w:szCs w:val="21"/>
                <w:highlight w:val="none"/>
                <w:u w:val="single" w:color="auto"/>
              </w:rPr>
              <w:t>主要生产设备噪声强度</w:t>
            </w:r>
          </w:p>
          <w:tbl>
            <w:tblPr>
              <w:tblStyle w:val="2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512"/>
              <w:gridCol w:w="546"/>
              <w:gridCol w:w="911"/>
              <w:gridCol w:w="958"/>
              <w:gridCol w:w="1077"/>
              <w:gridCol w:w="875"/>
              <w:gridCol w:w="677"/>
              <w:gridCol w:w="1951"/>
            </w:tblGrid>
            <w:tr w14:paraId="7561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1965B792">
                  <w:pPr>
                    <w:widowControl/>
                    <w:jc w:val="center"/>
                    <w:textAlignment w:val="bottom"/>
                    <w:rPr>
                      <w:rFonts w:hint="eastAsia" w:ascii="宋体" w:hAnsi="宋体" w:eastAsia="宋体" w:cs="宋体"/>
                      <w:b/>
                      <w:bCs/>
                      <w:color w:val="auto"/>
                      <w:kern w:val="0"/>
                      <w:sz w:val="21"/>
                      <w:szCs w:val="21"/>
                      <w:u w:val="single" w:color="auto"/>
                      <w:lang w:eastAsia="zh-CN" w:bidi="ar"/>
                    </w:rPr>
                  </w:pPr>
                  <w:r>
                    <w:rPr>
                      <w:rFonts w:hint="eastAsia" w:ascii="宋体" w:hAnsi="宋体" w:eastAsia="宋体" w:cs="宋体"/>
                      <w:b/>
                      <w:bCs/>
                      <w:color w:val="auto"/>
                      <w:kern w:val="0"/>
                      <w:sz w:val="21"/>
                      <w:szCs w:val="21"/>
                      <w:u w:val="single" w:color="auto"/>
                      <w:lang w:eastAsia="zh-CN" w:bidi="ar"/>
                    </w:rPr>
                    <w:t>噪声源</w:t>
                  </w:r>
                </w:p>
              </w:tc>
              <w:tc>
                <w:tcPr>
                  <w:tcW w:w="302" w:type="pct"/>
                  <w:noWrap w:val="0"/>
                  <w:vAlign w:val="center"/>
                </w:tcPr>
                <w:p w14:paraId="592CA905">
                  <w:pPr>
                    <w:widowControl/>
                    <w:jc w:val="center"/>
                    <w:textAlignment w:val="bottom"/>
                    <w:rPr>
                      <w:rFonts w:hint="eastAsia" w:ascii="宋体" w:hAnsi="宋体" w:eastAsia="宋体" w:cs="宋体"/>
                      <w:b/>
                      <w:bCs/>
                      <w:color w:val="auto"/>
                      <w:kern w:val="0"/>
                      <w:sz w:val="21"/>
                      <w:szCs w:val="21"/>
                      <w:u w:val="single" w:color="auto"/>
                      <w:lang w:eastAsia="zh-CN" w:bidi="ar"/>
                    </w:rPr>
                  </w:pPr>
                  <w:r>
                    <w:rPr>
                      <w:rFonts w:hint="eastAsia" w:ascii="宋体" w:hAnsi="宋体" w:eastAsia="宋体" w:cs="宋体"/>
                      <w:b/>
                      <w:bCs/>
                      <w:color w:val="auto"/>
                      <w:kern w:val="0"/>
                      <w:sz w:val="21"/>
                      <w:szCs w:val="21"/>
                      <w:u w:val="single" w:color="auto"/>
                      <w:lang w:eastAsia="zh-CN" w:bidi="ar"/>
                    </w:rPr>
                    <w:t>编号</w:t>
                  </w:r>
                </w:p>
              </w:tc>
              <w:tc>
                <w:tcPr>
                  <w:tcW w:w="322" w:type="pct"/>
                  <w:noWrap w:val="0"/>
                  <w:vAlign w:val="center"/>
                </w:tcPr>
                <w:p w14:paraId="545FB61F">
                  <w:pPr>
                    <w:widowControl/>
                    <w:jc w:val="center"/>
                    <w:textAlignment w:val="bottom"/>
                    <w:rPr>
                      <w:rFonts w:hint="eastAsia" w:ascii="宋体" w:hAnsi="宋体" w:eastAsia="宋体" w:cs="宋体"/>
                      <w:b/>
                      <w:bCs/>
                      <w:color w:val="auto"/>
                      <w:kern w:val="0"/>
                      <w:sz w:val="21"/>
                      <w:szCs w:val="21"/>
                      <w:u w:val="single" w:color="auto"/>
                      <w:lang w:eastAsia="zh-CN" w:bidi="ar"/>
                    </w:rPr>
                  </w:pPr>
                  <w:r>
                    <w:rPr>
                      <w:rFonts w:hint="eastAsia" w:ascii="宋体" w:hAnsi="宋体" w:eastAsia="宋体" w:cs="宋体"/>
                      <w:b/>
                      <w:bCs/>
                      <w:color w:val="auto"/>
                      <w:kern w:val="0"/>
                      <w:sz w:val="21"/>
                      <w:szCs w:val="21"/>
                      <w:u w:val="single" w:color="auto"/>
                      <w:lang w:eastAsia="zh-CN" w:bidi="ar"/>
                    </w:rPr>
                    <w:t>数量</w:t>
                  </w:r>
                </w:p>
              </w:tc>
              <w:tc>
                <w:tcPr>
                  <w:tcW w:w="537" w:type="pct"/>
                  <w:noWrap w:val="0"/>
                  <w:vAlign w:val="center"/>
                </w:tcPr>
                <w:p w14:paraId="2D3D5179">
                  <w:pPr>
                    <w:pStyle w:val="74"/>
                    <w:spacing w:line="240" w:lineRule="auto"/>
                    <w:ind w:firstLine="0" w:firstLineChars="0"/>
                    <w:jc w:val="center"/>
                    <w:rPr>
                      <w:rFonts w:hint="eastAsia" w:ascii="宋体" w:hAnsi="宋体" w:eastAsia="宋体" w:cs="宋体"/>
                      <w:b/>
                      <w:color w:val="auto"/>
                      <w:sz w:val="21"/>
                      <w:szCs w:val="21"/>
                      <w:u w:val="single" w:color="auto"/>
                      <w:lang w:val="en-US" w:eastAsia="zh-CN" w:bidi="ar"/>
                    </w:rPr>
                  </w:pPr>
                  <w:r>
                    <w:rPr>
                      <w:rFonts w:hint="eastAsia" w:ascii="宋体" w:hAnsi="宋体" w:eastAsia="宋体" w:cs="宋体"/>
                      <w:b/>
                      <w:color w:val="auto"/>
                      <w:sz w:val="21"/>
                      <w:szCs w:val="21"/>
                      <w:u w:val="single" w:color="auto"/>
                      <w:lang w:val="en-US" w:eastAsia="zh-CN"/>
                    </w:rPr>
                    <w:t>产生</w:t>
                  </w:r>
                  <w:r>
                    <w:rPr>
                      <w:rFonts w:hint="eastAsia" w:ascii="宋体" w:hAnsi="宋体" w:eastAsia="宋体" w:cs="宋体"/>
                      <w:b/>
                      <w:color w:val="auto"/>
                      <w:sz w:val="21"/>
                      <w:szCs w:val="21"/>
                      <w:u w:val="single" w:color="auto"/>
                    </w:rPr>
                    <w:t>强度dB（A）</w:t>
                  </w:r>
                  <w:r>
                    <w:rPr>
                      <w:rFonts w:hint="eastAsia" w:ascii="宋体" w:hAnsi="宋体" w:eastAsia="宋体" w:cs="宋体"/>
                      <w:b/>
                      <w:color w:val="auto"/>
                      <w:sz w:val="21"/>
                      <w:szCs w:val="21"/>
                      <w:u w:val="single" w:color="auto"/>
                      <w:lang w:val="en-US" w:eastAsia="zh-CN"/>
                    </w:rPr>
                    <w:t>/台</w:t>
                  </w:r>
                </w:p>
              </w:tc>
              <w:tc>
                <w:tcPr>
                  <w:tcW w:w="565" w:type="pct"/>
                  <w:noWrap w:val="0"/>
                  <w:vAlign w:val="center"/>
                </w:tcPr>
                <w:p w14:paraId="0633D273">
                  <w:pPr>
                    <w:pStyle w:val="74"/>
                    <w:spacing w:line="240" w:lineRule="auto"/>
                    <w:ind w:firstLine="0" w:firstLineChars="0"/>
                    <w:jc w:val="center"/>
                    <w:rPr>
                      <w:rFonts w:hint="eastAsia" w:ascii="宋体" w:hAnsi="宋体" w:eastAsia="宋体" w:cs="宋体"/>
                      <w:b/>
                      <w:color w:val="auto"/>
                      <w:sz w:val="21"/>
                      <w:szCs w:val="21"/>
                      <w:u w:val="single" w:color="auto"/>
                      <w:lang w:bidi="ar"/>
                    </w:rPr>
                  </w:pPr>
                  <w:r>
                    <w:rPr>
                      <w:rFonts w:hint="eastAsia" w:ascii="宋体" w:hAnsi="宋体" w:eastAsia="宋体" w:cs="宋体"/>
                      <w:b/>
                      <w:color w:val="auto"/>
                      <w:sz w:val="21"/>
                      <w:szCs w:val="21"/>
                      <w:u w:val="single" w:color="auto"/>
                    </w:rPr>
                    <w:t>降噪措施及效果</w:t>
                  </w:r>
                </w:p>
              </w:tc>
              <w:tc>
                <w:tcPr>
                  <w:tcW w:w="635" w:type="pct"/>
                  <w:noWrap w:val="0"/>
                  <w:vAlign w:val="center"/>
                </w:tcPr>
                <w:p w14:paraId="309CD505">
                  <w:pPr>
                    <w:pStyle w:val="74"/>
                    <w:spacing w:line="240" w:lineRule="auto"/>
                    <w:ind w:firstLine="0" w:firstLineChars="0"/>
                    <w:jc w:val="center"/>
                    <w:rPr>
                      <w:rFonts w:hint="eastAsia" w:ascii="宋体" w:hAnsi="宋体" w:eastAsia="宋体" w:cs="宋体"/>
                      <w:b/>
                      <w:color w:val="auto"/>
                      <w:sz w:val="21"/>
                      <w:szCs w:val="21"/>
                      <w:u w:val="single" w:color="auto"/>
                    </w:rPr>
                  </w:pPr>
                  <w:r>
                    <w:rPr>
                      <w:rFonts w:hint="eastAsia" w:ascii="宋体" w:hAnsi="宋体" w:eastAsia="宋体" w:cs="宋体"/>
                      <w:b/>
                      <w:color w:val="auto"/>
                      <w:sz w:val="21"/>
                      <w:szCs w:val="21"/>
                      <w:u w:val="single" w:color="auto"/>
                    </w:rPr>
                    <w:t>降噪效果dB（A）</w:t>
                  </w:r>
                </w:p>
              </w:tc>
              <w:tc>
                <w:tcPr>
                  <w:tcW w:w="516" w:type="pct"/>
                  <w:noWrap w:val="0"/>
                  <w:vAlign w:val="center"/>
                </w:tcPr>
                <w:p w14:paraId="021B9990">
                  <w:pPr>
                    <w:pStyle w:val="74"/>
                    <w:spacing w:line="240" w:lineRule="auto"/>
                    <w:ind w:firstLine="0" w:firstLineChars="0"/>
                    <w:jc w:val="center"/>
                    <w:rPr>
                      <w:rFonts w:hint="eastAsia" w:ascii="宋体" w:hAnsi="宋体" w:eastAsia="宋体" w:cs="宋体"/>
                      <w:b/>
                      <w:color w:val="auto"/>
                      <w:sz w:val="21"/>
                      <w:szCs w:val="21"/>
                      <w:u w:val="single" w:color="auto"/>
                      <w:lang w:eastAsia="zh-CN"/>
                    </w:rPr>
                  </w:pPr>
                  <w:r>
                    <w:rPr>
                      <w:rFonts w:hint="eastAsia" w:ascii="宋体" w:hAnsi="宋体" w:eastAsia="宋体" w:cs="宋体"/>
                      <w:b/>
                      <w:color w:val="auto"/>
                      <w:sz w:val="21"/>
                      <w:szCs w:val="21"/>
                      <w:u w:val="single" w:color="auto"/>
                      <w:lang w:eastAsia="zh-CN"/>
                    </w:rPr>
                    <w:t>降噪后排放强度</w:t>
                  </w:r>
                  <w:r>
                    <w:rPr>
                      <w:rFonts w:hint="eastAsia" w:ascii="宋体" w:hAnsi="宋体" w:eastAsia="宋体" w:cs="宋体"/>
                      <w:b/>
                      <w:color w:val="auto"/>
                      <w:sz w:val="21"/>
                      <w:szCs w:val="21"/>
                      <w:u w:val="single" w:color="auto"/>
                    </w:rPr>
                    <w:t>dB（A）</w:t>
                  </w:r>
                </w:p>
              </w:tc>
              <w:tc>
                <w:tcPr>
                  <w:tcW w:w="399" w:type="pct"/>
                  <w:noWrap w:val="0"/>
                  <w:vAlign w:val="center"/>
                </w:tcPr>
                <w:p w14:paraId="67041812">
                  <w:pPr>
                    <w:pStyle w:val="74"/>
                    <w:spacing w:line="240" w:lineRule="auto"/>
                    <w:ind w:firstLine="0" w:firstLineChars="0"/>
                    <w:jc w:val="center"/>
                    <w:rPr>
                      <w:rFonts w:hint="eastAsia" w:ascii="宋体" w:hAnsi="宋体" w:eastAsia="宋体" w:cs="宋体"/>
                      <w:b/>
                      <w:color w:val="auto"/>
                      <w:sz w:val="21"/>
                      <w:szCs w:val="21"/>
                      <w:u w:val="single" w:color="auto"/>
                      <w:lang w:eastAsia="zh-CN"/>
                    </w:rPr>
                  </w:pPr>
                  <w:r>
                    <w:rPr>
                      <w:rFonts w:hint="eastAsia" w:ascii="宋体" w:hAnsi="宋体" w:eastAsia="宋体" w:cs="宋体"/>
                      <w:b/>
                      <w:color w:val="auto"/>
                      <w:sz w:val="21"/>
                      <w:szCs w:val="21"/>
                      <w:u w:val="single" w:color="auto"/>
                      <w:lang w:eastAsia="zh-CN"/>
                    </w:rPr>
                    <w:t>持续时间</w:t>
                  </w:r>
                  <w:r>
                    <w:rPr>
                      <w:rFonts w:hint="eastAsia" w:ascii="宋体" w:hAnsi="宋体" w:eastAsia="宋体" w:cs="宋体"/>
                      <w:b/>
                      <w:color w:val="auto"/>
                      <w:sz w:val="21"/>
                      <w:szCs w:val="21"/>
                      <w:u w:val="single" w:color="auto"/>
                      <w:lang w:val="en-US" w:eastAsia="zh-CN"/>
                    </w:rPr>
                    <w:t>h</w:t>
                  </w:r>
                </w:p>
              </w:tc>
              <w:tc>
                <w:tcPr>
                  <w:tcW w:w="1150" w:type="pct"/>
                  <w:noWrap w:val="0"/>
                  <w:vAlign w:val="center"/>
                </w:tcPr>
                <w:p w14:paraId="77D1BEFA">
                  <w:pPr>
                    <w:pStyle w:val="74"/>
                    <w:spacing w:line="240" w:lineRule="auto"/>
                    <w:ind w:firstLine="0" w:firstLineChars="0"/>
                    <w:jc w:val="center"/>
                    <w:rPr>
                      <w:rFonts w:hint="eastAsia" w:ascii="宋体" w:hAnsi="宋体" w:eastAsia="宋体" w:cs="宋体"/>
                      <w:b/>
                      <w:color w:val="auto"/>
                      <w:sz w:val="21"/>
                      <w:szCs w:val="21"/>
                      <w:u w:val="single" w:color="auto"/>
                      <w:lang w:eastAsia="zh-CN"/>
                    </w:rPr>
                  </w:pPr>
                  <w:r>
                    <w:rPr>
                      <w:rFonts w:hint="eastAsia" w:ascii="宋体" w:hAnsi="宋体" w:eastAsia="宋体" w:cs="宋体"/>
                      <w:b/>
                      <w:color w:val="auto"/>
                      <w:sz w:val="21"/>
                      <w:szCs w:val="21"/>
                      <w:u w:val="single" w:color="auto"/>
                      <w:lang w:eastAsia="zh-CN"/>
                    </w:rPr>
                    <w:t>排放标准</w:t>
                  </w:r>
                </w:p>
              </w:tc>
            </w:tr>
            <w:tr w14:paraId="2D02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0259EB98">
                  <w:pPr>
                    <w:pStyle w:val="69"/>
                    <w:bidi w:val="0"/>
                    <w:jc w:val="center"/>
                    <w:rPr>
                      <w:rFonts w:hint="eastAsia"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eastAsia="zh-CN"/>
                    </w:rPr>
                    <w:t>清理筛（旋振筛）</w:t>
                  </w:r>
                </w:p>
              </w:tc>
              <w:tc>
                <w:tcPr>
                  <w:tcW w:w="302" w:type="pct"/>
                  <w:noWrap w:val="0"/>
                  <w:vAlign w:val="center"/>
                </w:tcPr>
                <w:p w14:paraId="5C3B3A3F">
                  <w:pPr>
                    <w:pStyle w:val="69"/>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eastAsia="zh-CN"/>
                    </w:rPr>
                    <w:t>1</w:t>
                  </w:r>
                </w:p>
              </w:tc>
              <w:tc>
                <w:tcPr>
                  <w:tcW w:w="322" w:type="pct"/>
                  <w:noWrap w:val="0"/>
                  <w:vAlign w:val="center"/>
                </w:tcPr>
                <w:p w14:paraId="71B8CB19">
                  <w:pPr>
                    <w:pStyle w:val="69"/>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1</w:t>
                  </w:r>
                </w:p>
              </w:tc>
              <w:tc>
                <w:tcPr>
                  <w:tcW w:w="537" w:type="pct"/>
                  <w:noWrap w:val="0"/>
                  <w:vAlign w:val="center"/>
                </w:tcPr>
                <w:p w14:paraId="4ADDD20E">
                  <w:pPr>
                    <w:pStyle w:val="69"/>
                    <w:bidi w:val="0"/>
                    <w:jc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val="en-US" w:eastAsia="zh-CN"/>
                    </w:rPr>
                    <w:t>80</w:t>
                  </w:r>
                </w:p>
              </w:tc>
              <w:tc>
                <w:tcPr>
                  <w:tcW w:w="565" w:type="pct"/>
                  <w:vMerge w:val="restart"/>
                  <w:noWrap w:val="0"/>
                  <w:vAlign w:val="center"/>
                </w:tcPr>
                <w:p w14:paraId="7F735268">
                  <w:pPr>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基础减振、厂房隔声</w:t>
                  </w:r>
                </w:p>
              </w:tc>
              <w:tc>
                <w:tcPr>
                  <w:tcW w:w="635" w:type="pct"/>
                  <w:noWrap w:val="0"/>
                  <w:vAlign w:val="center"/>
                </w:tcPr>
                <w:p w14:paraId="1DFD94A4">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b w:val="0"/>
                      <w:bCs/>
                      <w:color w:val="auto"/>
                      <w:sz w:val="21"/>
                      <w:szCs w:val="21"/>
                      <w:u w:val="single" w:color="auto"/>
                      <w:vertAlign w:val="baseline"/>
                      <w:lang w:val="en-US" w:eastAsia="zh-CN"/>
                    </w:rPr>
                    <w:t>15</w:t>
                  </w:r>
                </w:p>
              </w:tc>
              <w:tc>
                <w:tcPr>
                  <w:tcW w:w="516" w:type="pct"/>
                  <w:noWrap w:val="0"/>
                  <w:vAlign w:val="center"/>
                </w:tcPr>
                <w:p w14:paraId="751754A4">
                  <w:pPr>
                    <w:keepNext w:val="0"/>
                    <w:keepLines w:val="0"/>
                    <w:widowControl/>
                    <w:suppressLineNumbers w:val="0"/>
                    <w:jc w:val="center"/>
                    <w:textAlignment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65</w:t>
                  </w:r>
                </w:p>
              </w:tc>
              <w:tc>
                <w:tcPr>
                  <w:tcW w:w="399" w:type="pct"/>
                  <w:noWrap w:val="0"/>
                  <w:vAlign w:val="center"/>
                </w:tcPr>
                <w:p w14:paraId="69C7578B">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b w:val="0"/>
                      <w:bCs/>
                      <w:color w:val="auto"/>
                      <w:sz w:val="21"/>
                      <w:szCs w:val="21"/>
                      <w:u w:val="single" w:color="auto"/>
                      <w:vertAlign w:val="baseline"/>
                      <w:lang w:val="en-US" w:eastAsia="zh-CN"/>
                    </w:rPr>
                    <w:t>间断</w:t>
                  </w:r>
                </w:p>
              </w:tc>
              <w:tc>
                <w:tcPr>
                  <w:tcW w:w="1150" w:type="pct"/>
                  <w:vMerge w:val="restart"/>
                  <w:noWrap w:val="0"/>
                  <w:vAlign w:val="center"/>
                </w:tcPr>
                <w:p w14:paraId="48DB954B">
                  <w:pPr>
                    <w:jc w:val="center"/>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single" w:color="auto"/>
                    </w:rPr>
                    <w:t>《工业企业厂界环境噪声排放标准》（GB12348-2008）中</w:t>
                  </w:r>
                  <w:r>
                    <w:rPr>
                      <w:rFonts w:hint="eastAsia" w:ascii="宋体" w:hAnsi="宋体" w:eastAsia="宋体" w:cs="宋体"/>
                      <w:color w:val="auto"/>
                      <w:sz w:val="21"/>
                      <w:szCs w:val="21"/>
                      <w:u w:val="single" w:color="auto"/>
                      <w:lang w:val="en-US" w:eastAsia="zh-CN"/>
                    </w:rPr>
                    <w:t>2</w:t>
                  </w:r>
                  <w:r>
                    <w:rPr>
                      <w:rFonts w:hint="eastAsia" w:ascii="宋体" w:hAnsi="宋体" w:eastAsia="宋体" w:cs="宋体"/>
                      <w:color w:val="auto"/>
                      <w:sz w:val="21"/>
                      <w:szCs w:val="21"/>
                      <w:u w:val="single" w:color="auto"/>
                    </w:rPr>
                    <w:t>类标准</w:t>
                  </w:r>
                </w:p>
              </w:tc>
            </w:tr>
            <w:tr w14:paraId="00A0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3FEF1826">
                  <w:pPr>
                    <w:pStyle w:val="69"/>
                    <w:bidi w:val="0"/>
                    <w:jc w:val="center"/>
                    <w:rPr>
                      <w:rFonts w:hint="eastAsia"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eastAsia="zh-CN"/>
                    </w:rPr>
                    <w:t>生物质热风炉</w:t>
                  </w:r>
                </w:p>
              </w:tc>
              <w:tc>
                <w:tcPr>
                  <w:tcW w:w="302" w:type="pct"/>
                  <w:noWrap w:val="0"/>
                  <w:vAlign w:val="center"/>
                </w:tcPr>
                <w:p w14:paraId="09F02E20">
                  <w:pPr>
                    <w:pStyle w:val="69"/>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val="en-US" w:eastAsia="zh-CN"/>
                    </w:rPr>
                    <w:t>2</w:t>
                  </w:r>
                </w:p>
              </w:tc>
              <w:tc>
                <w:tcPr>
                  <w:tcW w:w="322" w:type="pct"/>
                  <w:noWrap w:val="0"/>
                  <w:vAlign w:val="center"/>
                </w:tcPr>
                <w:p w14:paraId="4803C310">
                  <w:pPr>
                    <w:pStyle w:val="69"/>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hAnsi="宋体" w:cs="宋体"/>
                      <w:color w:val="auto"/>
                      <w:u w:val="single" w:color="auto"/>
                      <w:lang w:val="en-US" w:eastAsia="zh-CN"/>
                    </w:rPr>
                    <w:t>5</w:t>
                  </w:r>
                </w:p>
              </w:tc>
              <w:tc>
                <w:tcPr>
                  <w:tcW w:w="537" w:type="pct"/>
                  <w:noWrap w:val="0"/>
                  <w:vAlign w:val="center"/>
                </w:tcPr>
                <w:p w14:paraId="63B3AE96">
                  <w:pPr>
                    <w:pStyle w:val="69"/>
                    <w:bidi w:val="0"/>
                    <w:jc w:val="center"/>
                    <w:rPr>
                      <w:rFonts w:hint="default" w:ascii="宋体" w:hAnsi="宋体" w:eastAsia="宋体" w:cs="宋体"/>
                      <w:color w:val="auto"/>
                      <w:sz w:val="21"/>
                      <w:szCs w:val="21"/>
                      <w:u w:val="single" w:color="auto"/>
                      <w:lang w:val="en-US" w:eastAsia="zh-CN"/>
                    </w:rPr>
                  </w:pPr>
                  <w:r>
                    <w:rPr>
                      <w:rFonts w:hint="eastAsia" w:hAnsi="宋体" w:cs="宋体"/>
                      <w:color w:val="auto"/>
                      <w:u w:val="single" w:color="auto"/>
                      <w:lang w:val="en-US" w:eastAsia="zh-CN"/>
                    </w:rPr>
                    <w:t>80</w:t>
                  </w:r>
                </w:p>
              </w:tc>
              <w:tc>
                <w:tcPr>
                  <w:tcW w:w="565" w:type="pct"/>
                  <w:vMerge w:val="continue"/>
                  <w:noWrap w:val="0"/>
                  <w:vAlign w:val="center"/>
                </w:tcPr>
                <w:p w14:paraId="521F80EF">
                  <w:pPr>
                    <w:jc w:val="center"/>
                    <w:rPr>
                      <w:rFonts w:hint="eastAsia" w:ascii="宋体" w:hAnsi="宋体" w:eastAsia="宋体" w:cs="宋体"/>
                      <w:color w:val="auto"/>
                      <w:sz w:val="21"/>
                      <w:szCs w:val="21"/>
                      <w:u w:val="single" w:color="auto"/>
                      <w:lang w:val="en-US" w:eastAsia="zh-CN"/>
                    </w:rPr>
                  </w:pPr>
                </w:p>
              </w:tc>
              <w:tc>
                <w:tcPr>
                  <w:tcW w:w="635" w:type="pct"/>
                  <w:noWrap w:val="0"/>
                  <w:vAlign w:val="center"/>
                </w:tcPr>
                <w:p w14:paraId="5D69AB96">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b w:val="0"/>
                      <w:bCs/>
                      <w:color w:val="auto"/>
                      <w:sz w:val="21"/>
                      <w:szCs w:val="21"/>
                      <w:u w:val="single" w:color="auto"/>
                      <w:vertAlign w:val="baseline"/>
                      <w:lang w:val="en-US" w:eastAsia="zh-CN"/>
                    </w:rPr>
                    <w:t>15</w:t>
                  </w:r>
                </w:p>
              </w:tc>
              <w:tc>
                <w:tcPr>
                  <w:tcW w:w="516" w:type="pct"/>
                  <w:noWrap w:val="0"/>
                  <w:vAlign w:val="center"/>
                </w:tcPr>
                <w:p w14:paraId="72BC76B6">
                  <w:pPr>
                    <w:keepNext w:val="0"/>
                    <w:keepLines w:val="0"/>
                    <w:widowControl/>
                    <w:suppressLineNumbers w:val="0"/>
                    <w:jc w:val="center"/>
                    <w:textAlignment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60</w:t>
                  </w:r>
                </w:p>
              </w:tc>
              <w:tc>
                <w:tcPr>
                  <w:tcW w:w="399" w:type="pct"/>
                  <w:noWrap w:val="0"/>
                  <w:vAlign w:val="center"/>
                </w:tcPr>
                <w:p w14:paraId="745769C2">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cs="宋体"/>
                      <w:b w:val="0"/>
                      <w:bCs/>
                      <w:color w:val="auto"/>
                      <w:sz w:val="21"/>
                      <w:szCs w:val="21"/>
                      <w:u w:val="single" w:color="auto"/>
                      <w:vertAlign w:val="baseline"/>
                      <w:lang w:val="en-US" w:eastAsia="zh-CN"/>
                    </w:rPr>
                    <w:t>8</w:t>
                  </w:r>
                </w:p>
              </w:tc>
              <w:tc>
                <w:tcPr>
                  <w:tcW w:w="1150" w:type="pct"/>
                  <w:vMerge w:val="continue"/>
                  <w:noWrap w:val="0"/>
                  <w:vAlign w:val="center"/>
                </w:tcPr>
                <w:p w14:paraId="58553FD2">
                  <w:pPr>
                    <w:jc w:val="center"/>
                    <w:rPr>
                      <w:rFonts w:hint="default" w:ascii="Times New Roman" w:hAnsi="Times New Roman" w:cs="Times New Roman"/>
                      <w:color w:val="auto"/>
                      <w:sz w:val="21"/>
                      <w:szCs w:val="21"/>
                      <w:u w:val="single" w:color="auto"/>
                    </w:rPr>
                  </w:pPr>
                </w:p>
              </w:tc>
            </w:tr>
            <w:tr w14:paraId="4A1D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70" w:type="pct"/>
                  <w:noWrap w:val="0"/>
                  <w:vAlign w:val="center"/>
                </w:tcPr>
                <w:p w14:paraId="4AF17BE1">
                  <w:pPr>
                    <w:pStyle w:val="69"/>
                    <w:bidi w:val="0"/>
                    <w:jc w:val="center"/>
                    <w:rPr>
                      <w:rFonts w:hint="eastAsia"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eastAsia="zh-CN"/>
                    </w:rPr>
                    <w:t>布袋除尘器</w:t>
                  </w:r>
                </w:p>
              </w:tc>
              <w:tc>
                <w:tcPr>
                  <w:tcW w:w="302" w:type="pct"/>
                  <w:noWrap w:val="0"/>
                  <w:vAlign w:val="center"/>
                </w:tcPr>
                <w:p w14:paraId="0ACBA42C">
                  <w:pPr>
                    <w:pStyle w:val="69"/>
                    <w:bidi w:val="0"/>
                    <w:jc w:val="center"/>
                    <w:rPr>
                      <w:rFonts w:hint="eastAsia" w:ascii="宋体" w:hAnsi="宋体" w:eastAsia="宋体" w:cs="宋体"/>
                      <w:color w:val="auto"/>
                      <w:sz w:val="21"/>
                      <w:szCs w:val="21"/>
                      <w:u w:val="single" w:color="auto"/>
                      <w:lang w:val="en-US" w:eastAsia="zh-CN"/>
                    </w:rPr>
                  </w:pPr>
                  <w:r>
                    <w:rPr>
                      <w:rFonts w:hint="eastAsia" w:hAnsi="宋体" w:cs="宋体"/>
                      <w:color w:val="auto"/>
                      <w:u w:val="single" w:color="auto"/>
                      <w:lang w:val="en-US" w:eastAsia="zh-CN"/>
                    </w:rPr>
                    <w:t>3</w:t>
                  </w:r>
                </w:p>
              </w:tc>
              <w:tc>
                <w:tcPr>
                  <w:tcW w:w="322" w:type="pct"/>
                  <w:noWrap w:val="0"/>
                  <w:vAlign w:val="center"/>
                </w:tcPr>
                <w:p w14:paraId="1C6B7711">
                  <w:pPr>
                    <w:pStyle w:val="69"/>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1</w:t>
                  </w:r>
                </w:p>
              </w:tc>
              <w:tc>
                <w:tcPr>
                  <w:tcW w:w="537" w:type="pct"/>
                  <w:noWrap w:val="0"/>
                  <w:vAlign w:val="center"/>
                </w:tcPr>
                <w:p w14:paraId="554D0720">
                  <w:pPr>
                    <w:pStyle w:val="69"/>
                    <w:bidi w:val="0"/>
                    <w:jc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80</w:t>
                  </w:r>
                </w:p>
              </w:tc>
              <w:tc>
                <w:tcPr>
                  <w:tcW w:w="565" w:type="pct"/>
                  <w:vMerge w:val="continue"/>
                  <w:noWrap w:val="0"/>
                  <w:vAlign w:val="center"/>
                </w:tcPr>
                <w:p w14:paraId="2AD42715">
                  <w:pPr>
                    <w:jc w:val="center"/>
                    <w:rPr>
                      <w:rFonts w:hint="eastAsia" w:ascii="宋体" w:hAnsi="宋体" w:eastAsia="宋体" w:cs="宋体"/>
                      <w:color w:val="auto"/>
                      <w:sz w:val="21"/>
                      <w:szCs w:val="21"/>
                      <w:u w:val="single" w:color="auto"/>
                      <w:lang w:val="en-US" w:eastAsia="zh-CN"/>
                    </w:rPr>
                  </w:pPr>
                </w:p>
              </w:tc>
              <w:tc>
                <w:tcPr>
                  <w:tcW w:w="635" w:type="pct"/>
                  <w:noWrap w:val="0"/>
                  <w:vAlign w:val="center"/>
                </w:tcPr>
                <w:p w14:paraId="0B23355E">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b w:val="0"/>
                      <w:bCs/>
                      <w:color w:val="auto"/>
                      <w:sz w:val="21"/>
                      <w:szCs w:val="21"/>
                      <w:u w:val="single" w:color="auto"/>
                      <w:vertAlign w:val="baseline"/>
                      <w:lang w:val="en-US" w:eastAsia="zh-CN"/>
                    </w:rPr>
                    <w:t>15</w:t>
                  </w:r>
                </w:p>
              </w:tc>
              <w:tc>
                <w:tcPr>
                  <w:tcW w:w="516" w:type="pct"/>
                  <w:noWrap w:val="0"/>
                  <w:vAlign w:val="center"/>
                </w:tcPr>
                <w:p w14:paraId="4DD02C7C">
                  <w:pPr>
                    <w:keepNext w:val="0"/>
                    <w:keepLines w:val="0"/>
                    <w:widowControl/>
                    <w:suppressLineNumbers w:val="0"/>
                    <w:jc w:val="center"/>
                    <w:textAlignment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62</w:t>
                  </w:r>
                </w:p>
              </w:tc>
              <w:tc>
                <w:tcPr>
                  <w:tcW w:w="399" w:type="pct"/>
                  <w:noWrap w:val="0"/>
                  <w:vAlign w:val="center"/>
                </w:tcPr>
                <w:p w14:paraId="75BA9678">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cs="宋体"/>
                      <w:b w:val="0"/>
                      <w:bCs/>
                      <w:color w:val="auto"/>
                      <w:sz w:val="21"/>
                      <w:szCs w:val="21"/>
                      <w:u w:val="single" w:color="auto"/>
                      <w:vertAlign w:val="baseline"/>
                      <w:lang w:val="en-US" w:eastAsia="zh-CN"/>
                    </w:rPr>
                    <w:t>8</w:t>
                  </w:r>
                </w:p>
              </w:tc>
              <w:tc>
                <w:tcPr>
                  <w:tcW w:w="1150" w:type="pct"/>
                  <w:vMerge w:val="continue"/>
                  <w:noWrap w:val="0"/>
                  <w:vAlign w:val="center"/>
                </w:tcPr>
                <w:p w14:paraId="6EB813B2">
                  <w:pPr>
                    <w:jc w:val="center"/>
                    <w:rPr>
                      <w:rFonts w:hint="default" w:ascii="Times New Roman" w:hAnsi="Times New Roman" w:cs="Times New Roman"/>
                      <w:color w:val="auto"/>
                      <w:sz w:val="21"/>
                      <w:szCs w:val="21"/>
                      <w:u w:val="single" w:color="auto"/>
                    </w:rPr>
                  </w:pPr>
                </w:p>
              </w:tc>
            </w:tr>
            <w:tr w14:paraId="4B15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33FD2629">
                  <w:pPr>
                    <w:pStyle w:val="69"/>
                    <w:bidi w:val="0"/>
                    <w:jc w:val="center"/>
                    <w:rPr>
                      <w:rFonts w:hint="eastAsia"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kern w:val="2"/>
                      <w:sz w:val="21"/>
                      <w:szCs w:val="24"/>
                      <w:u w:val="single" w:color="auto"/>
                      <w:lang w:val="en-US" w:eastAsia="zh-CN" w:bidi="ar-SA"/>
                    </w:rPr>
                    <w:t>提升机</w:t>
                  </w:r>
                </w:p>
              </w:tc>
              <w:tc>
                <w:tcPr>
                  <w:tcW w:w="302" w:type="pct"/>
                  <w:noWrap w:val="0"/>
                  <w:vAlign w:val="center"/>
                </w:tcPr>
                <w:p w14:paraId="19AA47EA">
                  <w:pPr>
                    <w:pStyle w:val="69"/>
                    <w:bidi w:val="0"/>
                    <w:jc w:val="center"/>
                    <w:rPr>
                      <w:rFonts w:hint="eastAsia" w:ascii="宋体" w:hAnsi="宋体" w:eastAsia="宋体" w:cs="宋体"/>
                      <w:color w:val="auto"/>
                      <w:kern w:val="2"/>
                      <w:sz w:val="21"/>
                      <w:szCs w:val="21"/>
                      <w:u w:val="single" w:color="auto"/>
                      <w:lang w:val="en-US" w:eastAsia="zh-CN" w:bidi="ar-SA"/>
                    </w:rPr>
                  </w:pPr>
                  <w:r>
                    <w:rPr>
                      <w:rFonts w:hint="eastAsia" w:hAnsi="宋体" w:cs="宋体"/>
                      <w:color w:val="auto"/>
                      <w:u w:val="single" w:color="auto"/>
                      <w:lang w:val="en-US" w:eastAsia="zh-CN"/>
                    </w:rPr>
                    <w:t>4</w:t>
                  </w:r>
                </w:p>
              </w:tc>
              <w:tc>
                <w:tcPr>
                  <w:tcW w:w="322" w:type="pct"/>
                  <w:noWrap w:val="0"/>
                  <w:vAlign w:val="center"/>
                </w:tcPr>
                <w:p w14:paraId="4EB54C87">
                  <w:pPr>
                    <w:pStyle w:val="69"/>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1</w:t>
                  </w:r>
                </w:p>
              </w:tc>
              <w:tc>
                <w:tcPr>
                  <w:tcW w:w="537" w:type="pct"/>
                  <w:noWrap w:val="0"/>
                  <w:vAlign w:val="center"/>
                </w:tcPr>
                <w:p w14:paraId="691B6DC1">
                  <w:pPr>
                    <w:pStyle w:val="69"/>
                    <w:bidi w:val="0"/>
                    <w:jc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val="en-US" w:eastAsia="zh-CN"/>
                    </w:rPr>
                    <w:t>80</w:t>
                  </w:r>
                </w:p>
              </w:tc>
              <w:tc>
                <w:tcPr>
                  <w:tcW w:w="565" w:type="pct"/>
                  <w:vMerge w:val="continue"/>
                  <w:noWrap w:val="0"/>
                  <w:vAlign w:val="center"/>
                </w:tcPr>
                <w:p w14:paraId="0EE57705">
                  <w:pPr>
                    <w:jc w:val="center"/>
                    <w:rPr>
                      <w:rFonts w:hint="eastAsia" w:ascii="宋体" w:hAnsi="宋体" w:eastAsia="宋体" w:cs="宋体"/>
                      <w:color w:val="auto"/>
                      <w:sz w:val="21"/>
                      <w:szCs w:val="21"/>
                      <w:u w:val="single" w:color="auto"/>
                      <w:lang w:val="en-US" w:eastAsia="zh-CN"/>
                    </w:rPr>
                  </w:pPr>
                </w:p>
              </w:tc>
              <w:tc>
                <w:tcPr>
                  <w:tcW w:w="635" w:type="pct"/>
                  <w:noWrap w:val="0"/>
                  <w:vAlign w:val="center"/>
                </w:tcPr>
                <w:p w14:paraId="5758F64B">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b w:val="0"/>
                      <w:bCs/>
                      <w:color w:val="auto"/>
                      <w:sz w:val="21"/>
                      <w:szCs w:val="21"/>
                      <w:u w:val="single" w:color="auto"/>
                      <w:vertAlign w:val="baseline"/>
                      <w:lang w:val="en-US" w:eastAsia="zh-CN"/>
                    </w:rPr>
                    <w:t>15</w:t>
                  </w:r>
                </w:p>
              </w:tc>
              <w:tc>
                <w:tcPr>
                  <w:tcW w:w="516" w:type="pct"/>
                  <w:noWrap w:val="0"/>
                  <w:vAlign w:val="center"/>
                </w:tcPr>
                <w:p w14:paraId="45CB3ADF">
                  <w:pPr>
                    <w:keepNext w:val="0"/>
                    <w:keepLines w:val="0"/>
                    <w:widowControl/>
                    <w:suppressLineNumbers w:val="0"/>
                    <w:jc w:val="center"/>
                    <w:textAlignment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65</w:t>
                  </w:r>
                </w:p>
              </w:tc>
              <w:tc>
                <w:tcPr>
                  <w:tcW w:w="399" w:type="pct"/>
                  <w:noWrap w:val="0"/>
                  <w:vAlign w:val="center"/>
                </w:tcPr>
                <w:p w14:paraId="0715DE0D">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b w:val="0"/>
                      <w:bCs/>
                      <w:color w:val="auto"/>
                      <w:sz w:val="21"/>
                      <w:szCs w:val="21"/>
                      <w:u w:val="single" w:color="auto"/>
                      <w:vertAlign w:val="baseline"/>
                      <w:lang w:val="en-US" w:eastAsia="zh-CN"/>
                    </w:rPr>
                    <w:t>间断</w:t>
                  </w:r>
                </w:p>
              </w:tc>
              <w:tc>
                <w:tcPr>
                  <w:tcW w:w="1150" w:type="pct"/>
                  <w:vMerge w:val="continue"/>
                  <w:noWrap w:val="0"/>
                  <w:vAlign w:val="center"/>
                </w:tcPr>
                <w:p w14:paraId="40C07B9A">
                  <w:pPr>
                    <w:jc w:val="center"/>
                    <w:rPr>
                      <w:rFonts w:hint="default" w:ascii="Times New Roman" w:hAnsi="Times New Roman" w:cs="Times New Roman"/>
                      <w:color w:val="FF0000"/>
                      <w:sz w:val="21"/>
                      <w:szCs w:val="21"/>
                      <w:u w:val="single" w:color="auto"/>
                    </w:rPr>
                  </w:pPr>
                </w:p>
              </w:tc>
            </w:tr>
            <w:tr w14:paraId="7AFF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4F08DDBC">
                  <w:pPr>
                    <w:pStyle w:val="83"/>
                    <w:spacing w:before="63"/>
                    <w:ind w:left="7" w:leftChars="0"/>
                    <w:jc w:val="center"/>
                    <w:rPr>
                      <w:rFonts w:hint="eastAsia"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kern w:val="2"/>
                      <w:sz w:val="21"/>
                      <w:szCs w:val="24"/>
                      <w:u w:val="single" w:color="auto"/>
                      <w:lang w:val="en-US" w:eastAsia="zh-CN" w:bidi="ar-SA"/>
                    </w:rPr>
                    <w:t>刮板输送机</w:t>
                  </w:r>
                </w:p>
              </w:tc>
              <w:tc>
                <w:tcPr>
                  <w:tcW w:w="302" w:type="pct"/>
                  <w:noWrap w:val="0"/>
                  <w:vAlign w:val="center"/>
                </w:tcPr>
                <w:p w14:paraId="05ED37E6">
                  <w:pPr>
                    <w:pStyle w:val="69"/>
                    <w:bidi w:val="0"/>
                    <w:jc w:val="center"/>
                    <w:rPr>
                      <w:rFonts w:hint="eastAsia" w:ascii="宋体" w:hAnsi="宋体" w:eastAsia="宋体" w:cs="宋体"/>
                      <w:color w:val="auto"/>
                      <w:sz w:val="21"/>
                      <w:szCs w:val="21"/>
                      <w:u w:val="single" w:color="auto"/>
                      <w:lang w:val="en-US" w:eastAsia="zh-CN"/>
                    </w:rPr>
                  </w:pPr>
                  <w:r>
                    <w:rPr>
                      <w:rFonts w:hint="eastAsia" w:hAnsi="宋体" w:cs="宋体"/>
                      <w:color w:val="auto"/>
                      <w:u w:val="single" w:color="auto"/>
                      <w:lang w:val="en-US" w:eastAsia="zh-CN"/>
                    </w:rPr>
                    <w:t>5</w:t>
                  </w:r>
                </w:p>
              </w:tc>
              <w:tc>
                <w:tcPr>
                  <w:tcW w:w="322" w:type="pct"/>
                  <w:noWrap w:val="0"/>
                  <w:vAlign w:val="center"/>
                </w:tcPr>
                <w:p w14:paraId="787CD773">
                  <w:pPr>
                    <w:pStyle w:val="69"/>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1</w:t>
                  </w:r>
                </w:p>
              </w:tc>
              <w:tc>
                <w:tcPr>
                  <w:tcW w:w="537" w:type="pct"/>
                  <w:noWrap w:val="0"/>
                  <w:vAlign w:val="center"/>
                </w:tcPr>
                <w:p w14:paraId="3E7550E5">
                  <w:pPr>
                    <w:pStyle w:val="69"/>
                    <w:bidi w:val="0"/>
                    <w:jc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u w:val="single" w:color="auto"/>
                      <w:lang w:val="en-US" w:eastAsia="zh-CN"/>
                    </w:rPr>
                    <w:t>80</w:t>
                  </w:r>
                </w:p>
              </w:tc>
              <w:tc>
                <w:tcPr>
                  <w:tcW w:w="565" w:type="pct"/>
                  <w:vMerge w:val="continue"/>
                  <w:noWrap w:val="0"/>
                  <w:vAlign w:val="center"/>
                </w:tcPr>
                <w:p w14:paraId="118E2357">
                  <w:pPr>
                    <w:jc w:val="center"/>
                    <w:rPr>
                      <w:rFonts w:hint="eastAsia" w:ascii="宋体" w:hAnsi="宋体" w:eastAsia="宋体" w:cs="宋体"/>
                      <w:color w:val="auto"/>
                      <w:sz w:val="21"/>
                      <w:szCs w:val="21"/>
                      <w:u w:val="single" w:color="auto"/>
                      <w:lang w:val="en-US" w:eastAsia="zh-CN"/>
                    </w:rPr>
                  </w:pPr>
                </w:p>
              </w:tc>
              <w:tc>
                <w:tcPr>
                  <w:tcW w:w="635" w:type="pct"/>
                  <w:noWrap w:val="0"/>
                  <w:vAlign w:val="center"/>
                </w:tcPr>
                <w:p w14:paraId="64462369">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b w:val="0"/>
                      <w:bCs/>
                      <w:color w:val="auto"/>
                      <w:sz w:val="21"/>
                      <w:szCs w:val="21"/>
                      <w:u w:val="single" w:color="auto"/>
                      <w:vertAlign w:val="baseline"/>
                      <w:lang w:val="en-US" w:eastAsia="zh-CN"/>
                    </w:rPr>
                    <w:t>15</w:t>
                  </w:r>
                </w:p>
              </w:tc>
              <w:tc>
                <w:tcPr>
                  <w:tcW w:w="516" w:type="pct"/>
                  <w:noWrap w:val="0"/>
                  <w:vAlign w:val="center"/>
                </w:tcPr>
                <w:p w14:paraId="2EE4FC9D">
                  <w:pPr>
                    <w:keepNext w:val="0"/>
                    <w:keepLines w:val="0"/>
                    <w:widowControl/>
                    <w:suppressLineNumbers w:val="0"/>
                    <w:jc w:val="center"/>
                    <w:textAlignment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65</w:t>
                  </w:r>
                </w:p>
              </w:tc>
              <w:tc>
                <w:tcPr>
                  <w:tcW w:w="399" w:type="pct"/>
                  <w:noWrap w:val="0"/>
                  <w:vAlign w:val="center"/>
                </w:tcPr>
                <w:p w14:paraId="06E61874">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b w:val="0"/>
                      <w:bCs/>
                      <w:color w:val="auto"/>
                      <w:sz w:val="21"/>
                      <w:szCs w:val="21"/>
                      <w:u w:val="single" w:color="auto"/>
                      <w:vertAlign w:val="baseline"/>
                      <w:lang w:val="en-US" w:eastAsia="zh-CN"/>
                    </w:rPr>
                    <w:t>间断</w:t>
                  </w:r>
                </w:p>
              </w:tc>
              <w:tc>
                <w:tcPr>
                  <w:tcW w:w="1150" w:type="pct"/>
                  <w:vMerge w:val="continue"/>
                  <w:noWrap w:val="0"/>
                  <w:vAlign w:val="center"/>
                </w:tcPr>
                <w:p w14:paraId="5876119D">
                  <w:pPr>
                    <w:jc w:val="center"/>
                    <w:rPr>
                      <w:rFonts w:hint="default" w:ascii="Times New Roman" w:hAnsi="Times New Roman" w:cs="Times New Roman"/>
                      <w:color w:val="FF0000"/>
                      <w:sz w:val="21"/>
                      <w:szCs w:val="21"/>
                      <w:u w:val="single" w:color="auto"/>
                    </w:rPr>
                  </w:pPr>
                </w:p>
              </w:tc>
            </w:tr>
            <w:tr w14:paraId="26E9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0" w:type="pct"/>
                  <w:noWrap w:val="0"/>
                  <w:vAlign w:val="center"/>
                </w:tcPr>
                <w:p w14:paraId="2D8F1379">
                  <w:pPr>
                    <w:pStyle w:val="83"/>
                    <w:spacing w:before="63"/>
                    <w:ind w:left="7" w:leftChars="0"/>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color w:val="auto"/>
                      <w:kern w:val="2"/>
                      <w:sz w:val="21"/>
                      <w:szCs w:val="24"/>
                      <w:u w:val="single" w:color="auto"/>
                      <w:lang w:val="en-US" w:eastAsia="zh-CN" w:bidi="ar-SA"/>
                    </w:rPr>
                    <w:t>皮带输送机</w:t>
                  </w:r>
                </w:p>
              </w:tc>
              <w:tc>
                <w:tcPr>
                  <w:tcW w:w="302" w:type="pct"/>
                  <w:noWrap w:val="0"/>
                  <w:vAlign w:val="center"/>
                </w:tcPr>
                <w:p w14:paraId="3CFEEB41">
                  <w:pPr>
                    <w:pStyle w:val="69"/>
                    <w:bidi w:val="0"/>
                    <w:jc w:val="center"/>
                    <w:rPr>
                      <w:rFonts w:hint="eastAsia" w:ascii="宋体" w:hAnsi="宋体" w:eastAsia="宋体" w:cs="宋体"/>
                      <w:i w:val="0"/>
                      <w:iCs w:val="0"/>
                      <w:color w:val="auto"/>
                      <w:kern w:val="0"/>
                      <w:sz w:val="21"/>
                      <w:szCs w:val="21"/>
                      <w:u w:val="single" w:color="auto"/>
                      <w:lang w:val="en-US" w:eastAsia="zh-CN" w:bidi="ar"/>
                    </w:rPr>
                  </w:pPr>
                  <w:r>
                    <w:rPr>
                      <w:rFonts w:hint="eastAsia" w:hAnsi="宋体" w:cs="宋体"/>
                      <w:color w:val="auto"/>
                      <w:u w:val="single" w:color="auto"/>
                      <w:lang w:val="en-US" w:eastAsia="zh-CN"/>
                    </w:rPr>
                    <w:t>6</w:t>
                  </w:r>
                </w:p>
              </w:tc>
              <w:tc>
                <w:tcPr>
                  <w:tcW w:w="322" w:type="pct"/>
                  <w:noWrap w:val="0"/>
                  <w:vAlign w:val="center"/>
                </w:tcPr>
                <w:p w14:paraId="2024823D">
                  <w:pPr>
                    <w:pStyle w:val="69"/>
                    <w:bidi w:val="0"/>
                    <w:jc w:val="center"/>
                    <w:rPr>
                      <w:rFonts w:hint="default" w:ascii="宋体" w:hAnsi="宋体" w:eastAsia="宋体" w:cs="宋体"/>
                      <w:b w:val="0"/>
                      <w:bCs w:val="0"/>
                      <w:i w:val="0"/>
                      <w:iCs w:val="0"/>
                      <w:color w:val="auto"/>
                      <w:spacing w:val="0"/>
                      <w:kern w:val="0"/>
                      <w:sz w:val="21"/>
                      <w:szCs w:val="21"/>
                      <w:u w:val="single" w:color="auto"/>
                      <w:lang w:val="en-US" w:eastAsia="zh-CN" w:bidi="ar"/>
                    </w:rPr>
                  </w:pPr>
                  <w:r>
                    <w:rPr>
                      <w:rFonts w:hint="eastAsia" w:ascii="宋体" w:hAnsi="宋体" w:eastAsia="宋体" w:cs="宋体"/>
                      <w:color w:val="auto"/>
                      <w:u w:val="single" w:color="auto"/>
                      <w:lang w:val="en-US" w:eastAsia="zh-CN"/>
                    </w:rPr>
                    <w:t>2</w:t>
                  </w:r>
                </w:p>
              </w:tc>
              <w:tc>
                <w:tcPr>
                  <w:tcW w:w="537" w:type="pct"/>
                  <w:noWrap w:val="0"/>
                  <w:vAlign w:val="center"/>
                </w:tcPr>
                <w:p w14:paraId="099248A7">
                  <w:pPr>
                    <w:pStyle w:val="69"/>
                    <w:bidi w:val="0"/>
                    <w:jc w:val="center"/>
                    <w:rPr>
                      <w:rFonts w:hint="default" w:ascii="宋体" w:hAnsi="宋体" w:eastAsia="宋体" w:cs="宋体"/>
                      <w:b w:val="0"/>
                      <w:bCs/>
                      <w:color w:val="auto"/>
                      <w:sz w:val="21"/>
                      <w:szCs w:val="21"/>
                      <w:u w:val="single" w:color="auto"/>
                      <w:vertAlign w:val="baseline"/>
                      <w:lang w:val="en-US" w:eastAsia="zh-CN"/>
                    </w:rPr>
                  </w:pPr>
                  <w:r>
                    <w:rPr>
                      <w:rFonts w:hint="eastAsia" w:ascii="宋体" w:hAnsi="宋体" w:eastAsia="宋体" w:cs="宋体"/>
                      <w:color w:val="auto"/>
                      <w:u w:val="single" w:color="auto"/>
                      <w:lang w:val="en-US" w:eastAsia="zh-CN"/>
                    </w:rPr>
                    <w:t>75</w:t>
                  </w:r>
                </w:p>
              </w:tc>
              <w:tc>
                <w:tcPr>
                  <w:tcW w:w="565" w:type="pct"/>
                  <w:vMerge w:val="continue"/>
                  <w:noWrap w:val="0"/>
                  <w:vAlign w:val="center"/>
                </w:tcPr>
                <w:p w14:paraId="518027A6">
                  <w:pPr>
                    <w:jc w:val="center"/>
                    <w:rPr>
                      <w:rFonts w:hint="eastAsia" w:ascii="宋体" w:hAnsi="宋体" w:eastAsia="宋体" w:cs="宋体"/>
                      <w:color w:val="auto"/>
                      <w:sz w:val="21"/>
                      <w:szCs w:val="21"/>
                      <w:u w:val="single" w:color="auto"/>
                      <w:lang w:val="en-US" w:eastAsia="zh-CN"/>
                    </w:rPr>
                  </w:pPr>
                </w:p>
              </w:tc>
              <w:tc>
                <w:tcPr>
                  <w:tcW w:w="635" w:type="pct"/>
                  <w:noWrap w:val="0"/>
                  <w:vAlign w:val="center"/>
                </w:tcPr>
                <w:p w14:paraId="67A81495">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b w:val="0"/>
                      <w:bCs/>
                      <w:color w:val="auto"/>
                      <w:sz w:val="21"/>
                      <w:szCs w:val="21"/>
                      <w:u w:val="single" w:color="auto"/>
                      <w:vertAlign w:val="baseline"/>
                      <w:lang w:val="en-US" w:eastAsia="zh-CN"/>
                    </w:rPr>
                    <w:t>15</w:t>
                  </w:r>
                </w:p>
              </w:tc>
              <w:tc>
                <w:tcPr>
                  <w:tcW w:w="516" w:type="pct"/>
                  <w:noWrap w:val="0"/>
                  <w:vAlign w:val="center"/>
                </w:tcPr>
                <w:p w14:paraId="1B90E75B">
                  <w:pPr>
                    <w:keepNext w:val="0"/>
                    <w:keepLines w:val="0"/>
                    <w:widowControl/>
                    <w:suppressLineNumbers w:val="0"/>
                    <w:jc w:val="center"/>
                    <w:textAlignment w:val="center"/>
                    <w:rPr>
                      <w:rFonts w:hint="default"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60</w:t>
                  </w:r>
                </w:p>
              </w:tc>
              <w:tc>
                <w:tcPr>
                  <w:tcW w:w="399" w:type="pct"/>
                  <w:noWrap w:val="0"/>
                  <w:vAlign w:val="center"/>
                </w:tcPr>
                <w:p w14:paraId="4694EC2D">
                  <w:pPr>
                    <w:adjustRightInd w:val="0"/>
                    <w:snapToGrid w:val="0"/>
                    <w:spacing w:line="240" w:lineRule="auto"/>
                    <w:jc w:val="center"/>
                    <w:rPr>
                      <w:rFonts w:hint="eastAsia" w:ascii="宋体" w:hAnsi="宋体" w:eastAsia="宋体" w:cs="宋体"/>
                      <w:b w:val="0"/>
                      <w:bCs/>
                      <w:color w:val="auto"/>
                      <w:sz w:val="21"/>
                      <w:szCs w:val="21"/>
                      <w:u w:val="single" w:color="auto"/>
                      <w:vertAlign w:val="baseline"/>
                      <w:lang w:val="en-US" w:eastAsia="zh-CN"/>
                    </w:rPr>
                  </w:pPr>
                  <w:r>
                    <w:rPr>
                      <w:rFonts w:hint="eastAsia" w:ascii="宋体" w:hAnsi="宋体" w:eastAsia="宋体" w:cs="宋体"/>
                      <w:b w:val="0"/>
                      <w:bCs/>
                      <w:color w:val="auto"/>
                      <w:sz w:val="21"/>
                      <w:szCs w:val="21"/>
                      <w:u w:val="single" w:color="auto"/>
                      <w:vertAlign w:val="baseline"/>
                      <w:lang w:val="en-US" w:eastAsia="zh-CN"/>
                    </w:rPr>
                    <w:t>间断</w:t>
                  </w:r>
                </w:p>
              </w:tc>
              <w:tc>
                <w:tcPr>
                  <w:tcW w:w="1150" w:type="pct"/>
                  <w:vMerge w:val="continue"/>
                  <w:noWrap w:val="0"/>
                  <w:vAlign w:val="center"/>
                </w:tcPr>
                <w:p w14:paraId="104441C4">
                  <w:pPr>
                    <w:jc w:val="center"/>
                    <w:rPr>
                      <w:rFonts w:hint="default" w:ascii="Times New Roman" w:hAnsi="Times New Roman" w:cs="Times New Roman"/>
                      <w:color w:val="FF0000"/>
                      <w:sz w:val="21"/>
                      <w:szCs w:val="21"/>
                      <w:u w:val="single" w:color="auto"/>
                    </w:rPr>
                  </w:pPr>
                </w:p>
              </w:tc>
            </w:tr>
          </w:tbl>
          <w:p w14:paraId="1C8A7BC0">
            <w:pPr>
              <w:pStyle w:val="7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u w:val="single" w:color="auto"/>
                <w:lang w:val="en-US" w:eastAsia="zh-CN" w:bidi="ar-SA"/>
              </w:rPr>
            </w:pPr>
            <w:r>
              <w:rPr>
                <w:rFonts w:hint="eastAsia" w:ascii="宋体" w:hAnsi="宋体" w:eastAsia="宋体" w:cs="宋体"/>
                <w:b/>
                <w:bCs/>
                <w:color w:val="auto"/>
                <w:kern w:val="2"/>
                <w:sz w:val="24"/>
                <w:szCs w:val="24"/>
                <w:u w:val="single" w:color="auto"/>
                <w:lang w:val="en-US" w:eastAsia="zh-CN" w:bidi="ar-SA"/>
              </w:rPr>
              <w:t>4.3.1</w:t>
            </w:r>
            <w:r>
              <w:rPr>
                <w:rFonts w:hint="eastAsia" w:ascii="宋体" w:hAnsi="宋体" w:eastAsia="宋体" w:cs="宋体"/>
                <w:b/>
                <w:bCs/>
                <w:color w:val="auto"/>
                <w:spacing w:val="0"/>
                <w:sz w:val="24"/>
                <w:szCs w:val="24"/>
                <w:u w:val="single" w:color="auto"/>
                <w:lang w:val="en-US" w:eastAsia="zh-CN" w:bidi="ar-SA"/>
              </w:rPr>
              <w:t>噪声值预测</w:t>
            </w:r>
          </w:p>
          <w:p w14:paraId="54A0D9EF">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(1</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单个室外的点声源在预测点产生的声级计算公式</w:t>
            </w:r>
          </w:p>
          <w:p w14:paraId="1167630E">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在不能取得声源倍频带声功率级或倍频带声压级，只能获得A声功率级或某点的A声级时，可按下式作近似计算：</w:t>
            </w:r>
          </w:p>
          <w:p w14:paraId="7DF0B939">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jc w:val="center"/>
              <w:textAlignment w:val="center"/>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drawing>
                <wp:inline distT="0" distB="0" distL="114300" distR="114300">
                  <wp:extent cx="1155700" cy="190500"/>
                  <wp:effectExtent l="0" t="0" r="635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stretch>
                            <a:fillRect/>
                          </a:stretch>
                        </pic:blipFill>
                        <pic:spPr>
                          <a:xfrm>
                            <a:off x="0" y="0"/>
                            <a:ext cx="1155700" cy="190500"/>
                          </a:xfrm>
                          <a:prstGeom prst="rect">
                            <a:avLst/>
                          </a:prstGeom>
                          <a:noFill/>
                          <a:ln>
                            <a:noFill/>
                          </a:ln>
                        </pic:spPr>
                      </pic:pic>
                    </a:graphicData>
                  </a:graphic>
                </wp:inline>
              </w:drawing>
            </w:r>
          </w:p>
          <w:p w14:paraId="69C5B91F">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jc w:val="center"/>
              <w:textAlignment w:val="center"/>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drawing>
                <wp:inline distT="0" distB="0" distL="114300" distR="114300">
                  <wp:extent cx="2071370" cy="190500"/>
                  <wp:effectExtent l="0" t="0" r="508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a:stretch>
                            <a:fillRect/>
                          </a:stretch>
                        </pic:blipFill>
                        <pic:spPr>
                          <a:xfrm>
                            <a:off x="0" y="0"/>
                            <a:ext cx="2071370" cy="190500"/>
                          </a:xfrm>
                          <a:prstGeom prst="rect">
                            <a:avLst/>
                          </a:prstGeom>
                          <a:noFill/>
                          <a:ln>
                            <a:noFill/>
                          </a:ln>
                        </pic:spPr>
                      </pic:pic>
                    </a:graphicData>
                  </a:graphic>
                </wp:inline>
              </w:drawing>
            </w:r>
          </w:p>
          <w:p w14:paraId="08BD621D">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式中：L</w:t>
            </w:r>
            <w:r>
              <w:rPr>
                <w:rFonts w:hint="eastAsia" w:ascii="宋体" w:hAnsi="宋体" w:eastAsia="宋体" w:cs="宋体"/>
                <w:color w:val="auto"/>
                <w:spacing w:val="0"/>
                <w:position w:val="-1"/>
                <w:sz w:val="24"/>
                <w:szCs w:val="24"/>
                <w:u w:val="single" w:color="auto"/>
              </w:rPr>
              <w:t>A</w:t>
            </w:r>
            <w:r>
              <w:rPr>
                <w:rFonts w:hint="eastAsia" w:ascii="宋体" w:hAnsi="宋体" w:eastAsia="宋体" w:cs="宋体"/>
                <w:color w:val="auto"/>
                <w:spacing w:val="0"/>
                <w:sz w:val="24"/>
                <w:szCs w:val="24"/>
                <w:u w:val="single" w:color="auto"/>
              </w:rPr>
              <w:t>(r)——距离声源r处的A声级，dB(A)；</w:t>
            </w:r>
          </w:p>
          <w:p w14:paraId="25C6C99A">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position w:val="16"/>
                <w:sz w:val="24"/>
                <w:szCs w:val="24"/>
                <w:u w:val="single" w:color="auto"/>
              </w:rPr>
              <w:t>L</w:t>
            </w:r>
            <w:r>
              <w:rPr>
                <w:rFonts w:hint="eastAsia" w:ascii="宋体" w:hAnsi="宋体" w:eastAsia="宋体" w:cs="宋体"/>
                <w:color w:val="auto"/>
                <w:spacing w:val="0"/>
                <w:position w:val="15"/>
                <w:sz w:val="24"/>
                <w:szCs w:val="24"/>
                <w:u w:val="single" w:color="auto"/>
              </w:rPr>
              <w:t>A</w:t>
            </w:r>
            <w:r>
              <w:rPr>
                <w:rFonts w:hint="eastAsia" w:ascii="宋体" w:hAnsi="宋体" w:eastAsia="宋体" w:cs="宋体"/>
                <w:color w:val="auto"/>
                <w:spacing w:val="0"/>
                <w:position w:val="16"/>
                <w:sz w:val="24"/>
                <w:szCs w:val="24"/>
                <w:u w:val="single" w:color="auto"/>
              </w:rPr>
              <w:t>(r</w:t>
            </w:r>
            <w:r>
              <w:rPr>
                <w:rFonts w:hint="eastAsia" w:ascii="宋体" w:hAnsi="宋体" w:eastAsia="宋体" w:cs="宋体"/>
                <w:color w:val="auto"/>
                <w:spacing w:val="0"/>
                <w:position w:val="15"/>
                <w:sz w:val="24"/>
                <w:szCs w:val="24"/>
                <w:u w:val="single" w:color="auto"/>
              </w:rPr>
              <w:t>0</w:t>
            </w:r>
            <w:r>
              <w:rPr>
                <w:rFonts w:hint="eastAsia" w:ascii="宋体" w:hAnsi="宋体" w:eastAsia="宋体" w:cs="宋体"/>
                <w:color w:val="auto"/>
                <w:spacing w:val="0"/>
                <w:position w:val="16"/>
                <w:sz w:val="24"/>
                <w:szCs w:val="24"/>
                <w:u w:val="single" w:color="auto"/>
              </w:rPr>
              <w:t>)——参考位置r</w:t>
            </w:r>
            <w:r>
              <w:rPr>
                <w:rFonts w:hint="eastAsia" w:ascii="宋体" w:hAnsi="宋体" w:eastAsia="宋体" w:cs="宋体"/>
                <w:color w:val="auto"/>
                <w:spacing w:val="0"/>
                <w:position w:val="15"/>
                <w:sz w:val="24"/>
                <w:szCs w:val="24"/>
                <w:u w:val="single" w:color="auto"/>
              </w:rPr>
              <w:t>0</w:t>
            </w:r>
            <w:r>
              <w:rPr>
                <w:rFonts w:hint="eastAsia" w:ascii="宋体" w:hAnsi="宋体" w:eastAsia="宋体" w:cs="宋体"/>
                <w:color w:val="auto"/>
                <w:spacing w:val="0"/>
                <w:position w:val="16"/>
                <w:sz w:val="24"/>
                <w:szCs w:val="24"/>
                <w:u w:val="single" w:color="auto"/>
              </w:rPr>
              <w:t>米的A声级，dB(A)；</w:t>
            </w:r>
          </w:p>
          <w:p w14:paraId="792D9427">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r</w:t>
            </w:r>
            <w:r>
              <w:rPr>
                <w:rFonts w:hint="eastAsia" w:ascii="宋体" w:hAnsi="宋体" w:eastAsia="宋体" w:cs="宋体"/>
                <w:color w:val="auto"/>
                <w:spacing w:val="0"/>
                <w:position w:val="-1"/>
                <w:sz w:val="24"/>
                <w:szCs w:val="24"/>
                <w:u w:val="single" w:color="auto"/>
              </w:rPr>
              <w:t>0</w:t>
            </w:r>
            <w:r>
              <w:rPr>
                <w:rFonts w:hint="eastAsia" w:ascii="宋体" w:hAnsi="宋体" w:eastAsia="宋体" w:cs="宋体"/>
                <w:color w:val="auto"/>
                <w:spacing w:val="0"/>
                <w:sz w:val="24"/>
                <w:szCs w:val="24"/>
                <w:u w:val="single" w:color="auto"/>
              </w:rPr>
              <w:t>——参考位置距离声源的距离，m；</w:t>
            </w:r>
          </w:p>
          <w:p w14:paraId="656EEF35">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position w:val="16"/>
                <w:sz w:val="24"/>
                <w:szCs w:val="24"/>
                <w:u w:val="single" w:color="auto"/>
              </w:rPr>
              <w:t>r——预测点距离声源的距离，m；</w:t>
            </w:r>
          </w:p>
          <w:p w14:paraId="174E721D">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A——倍频带衰减，dB；</w:t>
            </w:r>
          </w:p>
          <w:p w14:paraId="08E5C6A2">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A</w:t>
            </w:r>
            <w:r>
              <w:rPr>
                <w:rFonts w:hint="eastAsia" w:ascii="宋体" w:hAnsi="宋体" w:eastAsia="宋体" w:cs="宋体"/>
                <w:color w:val="auto"/>
                <w:spacing w:val="0"/>
                <w:position w:val="-1"/>
                <w:sz w:val="24"/>
                <w:szCs w:val="24"/>
                <w:u w:val="single" w:color="auto"/>
              </w:rPr>
              <w:t>div</w:t>
            </w:r>
            <w:r>
              <w:rPr>
                <w:rFonts w:hint="eastAsia" w:ascii="宋体" w:hAnsi="宋体" w:eastAsia="宋体" w:cs="宋体"/>
                <w:color w:val="auto"/>
                <w:spacing w:val="0"/>
                <w:sz w:val="24"/>
                <w:szCs w:val="24"/>
                <w:u w:val="single" w:color="auto"/>
              </w:rPr>
              <w:t>——几何发散引起的倍频带衰减，20lg(r/r</w:t>
            </w:r>
            <w:r>
              <w:rPr>
                <w:rFonts w:hint="eastAsia" w:ascii="宋体" w:hAnsi="宋体" w:eastAsia="宋体" w:cs="宋体"/>
                <w:color w:val="auto"/>
                <w:spacing w:val="0"/>
                <w:position w:val="-1"/>
                <w:sz w:val="24"/>
                <w:szCs w:val="24"/>
                <w:u w:val="single" w:color="auto"/>
              </w:rPr>
              <w:t>0</w:t>
            </w:r>
            <w:r>
              <w:rPr>
                <w:rFonts w:hint="eastAsia" w:ascii="宋体" w:hAnsi="宋体" w:eastAsia="宋体" w:cs="宋体"/>
                <w:color w:val="auto"/>
                <w:spacing w:val="0"/>
                <w:sz w:val="24"/>
                <w:szCs w:val="24"/>
                <w:u w:val="single" w:color="auto"/>
              </w:rPr>
              <w:t>)，dB；A</w:t>
            </w:r>
            <w:r>
              <w:rPr>
                <w:rFonts w:hint="eastAsia" w:ascii="宋体" w:hAnsi="宋体" w:eastAsia="宋体" w:cs="宋体"/>
                <w:color w:val="auto"/>
                <w:spacing w:val="0"/>
                <w:position w:val="-1"/>
                <w:sz w:val="24"/>
                <w:szCs w:val="24"/>
                <w:u w:val="single" w:color="auto"/>
              </w:rPr>
              <w:t>atm</w:t>
            </w:r>
            <w:r>
              <w:rPr>
                <w:rFonts w:hint="eastAsia" w:ascii="宋体" w:hAnsi="宋体" w:eastAsia="宋体" w:cs="宋体"/>
                <w:color w:val="auto"/>
                <w:spacing w:val="0"/>
                <w:sz w:val="24"/>
                <w:szCs w:val="24"/>
                <w:u w:val="single" w:color="auto"/>
              </w:rPr>
              <w:t>——大气吸收引起的倍频带衰减，</w:t>
            </w:r>
            <w:r>
              <w:rPr>
                <w:rFonts w:hint="eastAsia" w:ascii="宋体" w:hAnsi="宋体" w:eastAsia="宋体" w:cs="宋体"/>
                <w:color w:val="auto"/>
                <w:spacing w:val="0"/>
                <w:position w:val="-10"/>
                <w:sz w:val="24"/>
                <w:szCs w:val="24"/>
                <w:u w:val="single" w:color="auto"/>
              </w:rPr>
              <w:drawing>
                <wp:inline distT="0" distB="0" distL="114300" distR="114300">
                  <wp:extent cx="388620" cy="240030"/>
                  <wp:effectExtent l="0" t="0" r="11430" b="7620"/>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pic:nvPicPr>
                        <pic:blipFill>
                          <a:blip r:embed="rId12"/>
                          <a:stretch>
                            <a:fillRect/>
                          </a:stretch>
                        </pic:blipFill>
                        <pic:spPr>
                          <a:xfrm>
                            <a:off x="0" y="0"/>
                            <a:ext cx="388620" cy="240030"/>
                          </a:xfrm>
                          <a:prstGeom prst="rect">
                            <a:avLst/>
                          </a:prstGeom>
                          <a:noFill/>
                          <a:ln>
                            <a:noFill/>
                          </a:ln>
                        </pic:spPr>
                      </pic:pic>
                    </a:graphicData>
                  </a:graphic>
                </wp:inline>
              </w:drawing>
            </w:r>
            <w:r>
              <w:rPr>
                <w:rFonts w:hint="eastAsia" w:ascii="宋体" w:hAnsi="宋体" w:eastAsia="宋体" w:cs="宋体"/>
                <w:color w:val="auto"/>
                <w:spacing w:val="0"/>
                <w:sz w:val="24"/>
                <w:szCs w:val="24"/>
                <w:u w:val="single" w:color="auto"/>
              </w:rPr>
              <w:t>，dB，本项目所处区域常年平均气温为19℃，常年平均相对湿度79%，A可选择对A声级影响最大的倍频带计算，一般可选中心频率为500Hz的倍频带作估算，则大气吸收衰减系数α=2.4dB/km；</w:t>
            </w:r>
          </w:p>
          <w:p w14:paraId="4A5DBED4">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A</w:t>
            </w:r>
            <w:r>
              <w:rPr>
                <w:rFonts w:hint="eastAsia" w:ascii="宋体" w:hAnsi="宋体" w:eastAsia="宋体" w:cs="宋体"/>
                <w:color w:val="auto"/>
                <w:spacing w:val="0"/>
                <w:position w:val="-1"/>
                <w:sz w:val="24"/>
                <w:szCs w:val="24"/>
                <w:u w:val="single" w:color="auto"/>
              </w:rPr>
              <w:t>gr</w:t>
            </w:r>
            <w:r>
              <w:rPr>
                <w:rFonts w:hint="eastAsia" w:ascii="宋体" w:hAnsi="宋体" w:eastAsia="宋体" w:cs="宋体"/>
                <w:color w:val="auto"/>
                <w:spacing w:val="0"/>
                <w:sz w:val="24"/>
                <w:szCs w:val="24"/>
                <w:u w:val="single" w:color="auto"/>
              </w:rPr>
              <w:t>——地面效应引起的倍频带衰减，dB，不考虑地面效应衰减；</w:t>
            </w:r>
          </w:p>
          <w:p w14:paraId="70E4C1E3">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A</w:t>
            </w:r>
            <w:r>
              <w:rPr>
                <w:rFonts w:hint="eastAsia" w:ascii="宋体" w:hAnsi="宋体" w:eastAsia="宋体" w:cs="宋体"/>
                <w:color w:val="auto"/>
                <w:spacing w:val="0"/>
                <w:position w:val="-1"/>
                <w:sz w:val="24"/>
                <w:szCs w:val="24"/>
                <w:u w:val="single" w:color="auto"/>
              </w:rPr>
              <w:t>bar</w:t>
            </w:r>
            <w:r>
              <w:rPr>
                <w:rFonts w:hint="eastAsia" w:ascii="宋体" w:hAnsi="宋体" w:eastAsia="宋体" w:cs="宋体"/>
                <w:color w:val="auto"/>
                <w:spacing w:val="0"/>
                <w:sz w:val="24"/>
                <w:szCs w:val="24"/>
                <w:u w:val="single" w:color="auto"/>
              </w:rPr>
              <w:t>——声屏障引起的倍频带衰减，dB，不考虑声屏障衰减；</w:t>
            </w:r>
          </w:p>
          <w:p w14:paraId="162454EA">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A</w:t>
            </w:r>
            <w:r>
              <w:rPr>
                <w:rFonts w:hint="eastAsia" w:ascii="宋体" w:hAnsi="宋体" w:eastAsia="宋体" w:cs="宋体"/>
                <w:color w:val="auto"/>
                <w:spacing w:val="0"/>
                <w:position w:val="-1"/>
                <w:sz w:val="24"/>
                <w:szCs w:val="24"/>
                <w:u w:val="single" w:color="auto"/>
              </w:rPr>
              <w:t>misc</w:t>
            </w:r>
            <w:r>
              <w:rPr>
                <w:rFonts w:hint="eastAsia" w:ascii="宋体" w:hAnsi="宋体" w:eastAsia="宋体" w:cs="宋体"/>
                <w:color w:val="auto"/>
                <w:spacing w:val="0"/>
                <w:sz w:val="24"/>
                <w:szCs w:val="24"/>
                <w:u w:val="single" w:color="auto"/>
              </w:rPr>
              <w:t>——其他多方面效应引起的倍频带衰减，dB，不考虑其他多方面效应引起的倍频带衰减。</w:t>
            </w:r>
          </w:p>
          <w:p w14:paraId="3C650027">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(2</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室内声源等效室外声源声功率级计算方法</w:t>
            </w:r>
          </w:p>
          <w:p w14:paraId="27D16CF9">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如下图所示，声源位于室内，室内声源可采用等效室外声源声功率级法进行计算。设靠近开口处</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或窗户</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室内、室外某倍频带的声压级分别为L</w:t>
            </w:r>
            <w:r>
              <w:rPr>
                <w:rFonts w:hint="eastAsia" w:ascii="宋体" w:hAnsi="宋体" w:eastAsia="宋体" w:cs="宋体"/>
                <w:color w:val="auto"/>
                <w:spacing w:val="0"/>
                <w:position w:val="-1"/>
                <w:sz w:val="24"/>
                <w:szCs w:val="24"/>
                <w:u w:val="single" w:color="auto"/>
              </w:rPr>
              <w:t>p1</w:t>
            </w:r>
            <w:r>
              <w:rPr>
                <w:rFonts w:hint="eastAsia" w:ascii="宋体" w:hAnsi="宋体" w:eastAsia="宋体" w:cs="宋体"/>
                <w:color w:val="auto"/>
                <w:spacing w:val="0"/>
                <w:sz w:val="24"/>
                <w:szCs w:val="24"/>
                <w:u w:val="single" w:color="auto"/>
              </w:rPr>
              <w:t>和L</w:t>
            </w:r>
            <w:r>
              <w:rPr>
                <w:rFonts w:hint="eastAsia" w:ascii="宋体" w:hAnsi="宋体" w:eastAsia="宋体" w:cs="宋体"/>
                <w:color w:val="auto"/>
                <w:spacing w:val="0"/>
                <w:position w:val="-1"/>
                <w:sz w:val="24"/>
                <w:szCs w:val="24"/>
                <w:u w:val="single" w:color="auto"/>
              </w:rPr>
              <w:t>p2</w:t>
            </w:r>
            <w:r>
              <w:rPr>
                <w:rFonts w:hint="eastAsia" w:ascii="宋体" w:hAnsi="宋体" w:eastAsia="宋体" w:cs="宋体"/>
                <w:color w:val="auto"/>
                <w:spacing w:val="0"/>
                <w:sz w:val="24"/>
                <w:szCs w:val="24"/>
                <w:u w:val="single" w:color="auto"/>
              </w:rPr>
              <w:t>。若声源所在室内声场为近似扩散声场，则室外的倍频带声压级可按下式近似求出：</w:t>
            </w:r>
          </w:p>
          <w:p w14:paraId="605EB3ED">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jc w:val="center"/>
              <w:textAlignment w:val="center"/>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drawing>
                <wp:inline distT="0" distB="0" distL="114300" distR="114300">
                  <wp:extent cx="1155700" cy="240030"/>
                  <wp:effectExtent l="0" t="0" r="6350" b="698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3"/>
                          <a:stretch>
                            <a:fillRect/>
                          </a:stretch>
                        </pic:blipFill>
                        <pic:spPr>
                          <a:xfrm>
                            <a:off x="0" y="0"/>
                            <a:ext cx="1155700" cy="240030"/>
                          </a:xfrm>
                          <a:prstGeom prst="rect">
                            <a:avLst/>
                          </a:prstGeom>
                          <a:noFill/>
                          <a:ln>
                            <a:noFill/>
                          </a:ln>
                        </pic:spPr>
                      </pic:pic>
                    </a:graphicData>
                  </a:graphic>
                </wp:inline>
              </w:drawing>
            </w:r>
          </w:p>
          <w:p w14:paraId="1ABB8CD6">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式中：TL——隔墙</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或窗户</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倍频带的隔声量，dB。</w:t>
            </w:r>
          </w:p>
          <w:p w14:paraId="62A28466">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lang w:val="en-US" w:eastAsia="zh-CN"/>
              </w:rPr>
              <w:t>3</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噪声贡献值计算</w:t>
            </w:r>
          </w:p>
          <w:p w14:paraId="115F70D1">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设第i个室外声源在预测点产生的A声级为L</w:t>
            </w:r>
            <w:r>
              <w:rPr>
                <w:rFonts w:hint="eastAsia" w:ascii="宋体" w:hAnsi="宋体" w:eastAsia="宋体" w:cs="宋体"/>
                <w:color w:val="auto"/>
                <w:spacing w:val="0"/>
                <w:position w:val="-1"/>
                <w:sz w:val="24"/>
                <w:szCs w:val="24"/>
                <w:u w:val="single" w:color="auto"/>
              </w:rPr>
              <w:t>Ai</w:t>
            </w:r>
            <w:r>
              <w:rPr>
                <w:rFonts w:hint="eastAsia" w:ascii="宋体" w:hAnsi="宋体" w:eastAsia="宋体" w:cs="宋体"/>
                <w:color w:val="auto"/>
                <w:spacing w:val="0"/>
                <w:sz w:val="24"/>
                <w:szCs w:val="24"/>
                <w:u w:val="single" w:color="auto"/>
              </w:rPr>
              <w:t>，在T时间内该声源工作时间为t</w:t>
            </w:r>
            <w:r>
              <w:rPr>
                <w:rFonts w:hint="eastAsia" w:ascii="宋体" w:hAnsi="宋体" w:eastAsia="宋体" w:cs="宋体"/>
                <w:color w:val="auto"/>
                <w:spacing w:val="0"/>
                <w:position w:val="-1"/>
                <w:sz w:val="24"/>
                <w:szCs w:val="24"/>
                <w:u w:val="single" w:color="auto"/>
              </w:rPr>
              <w:t>i</w:t>
            </w:r>
            <w:r>
              <w:rPr>
                <w:rFonts w:hint="eastAsia" w:ascii="宋体" w:hAnsi="宋体" w:eastAsia="宋体" w:cs="宋体"/>
                <w:color w:val="auto"/>
                <w:spacing w:val="0"/>
                <w:sz w:val="24"/>
                <w:szCs w:val="24"/>
                <w:u w:val="single" w:color="auto"/>
              </w:rPr>
              <w:t>；第j个等效室外声源在预测点产生的A声级为L</w:t>
            </w:r>
            <w:r>
              <w:rPr>
                <w:rFonts w:hint="eastAsia" w:ascii="宋体" w:hAnsi="宋体" w:eastAsia="宋体" w:cs="宋体"/>
                <w:color w:val="auto"/>
                <w:spacing w:val="0"/>
                <w:position w:val="-1"/>
                <w:sz w:val="24"/>
                <w:szCs w:val="24"/>
                <w:u w:val="single" w:color="auto"/>
              </w:rPr>
              <w:t>Aj</w:t>
            </w:r>
            <w:r>
              <w:rPr>
                <w:rFonts w:hint="eastAsia" w:ascii="宋体" w:hAnsi="宋体" w:eastAsia="宋体" w:cs="宋体"/>
                <w:color w:val="auto"/>
                <w:spacing w:val="0"/>
                <w:sz w:val="24"/>
                <w:szCs w:val="24"/>
                <w:u w:val="single" w:color="auto"/>
              </w:rPr>
              <w:t>，在T时间内该声源工作时间为t</w:t>
            </w:r>
            <w:r>
              <w:rPr>
                <w:rFonts w:hint="eastAsia" w:ascii="宋体" w:hAnsi="宋体" w:eastAsia="宋体" w:cs="宋体"/>
                <w:color w:val="auto"/>
                <w:spacing w:val="0"/>
                <w:position w:val="-1"/>
                <w:sz w:val="24"/>
                <w:szCs w:val="24"/>
                <w:u w:val="single" w:color="auto"/>
              </w:rPr>
              <w:t>j</w:t>
            </w:r>
            <w:r>
              <w:rPr>
                <w:rFonts w:hint="eastAsia" w:ascii="宋体" w:hAnsi="宋体" w:eastAsia="宋体" w:cs="宋体"/>
                <w:color w:val="auto"/>
                <w:spacing w:val="0"/>
                <w:sz w:val="24"/>
                <w:szCs w:val="24"/>
                <w:u w:val="single" w:color="auto"/>
              </w:rPr>
              <w:t>，则拟建工程声源对预测点产生的贡献值</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L</w:t>
            </w:r>
            <w:r>
              <w:rPr>
                <w:rFonts w:hint="eastAsia" w:ascii="宋体" w:hAnsi="宋体" w:eastAsia="宋体" w:cs="宋体"/>
                <w:color w:val="auto"/>
                <w:spacing w:val="0"/>
                <w:position w:val="-1"/>
                <w:sz w:val="24"/>
                <w:szCs w:val="24"/>
                <w:u w:val="single" w:color="auto"/>
              </w:rPr>
              <w:t>eqg</w:t>
            </w:r>
            <w:r>
              <w:rPr>
                <w:rFonts w:hint="eastAsia" w:ascii="宋体" w:hAnsi="宋体" w:eastAsia="宋体" w:cs="宋体"/>
                <w:color w:val="auto"/>
                <w:spacing w:val="0"/>
                <w:position w:val="-1"/>
                <w:sz w:val="24"/>
                <w:szCs w:val="24"/>
                <w:u w:val="single" w:color="auto"/>
                <w:lang w:eastAsia="zh-CN"/>
              </w:rPr>
              <w:t>）</w:t>
            </w:r>
            <w:r>
              <w:rPr>
                <w:rFonts w:hint="eastAsia" w:ascii="宋体" w:hAnsi="宋体" w:eastAsia="宋体" w:cs="宋体"/>
                <w:color w:val="auto"/>
                <w:spacing w:val="0"/>
                <w:sz w:val="24"/>
                <w:szCs w:val="24"/>
                <w:u w:val="single" w:color="auto"/>
              </w:rPr>
              <w:t>为：</w:t>
            </w:r>
          </w:p>
          <w:p w14:paraId="06693E97">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jc w:val="center"/>
              <w:textAlignment w:val="center"/>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drawing>
                <wp:inline distT="0" distB="0" distL="114300" distR="114300">
                  <wp:extent cx="2499995" cy="431165"/>
                  <wp:effectExtent l="0" t="0" r="14605" b="6985"/>
                  <wp:docPr id="12" name="图片 5"/>
                  <wp:cNvGraphicFramePr/>
                  <a:graphic xmlns:a="http://schemas.openxmlformats.org/drawingml/2006/main">
                    <a:graphicData uri="http://schemas.openxmlformats.org/drawingml/2006/picture">
                      <pic:pic xmlns:pic="http://schemas.openxmlformats.org/drawingml/2006/picture">
                        <pic:nvPicPr>
                          <pic:cNvPr id="12" name="图片 5"/>
                          <pic:cNvPicPr/>
                        </pic:nvPicPr>
                        <pic:blipFill>
                          <a:blip r:embed="rId14"/>
                          <a:stretch>
                            <a:fillRect/>
                          </a:stretch>
                        </pic:blipFill>
                        <pic:spPr>
                          <a:xfrm>
                            <a:off x="0" y="0"/>
                            <a:ext cx="2499995" cy="431165"/>
                          </a:xfrm>
                          <a:prstGeom prst="rect">
                            <a:avLst/>
                          </a:prstGeom>
                          <a:noFill/>
                          <a:ln>
                            <a:noFill/>
                          </a:ln>
                        </pic:spPr>
                      </pic:pic>
                    </a:graphicData>
                  </a:graphic>
                </wp:inline>
              </w:drawing>
            </w:r>
          </w:p>
          <w:p w14:paraId="6563F84C">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式中：t</w:t>
            </w:r>
            <w:r>
              <w:rPr>
                <w:rFonts w:hint="eastAsia" w:ascii="宋体" w:hAnsi="宋体" w:eastAsia="宋体" w:cs="宋体"/>
                <w:color w:val="auto"/>
                <w:spacing w:val="0"/>
                <w:position w:val="-1"/>
                <w:sz w:val="24"/>
                <w:szCs w:val="24"/>
                <w:u w:val="single" w:color="auto"/>
              </w:rPr>
              <w:t>j</w:t>
            </w:r>
            <w:r>
              <w:rPr>
                <w:rFonts w:hint="eastAsia" w:ascii="宋体" w:hAnsi="宋体" w:eastAsia="宋体" w:cs="宋体"/>
                <w:color w:val="auto"/>
                <w:spacing w:val="0"/>
                <w:sz w:val="24"/>
                <w:szCs w:val="24"/>
                <w:u w:val="single" w:color="auto"/>
              </w:rPr>
              <w:t>——在T时间内j声源工作时间，s；</w:t>
            </w:r>
          </w:p>
          <w:p w14:paraId="6C045B80">
            <w:pPr>
              <w:keepNext w:val="0"/>
              <w:keepLines w:val="0"/>
              <w:pageBreakBefore w:val="0"/>
              <w:widowControl/>
              <w:kinsoku/>
              <w:wordWrap/>
              <w:overflowPunct w:val="0"/>
              <w:topLinePunct w:val="0"/>
              <w:autoSpaceDE w:val="0"/>
              <w:autoSpaceDN w:val="0"/>
              <w:bidi w:val="0"/>
              <w:adjustRightInd w:val="0"/>
              <w:snapToGrid w:val="0"/>
              <w:spacing w:line="348" w:lineRule="auto"/>
              <w:ind w:left="630" w:leftChars="30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position w:val="16"/>
                <w:sz w:val="24"/>
                <w:szCs w:val="24"/>
                <w:u w:val="single" w:color="auto"/>
              </w:rPr>
              <w:t>t</w:t>
            </w:r>
            <w:r>
              <w:rPr>
                <w:rFonts w:hint="eastAsia" w:ascii="宋体" w:hAnsi="宋体" w:eastAsia="宋体" w:cs="宋体"/>
                <w:color w:val="auto"/>
                <w:spacing w:val="0"/>
                <w:position w:val="15"/>
                <w:sz w:val="24"/>
                <w:szCs w:val="24"/>
                <w:u w:val="single" w:color="auto"/>
              </w:rPr>
              <w:t>i</w:t>
            </w:r>
            <w:r>
              <w:rPr>
                <w:rFonts w:hint="eastAsia" w:ascii="宋体" w:hAnsi="宋体" w:eastAsia="宋体" w:cs="宋体"/>
                <w:color w:val="auto"/>
                <w:spacing w:val="0"/>
                <w:position w:val="16"/>
                <w:sz w:val="24"/>
                <w:szCs w:val="24"/>
                <w:u w:val="single" w:color="auto"/>
              </w:rPr>
              <w:t>——在T时间内i声源工作时间，s；</w:t>
            </w:r>
          </w:p>
          <w:p w14:paraId="5E25BF5A">
            <w:pPr>
              <w:keepNext w:val="0"/>
              <w:keepLines w:val="0"/>
              <w:pageBreakBefore w:val="0"/>
              <w:widowControl/>
              <w:kinsoku/>
              <w:wordWrap/>
              <w:overflowPunct w:val="0"/>
              <w:topLinePunct w:val="0"/>
              <w:autoSpaceDE w:val="0"/>
              <w:autoSpaceDN w:val="0"/>
              <w:bidi w:val="0"/>
              <w:adjustRightInd w:val="0"/>
              <w:snapToGrid w:val="0"/>
              <w:spacing w:line="348" w:lineRule="auto"/>
              <w:ind w:left="630" w:leftChars="30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T——用于计算等效声级的时间，s；</w:t>
            </w:r>
          </w:p>
          <w:p w14:paraId="623DA0B8">
            <w:pPr>
              <w:keepNext w:val="0"/>
              <w:keepLines w:val="0"/>
              <w:pageBreakBefore w:val="0"/>
              <w:widowControl/>
              <w:kinsoku/>
              <w:wordWrap/>
              <w:overflowPunct w:val="0"/>
              <w:topLinePunct w:val="0"/>
              <w:autoSpaceDE w:val="0"/>
              <w:autoSpaceDN w:val="0"/>
              <w:bidi w:val="0"/>
              <w:adjustRightInd w:val="0"/>
              <w:snapToGrid w:val="0"/>
              <w:spacing w:line="348" w:lineRule="auto"/>
              <w:ind w:left="630" w:leftChars="30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N——室外声源个数；</w:t>
            </w:r>
          </w:p>
          <w:p w14:paraId="0250DB42">
            <w:pPr>
              <w:keepNext w:val="0"/>
              <w:keepLines w:val="0"/>
              <w:pageBreakBefore w:val="0"/>
              <w:widowControl/>
              <w:kinsoku/>
              <w:wordWrap/>
              <w:overflowPunct w:val="0"/>
              <w:topLinePunct w:val="0"/>
              <w:autoSpaceDE w:val="0"/>
              <w:autoSpaceDN w:val="0"/>
              <w:bidi w:val="0"/>
              <w:adjustRightInd w:val="0"/>
              <w:snapToGrid w:val="0"/>
              <w:spacing w:line="348" w:lineRule="auto"/>
              <w:ind w:left="630" w:leftChars="30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M——等效室外声源个数。</w:t>
            </w:r>
          </w:p>
          <w:p w14:paraId="2868A269">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lang w:val="en-US" w:eastAsia="zh-CN"/>
              </w:rPr>
              <w:t>4</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预测值计算</w:t>
            </w:r>
          </w:p>
          <w:p w14:paraId="1B9126D4">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预测点的预测等效声级</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Leq</w:t>
            </w:r>
            <w:r>
              <w:rPr>
                <w:rFonts w:hint="eastAsia" w:ascii="宋体" w:hAnsi="宋体" w:eastAsia="宋体" w:cs="宋体"/>
                <w:color w:val="auto"/>
                <w:spacing w:val="0"/>
                <w:sz w:val="24"/>
                <w:szCs w:val="24"/>
                <w:u w:val="single" w:color="auto"/>
                <w:lang w:eastAsia="zh-CN"/>
              </w:rPr>
              <w:t>）</w:t>
            </w:r>
            <w:r>
              <w:rPr>
                <w:rFonts w:hint="eastAsia" w:ascii="宋体" w:hAnsi="宋体" w:eastAsia="宋体" w:cs="宋体"/>
                <w:color w:val="auto"/>
                <w:spacing w:val="0"/>
                <w:sz w:val="24"/>
                <w:szCs w:val="24"/>
                <w:u w:val="single" w:color="auto"/>
              </w:rPr>
              <w:t>计算公式：</w:t>
            </w:r>
          </w:p>
          <w:p w14:paraId="2A6A0DEE">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jc w:val="center"/>
              <w:textAlignment w:val="center"/>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drawing>
                <wp:inline distT="0" distB="0" distL="114300" distR="114300">
                  <wp:extent cx="1639570" cy="190500"/>
                  <wp:effectExtent l="0" t="0" r="17780" b="0"/>
                  <wp:docPr id="15" name="图片 6"/>
                  <wp:cNvGraphicFramePr/>
                  <a:graphic xmlns:a="http://schemas.openxmlformats.org/drawingml/2006/main">
                    <a:graphicData uri="http://schemas.openxmlformats.org/drawingml/2006/picture">
                      <pic:pic xmlns:pic="http://schemas.openxmlformats.org/drawingml/2006/picture">
                        <pic:nvPicPr>
                          <pic:cNvPr id="15" name="图片 6"/>
                          <pic:cNvPicPr/>
                        </pic:nvPicPr>
                        <pic:blipFill>
                          <a:blip r:embed="rId15"/>
                          <a:stretch>
                            <a:fillRect/>
                          </a:stretch>
                        </pic:blipFill>
                        <pic:spPr>
                          <a:xfrm>
                            <a:off x="0" y="0"/>
                            <a:ext cx="1639570" cy="190500"/>
                          </a:xfrm>
                          <a:prstGeom prst="rect">
                            <a:avLst/>
                          </a:prstGeom>
                          <a:noFill/>
                          <a:ln>
                            <a:noFill/>
                          </a:ln>
                        </pic:spPr>
                      </pic:pic>
                    </a:graphicData>
                  </a:graphic>
                </wp:inline>
              </w:drawing>
            </w:r>
          </w:p>
          <w:p w14:paraId="6863D1BA">
            <w:pPr>
              <w:keepNext w:val="0"/>
              <w:keepLines w:val="0"/>
              <w:pageBreakBefore w:val="0"/>
              <w:widowControl/>
              <w:kinsoku/>
              <w:wordWrap/>
              <w:overflowPunct w:val="0"/>
              <w:topLinePunct w:val="0"/>
              <w:autoSpaceDE w:val="0"/>
              <w:autoSpaceDN w:val="0"/>
              <w:bidi w:val="0"/>
              <w:adjustRightInd w:val="0"/>
              <w:snapToGrid w:val="0"/>
              <w:spacing w:line="348" w:lineRule="auto"/>
              <w:ind w:left="0" w:right="0" w:firstLine="480" w:firstLineChars="200"/>
              <w:rPr>
                <w:rFonts w:hint="eastAsia" w:ascii="宋体" w:hAnsi="宋体" w:eastAsia="宋体" w:cs="宋体"/>
                <w:color w:val="auto"/>
                <w:spacing w:val="0"/>
                <w:sz w:val="24"/>
                <w:szCs w:val="24"/>
                <w:u w:val="single" w:color="auto"/>
              </w:rPr>
            </w:pPr>
            <w:r>
              <w:rPr>
                <w:rFonts w:hint="eastAsia" w:ascii="宋体" w:hAnsi="宋体" w:eastAsia="宋体" w:cs="宋体"/>
                <w:color w:val="auto"/>
                <w:spacing w:val="0"/>
                <w:sz w:val="24"/>
                <w:szCs w:val="24"/>
                <w:u w:val="single" w:color="auto"/>
              </w:rPr>
              <w:t>式中：L</w:t>
            </w:r>
            <w:r>
              <w:rPr>
                <w:rFonts w:hint="eastAsia" w:ascii="宋体" w:hAnsi="宋体" w:eastAsia="宋体" w:cs="宋体"/>
                <w:color w:val="auto"/>
                <w:spacing w:val="0"/>
                <w:position w:val="-1"/>
                <w:sz w:val="24"/>
                <w:szCs w:val="24"/>
                <w:u w:val="single" w:color="auto"/>
              </w:rPr>
              <w:t>eqg</w:t>
            </w:r>
            <w:r>
              <w:rPr>
                <w:rFonts w:hint="eastAsia" w:ascii="宋体" w:hAnsi="宋体" w:eastAsia="宋体" w:cs="宋体"/>
                <w:color w:val="auto"/>
                <w:spacing w:val="0"/>
                <w:sz w:val="24"/>
                <w:szCs w:val="24"/>
                <w:u w:val="single" w:color="auto"/>
              </w:rPr>
              <w:t>——建设项目声源在预测点的等效声级贡献值，dB(A)；L</w:t>
            </w:r>
            <w:r>
              <w:rPr>
                <w:rFonts w:hint="eastAsia" w:ascii="宋体" w:hAnsi="宋体" w:eastAsia="宋体" w:cs="宋体"/>
                <w:color w:val="auto"/>
                <w:spacing w:val="0"/>
                <w:position w:val="-1"/>
                <w:sz w:val="24"/>
                <w:szCs w:val="24"/>
                <w:u w:val="single" w:color="auto"/>
              </w:rPr>
              <w:t>eqb</w:t>
            </w:r>
            <w:r>
              <w:rPr>
                <w:rFonts w:hint="eastAsia" w:ascii="宋体" w:hAnsi="宋体" w:eastAsia="宋体" w:cs="宋体"/>
                <w:color w:val="auto"/>
                <w:spacing w:val="0"/>
                <w:sz w:val="24"/>
                <w:szCs w:val="24"/>
                <w:u w:val="single" w:color="auto"/>
              </w:rPr>
              <w:t>——预测点的背景值，dB(A)。</w:t>
            </w:r>
          </w:p>
          <w:p w14:paraId="1BACCEE4">
            <w:pPr>
              <w:spacing w:before="50"/>
              <w:jc w:val="center"/>
              <w:rPr>
                <w:rFonts w:hint="eastAsia" w:ascii="宋体" w:hAnsi="宋体" w:eastAsia="宋体" w:cs="宋体"/>
                <w:b/>
                <w:bCs/>
                <w:color w:val="auto"/>
                <w:sz w:val="21"/>
                <w:szCs w:val="21"/>
                <w:highlight w:val="none"/>
                <w:u w:val="single" w:color="auto"/>
                <w:lang w:val="en-US" w:eastAsia="zh-CN"/>
              </w:rPr>
            </w:pPr>
            <w:r>
              <w:rPr>
                <w:rFonts w:hint="eastAsia" w:ascii="宋体" w:hAnsi="宋体" w:eastAsia="宋体" w:cs="宋体"/>
                <w:b/>
                <w:bCs/>
                <w:color w:val="auto"/>
                <w:sz w:val="21"/>
                <w:szCs w:val="21"/>
                <w:highlight w:val="none"/>
                <w:u w:val="single" w:color="auto"/>
                <w:lang w:val="en-US" w:eastAsia="zh-CN"/>
              </w:rPr>
              <w:t>表4-7  噪声源分布及预测情况一览表</w:t>
            </w:r>
          </w:p>
          <w:tbl>
            <w:tblPr>
              <w:tblStyle w:val="29"/>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
              <w:gridCol w:w="394"/>
              <w:gridCol w:w="571"/>
              <w:gridCol w:w="394"/>
              <w:gridCol w:w="394"/>
              <w:gridCol w:w="753"/>
              <w:gridCol w:w="394"/>
              <w:gridCol w:w="482"/>
              <w:gridCol w:w="394"/>
              <w:gridCol w:w="394"/>
              <w:gridCol w:w="394"/>
              <w:gridCol w:w="482"/>
              <w:gridCol w:w="753"/>
              <w:gridCol w:w="395"/>
              <w:gridCol w:w="754"/>
              <w:gridCol w:w="754"/>
              <w:gridCol w:w="395"/>
            </w:tblGrid>
            <w:tr w14:paraId="44AD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3737F">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序 号</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A26BE">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建筑物名称</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FC009">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声源名称</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3AF35">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型号</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73D58">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数量/台</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A65B">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声源源强</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1532E">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降噪措施</w:t>
                  </w:r>
                </w:p>
              </w:tc>
              <w:tc>
                <w:tcPr>
                  <w:tcW w:w="6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73540">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空间相对位置/m</w:t>
                  </w:r>
                </w:p>
              </w:tc>
              <w:tc>
                <w:tcPr>
                  <w:tcW w:w="4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09708">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距室内边界距离/m</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DE8BA">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室内边界声级/dB(A)</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5369E">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运行时段</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93C3A">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建筑物插入损失/dB(A)</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1BE24">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建筑物外噪声</w:t>
                  </w:r>
                </w:p>
              </w:tc>
            </w:tr>
            <w:tr w14:paraId="0079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763CE">
                  <w:pPr>
                    <w:jc w:val="center"/>
                    <w:rPr>
                      <w:rFonts w:hint="eastAsia" w:ascii="宋体" w:hAnsi="宋体" w:eastAsia="宋体" w:cs="宋体"/>
                      <w:b/>
                      <w:bCs/>
                      <w:i w:val="0"/>
                      <w:iCs w:val="0"/>
                      <w:color w:val="auto"/>
                      <w:sz w:val="21"/>
                      <w:szCs w:val="21"/>
                      <w:u w:val="single" w:color="auto"/>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F886">
                  <w:pPr>
                    <w:jc w:val="center"/>
                    <w:rPr>
                      <w:rFonts w:hint="eastAsia" w:ascii="宋体" w:hAnsi="宋体" w:eastAsia="宋体" w:cs="宋体"/>
                      <w:b/>
                      <w:bCs/>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1D73D">
                  <w:pPr>
                    <w:jc w:val="center"/>
                    <w:rPr>
                      <w:rFonts w:hint="eastAsia" w:ascii="宋体" w:hAnsi="宋体" w:eastAsia="宋体" w:cs="宋体"/>
                      <w:b/>
                      <w:bCs/>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EC302">
                  <w:pPr>
                    <w:jc w:val="center"/>
                    <w:rPr>
                      <w:rFonts w:hint="eastAsia" w:ascii="宋体" w:hAnsi="宋体" w:eastAsia="宋体" w:cs="宋体"/>
                      <w:b/>
                      <w:bCs/>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0A0E2">
                  <w:pPr>
                    <w:jc w:val="center"/>
                    <w:rPr>
                      <w:rFonts w:hint="eastAsia" w:ascii="宋体" w:hAnsi="宋体" w:eastAsia="宋体" w:cs="宋体"/>
                      <w:b/>
                      <w:bCs/>
                      <w:i w:val="0"/>
                      <w:iCs w:val="0"/>
                      <w:color w:val="auto"/>
                      <w:sz w:val="21"/>
                      <w:szCs w:val="21"/>
                      <w:u w:val="single" w:color="auto"/>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82CD">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声功率级/dB(A)</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08508">
                  <w:pPr>
                    <w:jc w:val="center"/>
                    <w:rPr>
                      <w:rFonts w:hint="eastAsia" w:ascii="宋体" w:hAnsi="宋体" w:eastAsia="宋体" w:cs="宋体"/>
                      <w:b/>
                      <w:bCs/>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CAFAE">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lang w:val="en-US"/>
                    </w:rPr>
                  </w:pPr>
                  <w:r>
                    <w:rPr>
                      <w:rFonts w:hint="eastAsia" w:ascii="宋体" w:hAnsi="宋体" w:eastAsia="宋体" w:cs="宋体"/>
                      <w:b/>
                      <w:bCs/>
                      <w:i w:val="0"/>
                      <w:iCs w:val="0"/>
                      <w:color w:val="auto"/>
                      <w:kern w:val="0"/>
                      <w:sz w:val="21"/>
                      <w:szCs w:val="21"/>
                      <w:u w:val="single" w:color="auto"/>
                      <w:lang w:val="en-US" w:eastAsia="zh-CN" w:bidi="ar"/>
                    </w:rPr>
                    <w:t xml:space="preserve"> X                </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0B14">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lang w:val="en-US" w:eastAsia="zh-CN"/>
                    </w:rPr>
                  </w:pPr>
                  <w:r>
                    <w:rPr>
                      <w:rFonts w:hint="eastAsia" w:ascii="宋体" w:hAnsi="宋体" w:eastAsia="宋体" w:cs="宋体"/>
                      <w:b/>
                      <w:bCs/>
                      <w:i w:val="0"/>
                      <w:iCs w:val="0"/>
                      <w:color w:val="auto"/>
                      <w:sz w:val="21"/>
                      <w:szCs w:val="21"/>
                      <w:u w:val="single" w:color="auto"/>
                      <w:lang w:val="en-US" w:eastAsia="zh-CN"/>
                    </w:rPr>
                    <w:t>Y</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6644">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lang w:val="en-US" w:eastAsia="zh-CN"/>
                    </w:rPr>
                  </w:pPr>
                  <w:r>
                    <w:rPr>
                      <w:rFonts w:hint="eastAsia" w:ascii="宋体" w:hAnsi="宋体" w:eastAsia="宋体" w:cs="宋体"/>
                      <w:b/>
                      <w:bCs/>
                      <w:i w:val="0"/>
                      <w:iCs w:val="0"/>
                      <w:color w:val="auto"/>
                      <w:sz w:val="21"/>
                      <w:szCs w:val="21"/>
                      <w:u w:val="single" w:color="auto"/>
                      <w:lang w:val="en-US" w:eastAsia="zh-CN"/>
                    </w:rPr>
                    <w:t>Z</w:t>
                  </w:r>
                </w:p>
              </w:tc>
              <w:tc>
                <w:tcPr>
                  <w:tcW w:w="4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79FC8">
                  <w:pPr>
                    <w:jc w:val="center"/>
                    <w:rPr>
                      <w:rFonts w:hint="eastAsia" w:ascii="宋体" w:hAnsi="宋体" w:eastAsia="宋体" w:cs="宋体"/>
                      <w:b/>
                      <w:bCs/>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1E3B2">
                  <w:pPr>
                    <w:jc w:val="center"/>
                    <w:rPr>
                      <w:rFonts w:hint="eastAsia" w:ascii="宋体" w:hAnsi="宋体" w:eastAsia="宋体" w:cs="宋体"/>
                      <w:b/>
                      <w:bCs/>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96F18">
                  <w:pPr>
                    <w:jc w:val="center"/>
                    <w:rPr>
                      <w:rFonts w:hint="eastAsia" w:ascii="宋体" w:hAnsi="宋体" w:eastAsia="宋体" w:cs="宋体"/>
                      <w:b/>
                      <w:bCs/>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B96BF">
                  <w:pPr>
                    <w:jc w:val="center"/>
                    <w:rPr>
                      <w:rFonts w:hint="eastAsia" w:ascii="宋体" w:hAnsi="宋体" w:eastAsia="宋体" w:cs="宋体"/>
                      <w:b/>
                      <w:bCs/>
                      <w:i w:val="0"/>
                      <w:iCs w:val="0"/>
                      <w:color w:val="auto"/>
                      <w:sz w:val="21"/>
                      <w:szCs w:val="21"/>
                      <w:u w:val="single" w:color="auto"/>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6D29">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声压级/dB(A)</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672F">
                  <w:pPr>
                    <w:keepNext w:val="0"/>
                    <w:keepLines w:val="0"/>
                    <w:widowControl/>
                    <w:suppressLineNumbers w:val="0"/>
                    <w:jc w:val="center"/>
                    <w:textAlignment w:val="center"/>
                    <w:rPr>
                      <w:rFonts w:hint="eastAsia" w:ascii="宋体" w:hAnsi="宋体" w:eastAsia="宋体" w:cs="宋体"/>
                      <w:b/>
                      <w:bCs/>
                      <w:i w:val="0"/>
                      <w:iCs w:val="0"/>
                      <w:color w:val="auto"/>
                      <w:sz w:val="21"/>
                      <w:szCs w:val="21"/>
                      <w:u w:val="single" w:color="auto"/>
                    </w:rPr>
                  </w:pPr>
                  <w:r>
                    <w:rPr>
                      <w:rFonts w:hint="eastAsia" w:ascii="宋体" w:hAnsi="宋体" w:eastAsia="宋体" w:cs="宋体"/>
                      <w:b/>
                      <w:bCs/>
                      <w:i w:val="0"/>
                      <w:iCs w:val="0"/>
                      <w:color w:val="auto"/>
                      <w:kern w:val="0"/>
                      <w:sz w:val="21"/>
                      <w:szCs w:val="21"/>
                      <w:u w:val="single" w:color="auto"/>
                      <w:lang w:val="en-US" w:eastAsia="zh-CN" w:bidi="ar"/>
                    </w:rPr>
                    <w:t>建筑物外距离</w:t>
                  </w:r>
                </w:p>
              </w:tc>
            </w:tr>
            <w:tr w14:paraId="7C1D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EA59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223" w:type="pct"/>
                  <w:vMerge w:val="restart"/>
                  <w:tcBorders>
                    <w:top w:val="single" w:color="000000" w:sz="4" w:space="0"/>
                    <w:left w:val="single" w:color="000000" w:sz="4" w:space="0"/>
                    <w:right w:val="single" w:color="000000" w:sz="4" w:space="0"/>
                  </w:tcBorders>
                  <w:shd w:val="clear" w:color="auto" w:fill="auto"/>
                  <w:vAlign w:val="center"/>
                </w:tcPr>
                <w:p w14:paraId="44BEE0B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eastAsia="zh-CN"/>
                    </w:rPr>
                  </w:pPr>
                  <w:r>
                    <w:rPr>
                      <w:rFonts w:hint="eastAsia" w:ascii="宋体" w:hAnsi="宋体" w:eastAsia="宋体" w:cs="宋体"/>
                      <w:i w:val="0"/>
                      <w:iCs w:val="0"/>
                      <w:color w:val="auto"/>
                      <w:sz w:val="21"/>
                      <w:szCs w:val="21"/>
                      <w:u w:val="single" w:color="auto"/>
                      <w:lang w:val="en-US" w:eastAsia="zh-CN"/>
                    </w:rPr>
                    <w:t>生产区</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6959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清理筛（旋振筛）</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40EB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EF60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3534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942A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E03B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rPr>
                  </w:pPr>
                  <w:r>
                    <w:rPr>
                      <w:rFonts w:hint="eastAsia" w:ascii="宋体" w:hAnsi="宋体" w:eastAsia="宋体" w:cs="宋体"/>
                      <w:i w:val="0"/>
                      <w:iCs w:val="0"/>
                      <w:color w:val="auto"/>
                      <w:kern w:val="0"/>
                      <w:sz w:val="21"/>
                      <w:szCs w:val="21"/>
                      <w:u w:val="single" w:color="auto"/>
                      <w:lang w:val="en-US" w:eastAsia="zh-CN" w:bidi="ar"/>
                    </w:rPr>
                    <w:t>76</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BA6C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rPr>
                  </w:pPr>
                  <w:r>
                    <w:rPr>
                      <w:rFonts w:hint="eastAsia" w:ascii="宋体" w:hAnsi="宋体" w:eastAsia="宋体" w:cs="宋体"/>
                      <w:i w:val="0"/>
                      <w:iCs w:val="0"/>
                      <w:color w:val="auto"/>
                      <w:kern w:val="0"/>
                      <w:sz w:val="21"/>
                      <w:szCs w:val="21"/>
                      <w:u w:val="single" w:color="auto"/>
                      <w:lang w:val="en-US" w:eastAsia="zh-CN" w:bidi="ar"/>
                    </w:rPr>
                    <w:t>20</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858C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rPr>
                  </w:pPr>
                  <w:r>
                    <w:rPr>
                      <w:rFonts w:hint="eastAsia" w:ascii="宋体" w:hAnsi="宋体" w:eastAsia="宋体" w:cs="宋体"/>
                      <w:i w:val="0"/>
                      <w:iCs w:val="0"/>
                      <w:color w:val="auto"/>
                      <w:kern w:val="0"/>
                      <w:sz w:val="21"/>
                      <w:szCs w:val="21"/>
                      <w:u w:val="single" w:color="auto"/>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7AB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46C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844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49.12</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E4A6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49B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EDA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34.12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C3C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7BEA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B51AE">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4C5862D6">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2964E">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645BC">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D4F6">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CADC0">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971D2">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4C99">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5ADC">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051A4">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FC6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A30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541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53.98</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92F0">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BBF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6BF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38.98</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4C4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43C8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874E2">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13845B53">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79B2">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7BE81">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74782">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E138">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576B6">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2581">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4196B">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4F6F7">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D0C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15B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76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833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42.38</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8338">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B4F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22A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27.38</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5C5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33B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0B585">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5F8BA766">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85AE4">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DB3D3">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5CE7E">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3FD5">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2282">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C693">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92B63">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66274">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E21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C49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154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44.29</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16AC2">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18E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66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29.29</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190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1A07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D17F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w:t>
                  </w:r>
                </w:p>
              </w:tc>
              <w:tc>
                <w:tcPr>
                  <w:tcW w:w="223" w:type="pct"/>
                  <w:vMerge w:val="continue"/>
                  <w:tcBorders>
                    <w:left w:val="single" w:color="000000" w:sz="4" w:space="0"/>
                    <w:right w:val="single" w:color="000000" w:sz="4" w:space="0"/>
                  </w:tcBorders>
                  <w:shd w:val="clear" w:color="auto" w:fill="auto"/>
                  <w:vAlign w:val="center"/>
                </w:tcPr>
                <w:p w14:paraId="4C8DE19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928F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生物质热风炉</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086E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CD1B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29C5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rPr>
                  </w:pPr>
                  <w:r>
                    <w:rPr>
                      <w:rFonts w:hint="eastAsia" w:ascii="宋体" w:hAnsi="宋体" w:eastAsia="宋体" w:cs="宋体"/>
                      <w:i w:val="0"/>
                      <w:iCs w:val="0"/>
                      <w:color w:val="auto"/>
                      <w:kern w:val="0"/>
                      <w:sz w:val="21"/>
                      <w:szCs w:val="21"/>
                      <w:u w:val="single" w:color="auto"/>
                      <w:lang w:val="en-US" w:eastAsia="zh-CN" w:bidi="ar"/>
                    </w:rPr>
                    <w:t>80</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0E6E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8643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90</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3888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FF17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E47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87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17E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54.42</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4088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DF0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0E1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39.42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248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2248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A739">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1FA330B1">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7E51E">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33CAD">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B62BD">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FB096">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E7B21">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9A80">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CED2F">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6BD0C">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0ED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1C4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7F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56.48</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5D155">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91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35D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41.48</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99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757E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88FBC">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107DD79A">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E86F5">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B9829">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CA927">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DD15">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1328F">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0625">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4737C">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A1D46">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F40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D1B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74D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40.92</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A7417">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8E4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69F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25.92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A71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F99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739B">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34047ABC">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EC28D">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D5AD">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1971C">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74C7E">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ADD9">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14930">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1302">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BA780">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8C4B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8B7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816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43.88</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BD217">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26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7F5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28.88</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B6F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7635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4560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w:t>
                  </w:r>
                </w:p>
              </w:tc>
              <w:tc>
                <w:tcPr>
                  <w:tcW w:w="223" w:type="pct"/>
                  <w:vMerge w:val="continue"/>
                  <w:tcBorders>
                    <w:left w:val="single" w:color="000000" w:sz="4" w:space="0"/>
                    <w:right w:val="single" w:color="000000" w:sz="4" w:space="0"/>
                  </w:tcBorders>
                  <w:shd w:val="clear" w:color="auto" w:fill="auto"/>
                  <w:vAlign w:val="center"/>
                </w:tcPr>
                <w:p w14:paraId="0357B23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FD5A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布袋除尘器</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FBA3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E070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B604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3B1B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561E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92</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D3C0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EFB5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B4A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EAA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1D6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53.15</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5C65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A06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E0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38.15</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C73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66F0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4C568">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36C92B60">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6469C">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5110F">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CF23C">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6329D">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7A16C">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008D1">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6410">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26E6">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6A3E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923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033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66.02</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C4519">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F47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29E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51.02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5A2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F57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244EB">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748E960D">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73EF">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0FBA0">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DFF9">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E1D6D">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806A2">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8D201">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691CE">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3AC1B">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1D6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EE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92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256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40.72</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CB3B7">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969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78F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25.72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448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2B5E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E3A52">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52FE45B2">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C642C">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6021D">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53E5">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9C247">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20FA0">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56741">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E89F3">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C793">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81F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AAC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78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A6B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42.16</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608B">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37D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941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27.16</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54F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396E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D986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w:t>
                  </w:r>
                </w:p>
              </w:tc>
              <w:tc>
                <w:tcPr>
                  <w:tcW w:w="223" w:type="pct"/>
                  <w:vMerge w:val="continue"/>
                  <w:tcBorders>
                    <w:left w:val="single" w:color="000000" w:sz="4" w:space="0"/>
                    <w:right w:val="single" w:color="000000" w:sz="4" w:space="0"/>
                  </w:tcBorders>
                  <w:shd w:val="clear" w:color="auto" w:fill="auto"/>
                  <w:vAlign w:val="center"/>
                </w:tcPr>
                <w:p w14:paraId="046BCDD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D26C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提升机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3368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ECF6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A81C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ACCF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5462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74</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8B0F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13</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7BF0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40A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19A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F66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47.96</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13D3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AD3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899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32.96</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E12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894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8314">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661FBCBE">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9D5B">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C603A">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4D51">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60E4">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D00B8">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C0D5B">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B51C">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3327E">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154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49B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510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57.72</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7EC47">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88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8D5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42.72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C43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1649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45CA1">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166048E7">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DDAC">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F6222">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7063A">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3A1F">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5D76">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34589">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341FB">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9BC03">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2BE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CF6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74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C02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42.62</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89FDB">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BBA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BDA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27.62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87C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1D4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8D732">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0BF1C2CD">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4FF25">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C5972">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BF21C">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8B3E">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723B">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A200C">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C9996">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0BC1C">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AAA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B5B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89D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43.61</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8B5C7">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B62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339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28.61</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F91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4946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8226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w:t>
                  </w:r>
                </w:p>
              </w:tc>
              <w:tc>
                <w:tcPr>
                  <w:tcW w:w="223" w:type="pct"/>
                  <w:vMerge w:val="continue"/>
                  <w:tcBorders>
                    <w:left w:val="single" w:color="000000" w:sz="4" w:space="0"/>
                    <w:right w:val="single" w:color="000000" w:sz="4" w:space="0"/>
                  </w:tcBorders>
                  <w:shd w:val="clear" w:color="auto" w:fill="auto"/>
                  <w:vAlign w:val="center"/>
                </w:tcPr>
                <w:p w14:paraId="1FAF76D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F1D80">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刮板输送机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3331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297C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7823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6682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FA9C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49C3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10</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535F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7BB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7BD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A0A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49.12</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46F0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2C8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4EF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34.12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7B9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41A0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3E4D0">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0E09395A">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9EBC6">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70F56">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252B9">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A7E3">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D6232">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BA96">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FBCF">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FE6E">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EE1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741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124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60</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95CE3">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215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A0F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45</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192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60C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6223">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right w:val="single" w:color="000000" w:sz="4" w:space="0"/>
                  </w:tcBorders>
                  <w:shd w:val="clear" w:color="auto" w:fill="auto"/>
                  <w:vAlign w:val="center"/>
                </w:tcPr>
                <w:p w14:paraId="6C849241">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0E8C">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9C85C">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07B82">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CB3A1">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7D095">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D4D42">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0B86">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BCE7B">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7A5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E7F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E72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41.94</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448D0">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ED2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03D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26.94</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4EC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54E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C0B8FD2">
                  <w:pPr>
                    <w:jc w:val="center"/>
                    <w:rPr>
                      <w:rFonts w:hint="eastAsia" w:ascii="宋体" w:hAnsi="宋体" w:eastAsia="宋体" w:cs="宋体"/>
                      <w:i w:val="0"/>
                      <w:iCs w:val="0"/>
                      <w:color w:val="auto"/>
                      <w:sz w:val="21"/>
                      <w:szCs w:val="21"/>
                      <w:u w:val="single" w:color="auto"/>
                    </w:rPr>
                  </w:pPr>
                </w:p>
              </w:tc>
              <w:tc>
                <w:tcPr>
                  <w:tcW w:w="223" w:type="pct"/>
                  <w:vMerge w:val="continue"/>
                  <w:tcBorders>
                    <w:left w:val="single" w:color="000000" w:sz="4" w:space="0"/>
                    <w:bottom w:val="single" w:color="auto" w:sz="4" w:space="0"/>
                    <w:right w:val="single" w:color="000000" w:sz="4" w:space="0"/>
                  </w:tcBorders>
                  <w:shd w:val="clear" w:color="auto" w:fill="auto"/>
                  <w:vAlign w:val="center"/>
                </w:tcPr>
                <w:p w14:paraId="26423CA5">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37F0542">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8093B6B">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8E5D389">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804E">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0A2D8">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D9BFE">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00757">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1EF6D">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ECD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C11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79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43.1</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76C1F">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557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638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28.1</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E5F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2FE1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8B3AE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w:t>
                  </w:r>
                </w:p>
              </w:tc>
              <w:tc>
                <w:tcPr>
                  <w:tcW w:w="2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C084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p>
              </w:tc>
              <w:tc>
                <w:tcPr>
                  <w:tcW w:w="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CE3B4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皮带输送机</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24699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w:t>
                  </w:r>
                </w:p>
              </w:tc>
              <w:tc>
                <w:tcPr>
                  <w:tcW w:w="2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6A5F7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w:t>
                  </w:r>
                </w:p>
              </w:tc>
              <w:tc>
                <w:tcPr>
                  <w:tcW w:w="421"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39024911">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lang w:val="en-US"/>
                    </w:rPr>
                  </w:pPr>
                  <w:r>
                    <w:rPr>
                      <w:rFonts w:hint="eastAsia" w:ascii="宋体" w:hAnsi="宋体" w:eastAsia="宋体" w:cs="宋体"/>
                      <w:i w:val="0"/>
                      <w:iCs w:val="0"/>
                      <w:color w:val="auto"/>
                      <w:kern w:val="0"/>
                      <w:sz w:val="21"/>
                      <w:szCs w:val="21"/>
                      <w:u w:val="single" w:color="auto"/>
                      <w:lang w:val="en-US" w:eastAsia="zh-CN" w:bidi="ar"/>
                    </w:rPr>
                    <w:t>75</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CE73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基础减震厂房隔声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E15C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100</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2313D">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16</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12EAF">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0F4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东</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3D7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24D7">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55</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CD7C5">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昼间</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4F1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D07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40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FE9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01A9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CE343">
                  <w:pPr>
                    <w:jc w:val="center"/>
                    <w:rPr>
                      <w:rFonts w:hint="eastAsia" w:ascii="宋体" w:hAnsi="宋体" w:eastAsia="宋体" w:cs="宋体"/>
                      <w:i w:val="0"/>
                      <w:iCs w:val="0"/>
                      <w:color w:val="auto"/>
                      <w:sz w:val="21"/>
                      <w:szCs w:val="21"/>
                      <w:u w:val="single" w:color="auto"/>
                    </w:rPr>
                  </w:pPr>
                </w:p>
              </w:tc>
              <w:tc>
                <w:tcPr>
                  <w:tcW w:w="2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08A4">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76D32">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59B657">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63BBB5">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C0A857A">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6FC2">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F48E">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251EB">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DF93">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09AF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47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900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50.92</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B89E2">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C2A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52F3">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35.92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7D0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596E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EBFB1">
                  <w:pPr>
                    <w:jc w:val="center"/>
                    <w:rPr>
                      <w:rFonts w:hint="eastAsia" w:ascii="宋体" w:hAnsi="宋体" w:eastAsia="宋体" w:cs="宋体"/>
                      <w:i w:val="0"/>
                      <w:iCs w:val="0"/>
                      <w:color w:val="auto"/>
                      <w:sz w:val="21"/>
                      <w:szCs w:val="21"/>
                      <w:u w:val="single" w:color="auto"/>
                    </w:rPr>
                  </w:pPr>
                </w:p>
              </w:tc>
              <w:tc>
                <w:tcPr>
                  <w:tcW w:w="2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53AC5">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44B36">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4592E">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B3B79">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C6DF5DD">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22905">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99DB7">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259F">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4BAE">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AB82">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5F88">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A526">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35</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B4AA3">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A59">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68AE">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FF2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7EB3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AD82F">
                  <w:pPr>
                    <w:jc w:val="center"/>
                    <w:rPr>
                      <w:rFonts w:hint="eastAsia" w:ascii="宋体" w:hAnsi="宋体" w:eastAsia="宋体" w:cs="宋体"/>
                      <w:i w:val="0"/>
                      <w:iCs w:val="0"/>
                      <w:color w:val="auto"/>
                      <w:sz w:val="21"/>
                      <w:szCs w:val="21"/>
                      <w:u w:val="single" w:color="auto"/>
                    </w:rPr>
                  </w:pPr>
                </w:p>
              </w:tc>
              <w:tc>
                <w:tcPr>
                  <w:tcW w:w="2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9DCC4">
                  <w:pPr>
                    <w:jc w:val="center"/>
                    <w:rPr>
                      <w:rFonts w:hint="eastAsia" w:ascii="宋体" w:hAnsi="宋体" w:eastAsia="宋体" w:cs="宋体"/>
                      <w:i w:val="0"/>
                      <w:iCs w:val="0"/>
                      <w:color w:val="auto"/>
                      <w:sz w:val="21"/>
                      <w:szCs w:val="21"/>
                      <w:u w:val="single" w:color="auto"/>
                    </w:rPr>
                  </w:pPr>
                </w:p>
              </w:tc>
              <w:tc>
                <w:tcPr>
                  <w:tcW w:w="3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FD2D1">
                  <w:pPr>
                    <w:jc w:val="center"/>
                    <w:rPr>
                      <w:rFonts w:hint="eastAsia" w:ascii="宋体" w:hAnsi="宋体" w:eastAsia="宋体" w:cs="宋体"/>
                      <w:i w:val="0"/>
                      <w:iCs w:val="0"/>
                      <w:color w:val="auto"/>
                      <w:sz w:val="21"/>
                      <w:szCs w:val="21"/>
                      <w:u w:val="single" w:color="auto"/>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B7EBE">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D7394">
                  <w:pPr>
                    <w:jc w:val="center"/>
                    <w:rPr>
                      <w:rFonts w:hint="eastAsia" w:ascii="宋体" w:hAnsi="宋体" w:eastAsia="宋体" w:cs="宋体"/>
                      <w:i w:val="0"/>
                      <w:iCs w:val="0"/>
                      <w:color w:val="auto"/>
                      <w:sz w:val="21"/>
                      <w:szCs w:val="21"/>
                      <w:u w:val="single" w:color="auto"/>
                    </w:rPr>
                  </w:pPr>
                </w:p>
              </w:tc>
              <w:tc>
                <w:tcPr>
                  <w:tcW w:w="42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04C2E48">
                  <w:pPr>
                    <w:jc w:val="center"/>
                    <w:rPr>
                      <w:rFonts w:hint="eastAsia" w:ascii="宋体" w:hAnsi="宋体" w:eastAsia="宋体" w:cs="宋体"/>
                      <w:i w:val="0"/>
                      <w:iCs w:val="0"/>
                      <w:color w:val="auto"/>
                      <w:sz w:val="21"/>
                      <w:szCs w:val="21"/>
                      <w:u w:val="single" w:color="auto"/>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463C">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6DA19">
                  <w:pPr>
                    <w:jc w:val="center"/>
                    <w:rPr>
                      <w:rFonts w:hint="eastAsia" w:ascii="宋体" w:hAnsi="宋体" w:eastAsia="宋体" w:cs="宋体"/>
                      <w:i w:val="0"/>
                      <w:iCs w:val="0"/>
                      <w:color w:val="auto"/>
                      <w:sz w:val="21"/>
                      <w:szCs w:val="21"/>
                      <w:u w:val="single" w:color="auto"/>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82B89">
                  <w:pPr>
                    <w:jc w:val="center"/>
                    <w:rPr>
                      <w:rFonts w:hint="eastAsia" w:ascii="宋体" w:hAnsi="宋体" w:eastAsia="宋体" w:cs="宋体"/>
                      <w:i w:val="0"/>
                      <w:iCs w:val="0"/>
                      <w:color w:val="auto"/>
                      <w:sz w:val="21"/>
                      <w:szCs w:val="21"/>
                      <w:u w:val="single" w:color="auto"/>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AE265">
                  <w:pPr>
                    <w:jc w:val="center"/>
                    <w:rPr>
                      <w:rFonts w:hint="eastAsia" w:ascii="宋体" w:hAnsi="宋体" w:eastAsia="宋体" w:cs="宋体"/>
                      <w:i w:val="0"/>
                      <w:iCs w:val="0"/>
                      <w:color w:val="auto"/>
                      <w:sz w:val="21"/>
                      <w:szCs w:val="21"/>
                      <w:u w:val="single" w:color="auto"/>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02E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北</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2EBB">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65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413C">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38.74</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7BCE">
                  <w:pPr>
                    <w:jc w:val="center"/>
                    <w:rPr>
                      <w:rFonts w:hint="eastAsia" w:ascii="宋体" w:hAnsi="宋体" w:eastAsia="宋体" w:cs="宋体"/>
                      <w:i w:val="0"/>
                      <w:iCs w:val="0"/>
                      <w:color w:val="auto"/>
                      <w:sz w:val="21"/>
                      <w:szCs w:val="21"/>
                      <w:u w:val="single" w:color="auto"/>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BC4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DC04">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23.74</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E86A">
                  <w:pPr>
                    <w:keepNext w:val="0"/>
                    <w:keepLines w:val="0"/>
                    <w:widowControl/>
                    <w:suppressLineNumbers w:val="0"/>
                    <w:jc w:val="center"/>
                    <w:textAlignment w:val="center"/>
                    <w:rPr>
                      <w:rFonts w:hint="eastAsia" w:ascii="宋体" w:hAnsi="宋体" w:eastAsia="宋体" w:cs="宋体"/>
                      <w:i w:val="0"/>
                      <w:iCs w:val="0"/>
                      <w:color w:val="auto"/>
                      <w:sz w:val="21"/>
                      <w:szCs w:val="21"/>
                      <w:u w:val="single" w:color="auto"/>
                    </w:rPr>
                  </w:pPr>
                  <w:r>
                    <w:rPr>
                      <w:rFonts w:hint="eastAsia" w:ascii="宋体" w:hAnsi="宋体" w:eastAsia="宋体" w:cs="宋体"/>
                      <w:i w:val="0"/>
                      <w:iCs w:val="0"/>
                      <w:color w:val="auto"/>
                      <w:kern w:val="0"/>
                      <w:sz w:val="21"/>
                      <w:szCs w:val="21"/>
                      <w:u w:val="single" w:color="auto"/>
                      <w:lang w:val="en-US" w:eastAsia="zh-CN" w:bidi="ar"/>
                    </w:rPr>
                    <w:t>1</w:t>
                  </w:r>
                </w:p>
              </w:tc>
            </w:tr>
            <w:tr w14:paraId="2FA4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00" w:type="pct"/>
                  <w:gridSpan w:val="17"/>
                  <w:tcBorders>
                    <w:top w:val="single" w:color="auto" w:sz="4" w:space="0"/>
                    <w:left w:val="single" w:color="auto" w:sz="4" w:space="0"/>
                    <w:bottom w:val="single" w:color="auto" w:sz="4" w:space="0"/>
                    <w:right w:val="single" w:color="000000" w:sz="4" w:space="0"/>
                  </w:tcBorders>
                  <w:shd w:val="clear" w:color="auto" w:fill="auto"/>
                  <w:vAlign w:val="center"/>
                </w:tcPr>
                <w:p w14:paraId="79B033C0">
                  <w:pPr>
                    <w:keepNext w:val="0"/>
                    <w:keepLines w:val="0"/>
                    <w:widowControl/>
                    <w:suppressLineNumbers w:val="0"/>
                    <w:jc w:val="left"/>
                    <w:textAlignment w:val="center"/>
                    <w:rPr>
                      <w:rFonts w:hint="eastAsia" w:ascii="宋体" w:hAnsi="宋体" w:eastAsia="宋体" w:cs="宋体"/>
                      <w:i w:val="0"/>
                      <w:iCs w:val="0"/>
                      <w:color w:val="FF0000"/>
                      <w:kern w:val="0"/>
                      <w:sz w:val="21"/>
                      <w:szCs w:val="21"/>
                      <w:u w:val="single" w:color="auto"/>
                      <w:lang w:val="en-US" w:eastAsia="zh-CN" w:bidi="ar"/>
                    </w:rPr>
                  </w:pPr>
                  <w:r>
                    <w:rPr>
                      <w:rFonts w:hint="eastAsia" w:ascii="宋体" w:hAnsi="宋体" w:eastAsia="宋体" w:cs="宋体"/>
                      <w:color w:val="auto"/>
                      <w:sz w:val="21"/>
                      <w:szCs w:val="21"/>
                      <w:u w:val="single" w:color="auto"/>
                      <w:lang w:eastAsia="zh-CN"/>
                    </w:rPr>
                    <w:t>注：表中</w:t>
                  </w:r>
                  <w:r>
                    <w:rPr>
                      <w:rFonts w:hint="eastAsia" w:ascii="宋体" w:hAnsi="宋体" w:cs="宋体"/>
                      <w:color w:val="auto"/>
                      <w:sz w:val="21"/>
                      <w:szCs w:val="21"/>
                      <w:u w:val="single" w:color="auto"/>
                      <w:lang w:val="en-US" w:eastAsia="zh-CN"/>
                    </w:rPr>
                    <w:t>坐标</w:t>
                  </w:r>
                  <w:r>
                    <w:rPr>
                      <w:rFonts w:hint="eastAsia" w:ascii="宋体" w:hAnsi="宋体" w:eastAsia="宋体" w:cs="宋体"/>
                      <w:color w:val="auto"/>
                      <w:sz w:val="21"/>
                      <w:szCs w:val="21"/>
                      <w:u w:val="single" w:color="auto"/>
                      <w:lang w:eastAsia="zh-CN"/>
                    </w:rPr>
                    <w:t>（111°</w:t>
                  </w:r>
                  <w:r>
                    <w:rPr>
                      <w:rFonts w:hint="eastAsia" w:ascii="宋体" w:hAnsi="宋体" w:cs="宋体"/>
                      <w:color w:val="auto"/>
                      <w:sz w:val="21"/>
                      <w:szCs w:val="21"/>
                      <w:u w:val="single" w:color="auto"/>
                      <w:lang w:val="en-US" w:eastAsia="zh-CN"/>
                    </w:rPr>
                    <w:t>38</w:t>
                  </w:r>
                  <w:r>
                    <w:rPr>
                      <w:rFonts w:hint="eastAsia" w:ascii="宋体" w:hAnsi="宋体" w:eastAsia="宋体" w:cs="宋体"/>
                      <w:color w:val="auto"/>
                      <w:sz w:val="21"/>
                      <w:szCs w:val="21"/>
                      <w:u w:val="single" w:color="auto"/>
                      <w:lang w:eastAsia="zh-CN"/>
                    </w:rPr>
                    <w:t>′</w:t>
                  </w:r>
                  <w:r>
                    <w:rPr>
                      <w:rFonts w:hint="eastAsia" w:ascii="宋体" w:hAnsi="宋体" w:cs="宋体"/>
                      <w:color w:val="auto"/>
                      <w:sz w:val="21"/>
                      <w:szCs w:val="21"/>
                      <w:u w:val="single" w:color="auto"/>
                      <w:lang w:val="en-US" w:eastAsia="zh-CN"/>
                    </w:rPr>
                    <w:t>57.41259</w:t>
                  </w:r>
                  <w:r>
                    <w:rPr>
                      <w:rFonts w:hint="eastAsia" w:ascii="宋体" w:hAnsi="宋体" w:eastAsia="宋体" w:cs="宋体"/>
                      <w:color w:val="auto"/>
                      <w:sz w:val="21"/>
                      <w:szCs w:val="21"/>
                      <w:u w:val="single" w:color="auto"/>
                      <w:lang w:eastAsia="zh-CN"/>
                    </w:rPr>
                    <w:t>″,29°</w:t>
                  </w:r>
                  <w:r>
                    <w:rPr>
                      <w:rFonts w:hint="eastAsia" w:ascii="宋体" w:hAnsi="宋体" w:eastAsia="宋体" w:cs="宋体"/>
                      <w:color w:val="auto"/>
                      <w:sz w:val="21"/>
                      <w:szCs w:val="21"/>
                      <w:u w:val="single" w:color="auto"/>
                      <w:lang w:val="en-US" w:eastAsia="zh-CN"/>
                    </w:rPr>
                    <w:t>41</w:t>
                  </w:r>
                  <w:r>
                    <w:rPr>
                      <w:rFonts w:hint="eastAsia" w:ascii="宋体" w:hAnsi="宋体" w:eastAsia="宋体" w:cs="宋体"/>
                      <w:color w:val="auto"/>
                      <w:sz w:val="21"/>
                      <w:szCs w:val="21"/>
                      <w:u w:val="single" w:color="auto"/>
                      <w:lang w:eastAsia="zh-CN"/>
                    </w:rPr>
                    <w:t>′</w:t>
                  </w:r>
                  <w:r>
                    <w:rPr>
                      <w:rFonts w:hint="eastAsia" w:ascii="宋体" w:hAnsi="宋体" w:cs="宋体"/>
                      <w:color w:val="auto"/>
                      <w:sz w:val="21"/>
                      <w:szCs w:val="21"/>
                      <w:u w:val="single" w:color="auto"/>
                      <w:lang w:val="en-US" w:eastAsia="zh-CN"/>
                    </w:rPr>
                    <w:t>43.62688</w:t>
                  </w:r>
                  <w:r>
                    <w:rPr>
                      <w:rFonts w:hint="eastAsia" w:ascii="宋体" w:hAnsi="宋体" w:eastAsia="宋体" w:cs="宋体"/>
                      <w:color w:val="auto"/>
                      <w:sz w:val="21"/>
                      <w:szCs w:val="21"/>
                      <w:u w:val="single" w:color="auto"/>
                      <w:lang w:eastAsia="zh-CN"/>
                    </w:rPr>
                    <w:t>″）为坐标原点，正东向为X轴正方向，正北向为Y轴正方向。</w:t>
                  </w:r>
                </w:p>
              </w:tc>
            </w:tr>
          </w:tbl>
          <w:p w14:paraId="6370FE2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2" w:firstLineChars="200"/>
              <w:jc w:val="center"/>
              <w:rPr>
                <w:rFonts w:hint="eastAsia" w:ascii="宋体" w:hAnsi="宋体" w:eastAsia="宋体" w:cs="宋体"/>
                <w:color w:val="auto"/>
                <w:spacing w:val="0"/>
                <w:sz w:val="21"/>
                <w:szCs w:val="21"/>
                <w:u w:val="single" w:color="auto"/>
              </w:rPr>
            </w:pPr>
            <w:r>
              <w:rPr>
                <w:rFonts w:hint="eastAsia" w:ascii="宋体" w:hAnsi="宋体" w:eastAsia="宋体" w:cs="宋体"/>
                <w:b/>
                <w:bCs/>
                <w:color w:val="auto"/>
                <w:spacing w:val="0"/>
                <w:sz w:val="21"/>
                <w:szCs w:val="21"/>
                <w:u w:val="single" w:color="auto"/>
              </w:rPr>
              <w:t>表</w:t>
            </w:r>
            <w:r>
              <w:rPr>
                <w:rFonts w:hint="eastAsia" w:ascii="宋体" w:hAnsi="宋体" w:eastAsia="宋体" w:cs="宋体"/>
                <w:b/>
                <w:bCs/>
                <w:color w:val="auto"/>
                <w:spacing w:val="0"/>
                <w:sz w:val="21"/>
                <w:szCs w:val="21"/>
                <w:u w:val="single" w:color="auto"/>
                <w:lang w:val="en-US" w:eastAsia="zh-CN"/>
              </w:rPr>
              <w:t>4-</w:t>
            </w:r>
            <w:r>
              <w:rPr>
                <w:rFonts w:hint="eastAsia" w:ascii="宋体" w:hAnsi="宋体" w:cs="宋体"/>
                <w:b/>
                <w:bCs/>
                <w:color w:val="auto"/>
                <w:spacing w:val="0"/>
                <w:sz w:val="21"/>
                <w:szCs w:val="21"/>
                <w:u w:val="single" w:color="auto"/>
                <w:lang w:val="en-US" w:eastAsia="zh-CN"/>
              </w:rPr>
              <w:t>8</w:t>
            </w:r>
            <w:r>
              <w:rPr>
                <w:rFonts w:hint="eastAsia" w:ascii="宋体" w:hAnsi="宋体" w:eastAsia="宋体" w:cs="宋体"/>
                <w:b/>
                <w:bCs/>
                <w:color w:val="auto"/>
                <w:spacing w:val="0"/>
                <w:sz w:val="21"/>
                <w:szCs w:val="21"/>
                <w:u w:val="single" w:color="auto"/>
                <w:lang w:val="en-US" w:eastAsia="zh-CN"/>
              </w:rPr>
              <w:t xml:space="preserve">  </w:t>
            </w:r>
            <w:r>
              <w:rPr>
                <w:rFonts w:hint="eastAsia" w:ascii="宋体" w:hAnsi="宋体" w:eastAsia="宋体" w:cs="宋体"/>
                <w:b/>
                <w:bCs/>
                <w:color w:val="auto"/>
                <w:spacing w:val="0"/>
                <w:sz w:val="21"/>
                <w:szCs w:val="21"/>
                <w:u w:val="single" w:color="auto"/>
              </w:rPr>
              <w:t>噪声</w:t>
            </w:r>
            <w:r>
              <w:rPr>
                <w:rFonts w:hint="eastAsia" w:ascii="宋体" w:hAnsi="宋体" w:eastAsia="宋体" w:cs="宋体"/>
                <w:b/>
                <w:bCs/>
                <w:color w:val="auto"/>
                <w:spacing w:val="0"/>
                <w:sz w:val="21"/>
                <w:szCs w:val="21"/>
                <w:u w:val="single" w:color="auto"/>
                <w:lang w:val="en-US" w:eastAsia="zh-CN"/>
              </w:rPr>
              <w:t>预测</w:t>
            </w:r>
            <w:r>
              <w:rPr>
                <w:rFonts w:hint="eastAsia" w:ascii="宋体" w:hAnsi="宋体" w:eastAsia="宋体" w:cs="宋体"/>
                <w:b/>
                <w:bCs/>
                <w:color w:val="auto"/>
                <w:spacing w:val="0"/>
                <w:sz w:val="21"/>
                <w:szCs w:val="21"/>
                <w:u w:val="single" w:color="auto"/>
              </w:rPr>
              <w:t>情况一览表</w:t>
            </w:r>
          </w:p>
          <w:tbl>
            <w:tblPr>
              <w:tblStyle w:val="2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812"/>
              <w:gridCol w:w="702"/>
              <w:gridCol w:w="590"/>
              <w:gridCol w:w="592"/>
              <w:gridCol w:w="597"/>
              <w:gridCol w:w="741"/>
              <w:gridCol w:w="573"/>
              <w:gridCol w:w="702"/>
              <w:gridCol w:w="490"/>
              <w:gridCol w:w="505"/>
              <w:gridCol w:w="488"/>
              <w:gridCol w:w="555"/>
              <w:gridCol w:w="610"/>
            </w:tblGrid>
            <w:tr w14:paraId="12EE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Merge w:val="restart"/>
                  <w:vAlign w:val="center"/>
                </w:tcPr>
                <w:p w14:paraId="1C249431">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序号</w:t>
                  </w:r>
                </w:p>
              </w:tc>
              <w:tc>
                <w:tcPr>
                  <w:tcW w:w="481" w:type="pct"/>
                  <w:vMerge w:val="restart"/>
                  <w:vAlign w:val="center"/>
                </w:tcPr>
                <w:p w14:paraId="23A6D63D">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预测目标</w:t>
                  </w:r>
                </w:p>
              </w:tc>
              <w:tc>
                <w:tcPr>
                  <w:tcW w:w="766" w:type="pct"/>
                  <w:gridSpan w:val="2"/>
                  <w:vAlign w:val="center"/>
                </w:tcPr>
                <w:p w14:paraId="163F8519">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噪声背景值</w:t>
                  </w:r>
                </w:p>
              </w:tc>
              <w:tc>
                <w:tcPr>
                  <w:tcW w:w="705" w:type="pct"/>
                  <w:gridSpan w:val="2"/>
                  <w:vAlign w:val="center"/>
                </w:tcPr>
                <w:p w14:paraId="22A28758">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噪声现状值</w:t>
                  </w:r>
                </w:p>
              </w:tc>
              <w:tc>
                <w:tcPr>
                  <w:tcW w:w="756" w:type="pct"/>
                  <w:gridSpan w:val="2"/>
                  <w:vAlign w:val="center"/>
                </w:tcPr>
                <w:p w14:paraId="50106D31">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噪声贡献值</w:t>
                  </w:r>
                </w:p>
              </w:tc>
              <w:tc>
                <w:tcPr>
                  <w:tcW w:w="707" w:type="pct"/>
                  <w:gridSpan w:val="2"/>
                  <w:vAlign w:val="center"/>
                </w:tcPr>
                <w:p w14:paraId="51048183">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噪声预测值</w:t>
                  </w:r>
                </w:p>
              </w:tc>
              <w:tc>
                <w:tcPr>
                  <w:tcW w:w="590" w:type="pct"/>
                  <w:gridSpan w:val="2"/>
                  <w:vAlign w:val="center"/>
                </w:tcPr>
                <w:p w14:paraId="5FF33EDD">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较现状增量</w:t>
                  </w:r>
                </w:p>
              </w:tc>
              <w:tc>
                <w:tcPr>
                  <w:tcW w:w="687" w:type="pct"/>
                  <w:gridSpan w:val="2"/>
                  <w:vAlign w:val="center"/>
                </w:tcPr>
                <w:p w14:paraId="4FF58A1B">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超标和达标情况</w:t>
                  </w:r>
                </w:p>
              </w:tc>
            </w:tr>
            <w:tr w14:paraId="6262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Merge w:val="continue"/>
                  <w:vAlign w:val="center"/>
                </w:tcPr>
                <w:p w14:paraId="4F258852">
                  <w:pPr>
                    <w:bidi w:val="0"/>
                    <w:jc w:val="center"/>
                    <w:rPr>
                      <w:rFonts w:hint="eastAsia" w:ascii="宋体" w:hAnsi="宋体" w:eastAsia="宋体" w:cs="宋体"/>
                      <w:b/>
                      <w:bCs/>
                      <w:color w:val="auto"/>
                      <w:sz w:val="21"/>
                      <w:szCs w:val="21"/>
                      <w:u w:val="single" w:color="auto"/>
                      <w:lang w:eastAsia="zh-CN"/>
                    </w:rPr>
                  </w:pPr>
                </w:p>
              </w:tc>
              <w:tc>
                <w:tcPr>
                  <w:tcW w:w="481" w:type="pct"/>
                  <w:vMerge w:val="continue"/>
                  <w:vAlign w:val="center"/>
                </w:tcPr>
                <w:p w14:paraId="60209E84">
                  <w:pPr>
                    <w:bidi w:val="0"/>
                    <w:jc w:val="center"/>
                    <w:rPr>
                      <w:rFonts w:hint="eastAsia" w:ascii="宋体" w:hAnsi="宋体" w:eastAsia="宋体" w:cs="宋体"/>
                      <w:b/>
                      <w:bCs/>
                      <w:color w:val="auto"/>
                      <w:sz w:val="21"/>
                      <w:szCs w:val="21"/>
                      <w:u w:val="single" w:color="auto"/>
                      <w:lang w:eastAsia="zh-CN"/>
                    </w:rPr>
                  </w:pPr>
                </w:p>
              </w:tc>
              <w:tc>
                <w:tcPr>
                  <w:tcW w:w="416" w:type="pct"/>
                  <w:vAlign w:val="center"/>
                </w:tcPr>
                <w:p w14:paraId="2F722B6E">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350" w:type="pct"/>
                  <w:vAlign w:val="center"/>
                </w:tcPr>
                <w:p w14:paraId="569FAF9D">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c>
                <w:tcPr>
                  <w:tcW w:w="351" w:type="pct"/>
                  <w:vAlign w:val="center"/>
                </w:tcPr>
                <w:p w14:paraId="57F56152">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353" w:type="pct"/>
                  <w:vAlign w:val="center"/>
                </w:tcPr>
                <w:p w14:paraId="70A3E9D4">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c>
                <w:tcPr>
                  <w:tcW w:w="416" w:type="pct"/>
                  <w:vAlign w:val="center"/>
                </w:tcPr>
                <w:p w14:paraId="1C468A1A">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339" w:type="pct"/>
                  <w:vAlign w:val="center"/>
                </w:tcPr>
                <w:p w14:paraId="5AEBCF6E">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c>
                <w:tcPr>
                  <w:tcW w:w="416" w:type="pct"/>
                  <w:vAlign w:val="center"/>
                </w:tcPr>
                <w:p w14:paraId="2DB42492">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290" w:type="pct"/>
                  <w:vAlign w:val="center"/>
                </w:tcPr>
                <w:p w14:paraId="56F51CD2">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c>
                <w:tcPr>
                  <w:tcW w:w="300" w:type="pct"/>
                  <w:vAlign w:val="center"/>
                </w:tcPr>
                <w:p w14:paraId="488E5595">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290" w:type="pct"/>
                  <w:vAlign w:val="center"/>
                </w:tcPr>
                <w:p w14:paraId="404446DF">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c>
                <w:tcPr>
                  <w:tcW w:w="329" w:type="pct"/>
                  <w:vAlign w:val="center"/>
                </w:tcPr>
                <w:p w14:paraId="0FDF4263">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昼间</w:t>
                  </w:r>
                </w:p>
              </w:tc>
              <w:tc>
                <w:tcPr>
                  <w:tcW w:w="357" w:type="pct"/>
                  <w:vAlign w:val="center"/>
                </w:tcPr>
                <w:p w14:paraId="2E5F1A82">
                  <w:pPr>
                    <w:bidi w:val="0"/>
                    <w:jc w:val="center"/>
                    <w:rPr>
                      <w:rFonts w:hint="eastAsia" w:ascii="宋体" w:hAnsi="宋体" w:eastAsia="宋体" w:cs="宋体"/>
                      <w:b/>
                      <w:bCs/>
                      <w:color w:val="auto"/>
                      <w:sz w:val="21"/>
                      <w:szCs w:val="21"/>
                      <w:u w:val="single" w:color="auto"/>
                      <w:lang w:eastAsia="zh-CN"/>
                    </w:rPr>
                  </w:pPr>
                  <w:r>
                    <w:rPr>
                      <w:rFonts w:hint="eastAsia" w:ascii="宋体" w:hAnsi="宋体" w:eastAsia="宋体" w:cs="宋体"/>
                      <w:b/>
                      <w:bCs/>
                      <w:color w:val="auto"/>
                      <w:sz w:val="21"/>
                      <w:szCs w:val="21"/>
                      <w:u w:val="single" w:color="auto"/>
                      <w:lang w:eastAsia="zh-CN"/>
                    </w:rPr>
                    <w:t>夜间</w:t>
                  </w:r>
                </w:p>
              </w:tc>
            </w:tr>
            <w:tr w14:paraId="1F9C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Align w:val="center"/>
                </w:tcPr>
                <w:p w14:paraId="00F3FD86">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1</w:t>
                  </w:r>
                </w:p>
              </w:tc>
              <w:tc>
                <w:tcPr>
                  <w:tcW w:w="481" w:type="pct"/>
                  <w:vAlign w:val="center"/>
                </w:tcPr>
                <w:p w14:paraId="3715EF72">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eastAsia="zh-CN"/>
                    </w:rPr>
                    <w:t>东厂界</w:t>
                  </w:r>
                </w:p>
              </w:tc>
              <w:tc>
                <w:tcPr>
                  <w:tcW w:w="416" w:type="pct"/>
                  <w:vAlign w:val="center"/>
                </w:tcPr>
                <w:p w14:paraId="5821F479">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50" w:type="pct"/>
                  <w:vAlign w:val="center"/>
                </w:tcPr>
                <w:p w14:paraId="6B92305A">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1" w:type="pct"/>
                  <w:vAlign w:val="center"/>
                </w:tcPr>
                <w:p w14:paraId="6BFCE5D8">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3" w:type="pct"/>
                  <w:vAlign w:val="center"/>
                </w:tcPr>
                <w:p w14:paraId="1BD39724">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3E495D44">
                  <w:pPr>
                    <w:bidi w:val="0"/>
                    <w:jc w:val="center"/>
                    <w:rPr>
                      <w:rFonts w:hint="eastAsia" w:ascii="宋体" w:hAnsi="宋体" w:eastAsia="宋体" w:cs="宋体"/>
                      <w:color w:val="auto"/>
                      <w:sz w:val="21"/>
                      <w:szCs w:val="21"/>
                      <w:u w:val="single" w:color="auto"/>
                      <w:lang w:val="en-US" w:eastAsia="zh-CN"/>
                    </w:rPr>
                  </w:pPr>
                  <w:r>
                    <w:rPr>
                      <w:rFonts w:hint="default" w:ascii="宋体" w:hAnsi="宋体" w:eastAsia="宋体" w:cs="宋体"/>
                      <w:color w:val="auto"/>
                      <w:sz w:val="21"/>
                      <w:szCs w:val="21"/>
                      <w:u w:val="single" w:color="auto"/>
                      <w:lang w:val="en-US" w:eastAsia="zh-CN"/>
                    </w:rPr>
                    <w:t>45.11</w:t>
                  </w:r>
                </w:p>
              </w:tc>
              <w:tc>
                <w:tcPr>
                  <w:tcW w:w="339" w:type="pct"/>
                  <w:vAlign w:val="center"/>
                </w:tcPr>
                <w:p w14:paraId="673564A9">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16" w:type="pct"/>
                  <w:vAlign w:val="center"/>
                </w:tcPr>
                <w:p w14:paraId="06E83B9C">
                  <w:pPr>
                    <w:bidi w:val="0"/>
                    <w:jc w:val="center"/>
                    <w:rPr>
                      <w:rFonts w:hint="eastAsia" w:ascii="宋体" w:hAnsi="宋体" w:eastAsia="宋体" w:cs="宋体"/>
                      <w:color w:val="auto"/>
                      <w:kern w:val="2"/>
                      <w:sz w:val="21"/>
                      <w:szCs w:val="21"/>
                      <w:u w:val="single" w:color="auto"/>
                      <w:lang w:val="en-US" w:eastAsia="zh-CN" w:bidi="ar-SA"/>
                    </w:rPr>
                  </w:pPr>
                  <w:r>
                    <w:rPr>
                      <w:rFonts w:hint="eastAsia" w:ascii="宋体" w:hAnsi="宋体" w:eastAsia="宋体" w:cs="宋体"/>
                      <w:color w:val="auto"/>
                      <w:sz w:val="21"/>
                      <w:szCs w:val="21"/>
                      <w:u w:val="single" w:color="auto"/>
                      <w:lang w:val="en-US" w:eastAsia="zh-CN"/>
                    </w:rPr>
                    <w:t>/</w:t>
                  </w:r>
                </w:p>
              </w:tc>
              <w:tc>
                <w:tcPr>
                  <w:tcW w:w="290" w:type="pct"/>
                  <w:vAlign w:val="center"/>
                </w:tcPr>
                <w:p w14:paraId="0448CE65">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00" w:type="pct"/>
                  <w:vAlign w:val="center"/>
                </w:tcPr>
                <w:p w14:paraId="0F8F48D1">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290" w:type="pct"/>
                  <w:vAlign w:val="center"/>
                </w:tcPr>
                <w:p w14:paraId="3F183154">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29" w:type="pct"/>
                  <w:vAlign w:val="center"/>
                </w:tcPr>
                <w:p w14:paraId="3B894D0D">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达标</w:t>
                  </w:r>
                </w:p>
              </w:tc>
              <w:tc>
                <w:tcPr>
                  <w:tcW w:w="357" w:type="pct"/>
                  <w:vAlign w:val="center"/>
                </w:tcPr>
                <w:p w14:paraId="3200BBB6">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r>
            <w:tr w14:paraId="3992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Align w:val="center"/>
                </w:tcPr>
                <w:p w14:paraId="3063066E">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2</w:t>
                  </w:r>
                </w:p>
              </w:tc>
              <w:tc>
                <w:tcPr>
                  <w:tcW w:w="481" w:type="pct"/>
                  <w:vAlign w:val="center"/>
                </w:tcPr>
                <w:p w14:paraId="32BE98AD">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eastAsia="zh-CN"/>
                    </w:rPr>
                    <w:t>西厂界</w:t>
                  </w:r>
                </w:p>
              </w:tc>
              <w:tc>
                <w:tcPr>
                  <w:tcW w:w="416" w:type="pct"/>
                  <w:vAlign w:val="center"/>
                </w:tcPr>
                <w:p w14:paraId="7982B193">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50" w:type="pct"/>
                  <w:vAlign w:val="center"/>
                </w:tcPr>
                <w:p w14:paraId="70D0777A">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1" w:type="pct"/>
                  <w:vAlign w:val="center"/>
                </w:tcPr>
                <w:p w14:paraId="795C0F17">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3" w:type="pct"/>
                  <w:vAlign w:val="center"/>
                </w:tcPr>
                <w:p w14:paraId="48A22FED">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71EC5BEC">
                  <w:pPr>
                    <w:bidi w:val="0"/>
                    <w:jc w:val="center"/>
                    <w:rPr>
                      <w:rFonts w:hint="eastAsia" w:ascii="宋体" w:hAnsi="宋体" w:eastAsia="宋体" w:cs="宋体"/>
                      <w:color w:val="auto"/>
                      <w:sz w:val="21"/>
                      <w:szCs w:val="21"/>
                      <w:u w:val="single" w:color="auto"/>
                      <w:lang w:val="en-US" w:eastAsia="zh-CN"/>
                    </w:rPr>
                  </w:pPr>
                  <w:r>
                    <w:rPr>
                      <w:rFonts w:hint="default" w:ascii="宋体" w:hAnsi="宋体" w:eastAsia="宋体" w:cs="宋体"/>
                      <w:color w:val="auto"/>
                      <w:sz w:val="21"/>
                      <w:szCs w:val="21"/>
                      <w:u w:val="single" w:color="auto"/>
                      <w:lang w:val="en-US" w:eastAsia="zh-CN"/>
                    </w:rPr>
                    <w:t>53.07</w:t>
                  </w:r>
                </w:p>
              </w:tc>
              <w:tc>
                <w:tcPr>
                  <w:tcW w:w="339" w:type="pct"/>
                  <w:vAlign w:val="center"/>
                </w:tcPr>
                <w:p w14:paraId="6CD90504">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16" w:type="pct"/>
                  <w:vAlign w:val="center"/>
                </w:tcPr>
                <w:p w14:paraId="7196026E">
                  <w:pPr>
                    <w:bidi w:val="0"/>
                    <w:jc w:val="center"/>
                    <w:rPr>
                      <w:rFonts w:hint="eastAsia" w:ascii="宋体" w:hAnsi="宋体" w:eastAsia="宋体" w:cs="宋体"/>
                      <w:color w:val="auto"/>
                      <w:kern w:val="2"/>
                      <w:sz w:val="21"/>
                      <w:szCs w:val="21"/>
                      <w:u w:val="single" w:color="auto"/>
                      <w:lang w:val="en-US" w:eastAsia="zh-CN" w:bidi="ar-SA"/>
                    </w:rPr>
                  </w:pPr>
                  <w:r>
                    <w:rPr>
                      <w:rFonts w:hint="eastAsia" w:ascii="宋体" w:hAnsi="宋体" w:eastAsia="宋体" w:cs="宋体"/>
                      <w:color w:val="auto"/>
                      <w:sz w:val="21"/>
                      <w:szCs w:val="21"/>
                      <w:u w:val="single" w:color="auto"/>
                      <w:lang w:val="en-US" w:eastAsia="zh-CN"/>
                    </w:rPr>
                    <w:t>/</w:t>
                  </w:r>
                </w:p>
              </w:tc>
              <w:tc>
                <w:tcPr>
                  <w:tcW w:w="290" w:type="pct"/>
                  <w:vAlign w:val="center"/>
                </w:tcPr>
                <w:p w14:paraId="7B121DC3">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00" w:type="pct"/>
                  <w:vAlign w:val="center"/>
                </w:tcPr>
                <w:p w14:paraId="77EBD648">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290" w:type="pct"/>
                  <w:vAlign w:val="center"/>
                </w:tcPr>
                <w:p w14:paraId="1C3931A2">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29" w:type="pct"/>
                  <w:vAlign w:val="center"/>
                </w:tcPr>
                <w:p w14:paraId="266EE089">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达标</w:t>
                  </w:r>
                </w:p>
              </w:tc>
              <w:tc>
                <w:tcPr>
                  <w:tcW w:w="357" w:type="pct"/>
                  <w:vAlign w:val="center"/>
                </w:tcPr>
                <w:p w14:paraId="09E4775C">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r>
            <w:tr w14:paraId="3969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Align w:val="center"/>
                </w:tcPr>
                <w:p w14:paraId="01A323B6">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3</w:t>
                  </w:r>
                </w:p>
              </w:tc>
              <w:tc>
                <w:tcPr>
                  <w:tcW w:w="481" w:type="pct"/>
                  <w:vAlign w:val="center"/>
                </w:tcPr>
                <w:p w14:paraId="25D9A707">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eastAsia="zh-CN"/>
                    </w:rPr>
                    <w:t>南厂界</w:t>
                  </w:r>
                </w:p>
              </w:tc>
              <w:tc>
                <w:tcPr>
                  <w:tcW w:w="416" w:type="pct"/>
                  <w:vAlign w:val="center"/>
                </w:tcPr>
                <w:p w14:paraId="6D8562FA">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50" w:type="pct"/>
                  <w:vAlign w:val="center"/>
                </w:tcPr>
                <w:p w14:paraId="0260B3B6">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1" w:type="pct"/>
                  <w:vAlign w:val="center"/>
                </w:tcPr>
                <w:p w14:paraId="62A23ECF">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3" w:type="pct"/>
                  <w:vAlign w:val="center"/>
                </w:tcPr>
                <w:p w14:paraId="0EFFCCAA">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5CD5F2DF">
                  <w:pPr>
                    <w:bidi w:val="0"/>
                    <w:jc w:val="center"/>
                    <w:rPr>
                      <w:rFonts w:hint="eastAsia" w:ascii="宋体" w:hAnsi="宋体" w:eastAsia="宋体" w:cs="宋体"/>
                      <w:color w:val="auto"/>
                      <w:sz w:val="21"/>
                      <w:szCs w:val="21"/>
                      <w:u w:val="single" w:color="auto"/>
                      <w:lang w:val="en-US" w:eastAsia="zh-CN"/>
                    </w:rPr>
                  </w:pPr>
                  <w:r>
                    <w:rPr>
                      <w:rFonts w:hint="default" w:ascii="宋体" w:hAnsi="宋体" w:eastAsia="宋体" w:cs="宋体"/>
                      <w:color w:val="auto"/>
                      <w:sz w:val="21"/>
                      <w:szCs w:val="21"/>
                      <w:u w:val="single" w:color="auto"/>
                      <w:lang w:val="en-US" w:eastAsia="zh-CN"/>
                    </w:rPr>
                    <w:t>33.95</w:t>
                  </w:r>
                </w:p>
              </w:tc>
              <w:tc>
                <w:tcPr>
                  <w:tcW w:w="339" w:type="pct"/>
                  <w:vAlign w:val="center"/>
                </w:tcPr>
                <w:p w14:paraId="276DFA40">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16" w:type="pct"/>
                  <w:vAlign w:val="center"/>
                </w:tcPr>
                <w:p w14:paraId="15565B68">
                  <w:pPr>
                    <w:bidi w:val="0"/>
                    <w:jc w:val="center"/>
                    <w:rPr>
                      <w:rFonts w:hint="eastAsia" w:ascii="宋体" w:hAnsi="宋体" w:eastAsia="宋体" w:cs="宋体"/>
                      <w:color w:val="auto"/>
                      <w:kern w:val="2"/>
                      <w:sz w:val="21"/>
                      <w:szCs w:val="21"/>
                      <w:u w:val="single" w:color="auto"/>
                      <w:lang w:val="en-US" w:eastAsia="zh-CN" w:bidi="ar-SA"/>
                    </w:rPr>
                  </w:pPr>
                  <w:r>
                    <w:rPr>
                      <w:rFonts w:hint="eastAsia" w:ascii="宋体" w:hAnsi="宋体" w:eastAsia="宋体" w:cs="宋体"/>
                      <w:color w:val="auto"/>
                      <w:sz w:val="21"/>
                      <w:szCs w:val="21"/>
                      <w:u w:val="single" w:color="auto"/>
                      <w:lang w:val="en-US" w:eastAsia="zh-CN"/>
                    </w:rPr>
                    <w:t>/</w:t>
                  </w:r>
                </w:p>
              </w:tc>
              <w:tc>
                <w:tcPr>
                  <w:tcW w:w="290" w:type="pct"/>
                  <w:vAlign w:val="center"/>
                </w:tcPr>
                <w:p w14:paraId="3CDEBCEF">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00" w:type="pct"/>
                  <w:vAlign w:val="center"/>
                </w:tcPr>
                <w:p w14:paraId="18B8E67F">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290" w:type="pct"/>
                  <w:vAlign w:val="center"/>
                </w:tcPr>
                <w:p w14:paraId="4721A644">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29" w:type="pct"/>
                  <w:vAlign w:val="center"/>
                </w:tcPr>
                <w:p w14:paraId="3DE18CC2">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达标</w:t>
                  </w:r>
                </w:p>
              </w:tc>
              <w:tc>
                <w:tcPr>
                  <w:tcW w:w="357" w:type="pct"/>
                  <w:vAlign w:val="center"/>
                </w:tcPr>
                <w:p w14:paraId="4A232BD8">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r>
            <w:tr w14:paraId="3D5C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Align w:val="center"/>
                </w:tcPr>
                <w:p w14:paraId="40DA557C">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4</w:t>
                  </w:r>
                </w:p>
              </w:tc>
              <w:tc>
                <w:tcPr>
                  <w:tcW w:w="481" w:type="pct"/>
                  <w:vAlign w:val="center"/>
                </w:tcPr>
                <w:p w14:paraId="2E1EDE30">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eastAsia="zh-CN"/>
                    </w:rPr>
                    <w:t>北厂界</w:t>
                  </w:r>
                </w:p>
              </w:tc>
              <w:tc>
                <w:tcPr>
                  <w:tcW w:w="416" w:type="pct"/>
                  <w:vAlign w:val="center"/>
                </w:tcPr>
                <w:p w14:paraId="238273CC">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50" w:type="pct"/>
                  <w:vAlign w:val="center"/>
                </w:tcPr>
                <w:p w14:paraId="3B2A3885">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1" w:type="pct"/>
                  <w:vAlign w:val="center"/>
                </w:tcPr>
                <w:p w14:paraId="5B7E147A">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53" w:type="pct"/>
                  <w:vAlign w:val="center"/>
                </w:tcPr>
                <w:p w14:paraId="5A479AF3">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6361532C">
                  <w:pPr>
                    <w:bidi w:val="0"/>
                    <w:jc w:val="center"/>
                    <w:rPr>
                      <w:rFonts w:hint="eastAsia" w:ascii="宋体" w:hAnsi="宋体" w:eastAsia="宋体" w:cs="宋体"/>
                      <w:color w:val="auto"/>
                      <w:sz w:val="21"/>
                      <w:szCs w:val="21"/>
                      <w:u w:val="single" w:color="auto"/>
                      <w:lang w:val="en-US" w:eastAsia="zh-CN"/>
                    </w:rPr>
                  </w:pPr>
                  <w:r>
                    <w:rPr>
                      <w:rFonts w:hint="default" w:ascii="宋体" w:hAnsi="宋体" w:eastAsia="宋体" w:cs="宋体"/>
                      <w:color w:val="auto"/>
                      <w:sz w:val="21"/>
                      <w:szCs w:val="21"/>
                      <w:u w:val="single" w:color="auto"/>
                      <w:lang w:val="en-US" w:eastAsia="zh-CN"/>
                    </w:rPr>
                    <w:t>35.74</w:t>
                  </w:r>
                </w:p>
              </w:tc>
              <w:tc>
                <w:tcPr>
                  <w:tcW w:w="339" w:type="pct"/>
                  <w:vAlign w:val="center"/>
                </w:tcPr>
                <w:p w14:paraId="6CA99694">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16" w:type="pct"/>
                  <w:vAlign w:val="center"/>
                </w:tcPr>
                <w:p w14:paraId="788BFF50">
                  <w:pPr>
                    <w:bidi w:val="0"/>
                    <w:jc w:val="center"/>
                    <w:rPr>
                      <w:rFonts w:hint="eastAsia" w:ascii="宋体" w:hAnsi="宋体" w:eastAsia="宋体" w:cs="宋体"/>
                      <w:color w:val="auto"/>
                      <w:kern w:val="2"/>
                      <w:sz w:val="21"/>
                      <w:szCs w:val="21"/>
                      <w:u w:val="single" w:color="auto"/>
                      <w:lang w:val="en-US" w:eastAsia="zh-CN" w:bidi="ar-SA"/>
                    </w:rPr>
                  </w:pPr>
                  <w:r>
                    <w:rPr>
                      <w:rFonts w:hint="eastAsia" w:ascii="宋体" w:hAnsi="宋体" w:eastAsia="宋体" w:cs="宋体"/>
                      <w:color w:val="auto"/>
                      <w:sz w:val="21"/>
                      <w:szCs w:val="21"/>
                      <w:u w:val="single" w:color="auto"/>
                      <w:lang w:val="en-US" w:eastAsia="zh-CN"/>
                    </w:rPr>
                    <w:t>/</w:t>
                  </w:r>
                </w:p>
              </w:tc>
              <w:tc>
                <w:tcPr>
                  <w:tcW w:w="290" w:type="pct"/>
                  <w:vAlign w:val="center"/>
                </w:tcPr>
                <w:p w14:paraId="3D1AE563">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300" w:type="pct"/>
                  <w:vAlign w:val="center"/>
                </w:tcPr>
                <w:p w14:paraId="06370FBD">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290" w:type="pct"/>
                  <w:vAlign w:val="center"/>
                </w:tcPr>
                <w:p w14:paraId="756491BB">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c>
                <w:tcPr>
                  <w:tcW w:w="329" w:type="pct"/>
                  <w:vAlign w:val="center"/>
                </w:tcPr>
                <w:p w14:paraId="59CFEADA">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达标</w:t>
                  </w:r>
                </w:p>
              </w:tc>
              <w:tc>
                <w:tcPr>
                  <w:tcW w:w="357" w:type="pct"/>
                  <w:vAlign w:val="center"/>
                </w:tcPr>
                <w:p w14:paraId="0C0FE398">
                  <w:pPr>
                    <w:bidi w:val="0"/>
                    <w:jc w:val="center"/>
                    <w:rPr>
                      <w:rFonts w:hint="eastAsia" w:ascii="宋体" w:hAnsi="宋体" w:eastAsia="宋体" w:cs="宋体"/>
                      <w:color w:val="auto"/>
                      <w:sz w:val="21"/>
                      <w:szCs w:val="21"/>
                      <w:u w:val="single" w:color="auto"/>
                      <w:lang w:eastAsia="zh-CN"/>
                    </w:rPr>
                  </w:pPr>
                  <w:r>
                    <w:rPr>
                      <w:rFonts w:hint="eastAsia" w:ascii="宋体" w:hAnsi="宋体" w:eastAsia="宋体" w:cs="宋体"/>
                      <w:color w:val="auto"/>
                      <w:sz w:val="21"/>
                      <w:szCs w:val="21"/>
                      <w:u w:val="single" w:color="auto"/>
                      <w:lang w:val="en-US" w:eastAsia="zh-CN"/>
                    </w:rPr>
                    <w:t>/</w:t>
                  </w:r>
                </w:p>
              </w:tc>
            </w:tr>
            <w:tr w14:paraId="191D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 w:type="pct"/>
                  <w:vAlign w:val="center"/>
                </w:tcPr>
                <w:p w14:paraId="1D550041">
                  <w:pPr>
                    <w:bidi w:val="0"/>
                    <w:jc w:val="center"/>
                    <w:rPr>
                      <w:rFonts w:hint="default" w:ascii="宋体" w:hAnsi="宋体" w:eastAsia="宋体" w:cs="宋体"/>
                      <w:color w:val="auto"/>
                      <w:sz w:val="21"/>
                      <w:szCs w:val="21"/>
                      <w:u w:val="single" w:color="auto"/>
                      <w:lang w:val="en-US" w:eastAsia="zh-CN"/>
                    </w:rPr>
                  </w:pPr>
                  <w:r>
                    <w:rPr>
                      <w:rFonts w:hint="eastAsia" w:ascii="宋体" w:hAnsi="宋体" w:cs="宋体"/>
                      <w:color w:val="auto"/>
                      <w:sz w:val="21"/>
                      <w:szCs w:val="21"/>
                      <w:u w:val="single" w:color="auto"/>
                      <w:lang w:val="en-US" w:eastAsia="zh-CN"/>
                    </w:rPr>
                    <w:t>5</w:t>
                  </w:r>
                </w:p>
              </w:tc>
              <w:tc>
                <w:tcPr>
                  <w:tcW w:w="481" w:type="pct"/>
                  <w:vAlign w:val="center"/>
                </w:tcPr>
                <w:p w14:paraId="06CD968F">
                  <w:pPr>
                    <w:bidi w:val="0"/>
                    <w:jc w:val="center"/>
                    <w:rPr>
                      <w:rFonts w:hint="default" w:ascii="宋体" w:hAnsi="宋体" w:eastAsia="宋体" w:cs="宋体"/>
                      <w:color w:val="auto"/>
                      <w:sz w:val="21"/>
                      <w:szCs w:val="21"/>
                      <w:u w:val="single" w:color="auto"/>
                      <w:lang w:val="en-US" w:eastAsia="zh-CN"/>
                    </w:rPr>
                  </w:pPr>
                  <w:r>
                    <w:rPr>
                      <w:rFonts w:hint="eastAsia" w:ascii="宋体" w:hAnsi="宋体" w:cs="宋体"/>
                      <w:color w:val="auto"/>
                      <w:sz w:val="21"/>
                      <w:szCs w:val="21"/>
                      <w:u w:val="single" w:color="auto"/>
                      <w:lang w:val="en-US" w:eastAsia="zh-CN"/>
                    </w:rPr>
                    <w:t>西北侧居民点</w:t>
                  </w:r>
                </w:p>
              </w:tc>
              <w:tc>
                <w:tcPr>
                  <w:tcW w:w="678" w:type="dxa"/>
                  <w:vAlign w:val="center"/>
                </w:tcPr>
                <w:p w14:paraId="5501A20A">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570" w:type="dxa"/>
                  <w:vAlign w:val="center"/>
                </w:tcPr>
                <w:p w14:paraId="1BEBB97D">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572" w:type="dxa"/>
                  <w:vAlign w:val="center"/>
                </w:tcPr>
                <w:p w14:paraId="6A4F1CF2">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577" w:type="dxa"/>
                  <w:vAlign w:val="center"/>
                </w:tcPr>
                <w:p w14:paraId="770872C0">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1923052A">
                  <w:pPr>
                    <w:bidi w:val="0"/>
                    <w:jc w:val="center"/>
                    <w:rPr>
                      <w:rFonts w:hint="default" w:ascii="宋体" w:hAnsi="宋体" w:eastAsia="宋体" w:cs="宋体"/>
                      <w:color w:val="auto"/>
                      <w:sz w:val="21"/>
                      <w:szCs w:val="21"/>
                      <w:u w:val="single" w:color="auto"/>
                      <w:lang w:val="en-US" w:eastAsia="zh-CN"/>
                    </w:rPr>
                  </w:pPr>
                  <w:r>
                    <w:rPr>
                      <w:rFonts w:hint="eastAsia" w:ascii="宋体" w:hAnsi="宋体" w:cs="宋体"/>
                      <w:color w:val="auto"/>
                      <w:sz w:val="21"/>
                      <w:szCs w:val="21"/>
                      <w:u w:val="single" w:color="auto"/>
                      <w:lang w:val="en-US" w:eastAsia="zh-CN"/>
                    </w:rPr>
                    <w:t>46.32</w:t>
                  </w:r>
                </w:p>
              </w:tc>
              <w:tc>
                <w:tcPr>
                  <w:tcW w:w="554" w:type="dxa"/>
                  <w:vAlign w:val="center"/>
                </w:tcPr>
                <w:p w14:paraId="3A190710">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678" w:type="dxa"/>
                  <w:vAlign w:val="center"/>
                </w:tcPr>
                <w:p w14:paraId="2C32CD73">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74" w:type="dxa"/>
                  <w:vAlign w:val="center"/>
                </w:tcPr>
                <w:p w14:paraId="73981BF8">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89" w:type="dxa"/>
                  <w:vAlign w:val="center"/>
                </w:tcPr>
                <w:p w14:paraId="231D171D">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472" w:type="dxa"/>
                  <w:vAlign w:val="center"/>
                </w:tcPr>
                <w:p w14:paraId="062239DE">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c>
                <w:tcPr>
                  <w:tcW w:w="536" w:type="dxa"/>
                  <w:vAlign w:val="center"/>
                </w:tcPr>
                <w:p w14:paraId="7A02D7DE">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达标</w:t>
                  </w:r>
                </w:p>
              </w:tc>
              <w:tc>
                <w:tcPr>
                  <w:tcW w:w="588" w:type="dxa"/>
                  <w:vAlign w:val="center"/>
                </w:tcPr>
                <w:p w14:paraId="6D494AB6">
                  <w:pPr>
                    <w:bidi w:val="0"/>
                    <w:jc w:val="center"/>
                    <w:rPr>
                      <w:rFonts w:hint="eastAsia" w:ascii="宋体" w:hAnsi="宋体" w:eastAsia="宋体" w:cs="宋体"/>
                      <w:color w:val="auto"/>
                      <w:sz w:val="21"/>
                      <w:szCs w:val="21"/>
                      <w:u w:val="single" w:color="auto"/>
                      <w:lang w:val="en-US" w:eastAsia="zh-CN"/>
                    </w:rPr>
                  </w:pPr>
                  <w:r>
                    <w:rPr>
                      <w:rFonts w:hint="eastAsia" w:ascii="宋体" w:hAnsi="宋体" w:eastAsia="宋体" w:cs="宋体"/>
                      <w:color w:val="auto"/>
                      <w:sz w:val="21"/>
                      <w:szCs w:val="21"/>
                      <w:u w:val="single" w:color="auto"/>
                      <w:lang w:val="en-US" w:eastAsia="zh-CN"/>
                    </w:rPr>
                    <w:t>/</w:t>
                  </w:r>
                </w:p>
              </w:tc>
            </w:tr>
            <w:tr w14:paraId="71A0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4"/>
                  <w:vAlign w:val="center"/>
                </w:tcPr>
                <w:p w14:paraId="11BD7839">
                  <w:pPr>
                    <w:bidi w:val="0"/>
                    <w:jc w:val="center"/>
                    <w:rPr>
                      <w:rFonts w:hint="eastAsia" w:ascii="宋体" w:hAnsi="宋体" w:eastAsia="宋体" w:cs="宋体"/>
                      <w:color w:val="FF0000"/>
                      <w:sz w:val="21"/>
                      <w:szCs w:val="21"/>
                      <w:u w:val="single" w:color="auto"/>
                      <w:lang w:val="en-US" w:eastAsia="zh-CN"/>
                    </w:rPr>
                  </w:pPr>
                  <w:r>
                    <w:rPr>
                      <w:rFonts w:hint="eastAsia" w:ascii="宋体" w:hAnsi="宋体" w:eastAsia="宋体" w:cs="宋体"/>
                      <w:color w:val="auto"/>
                      <w:sz w:val="21"/>
                      <w:szCs w:val="21"/>
                      <w:u w:val="single" w:color="auto"/>
                      <w:lang w:val="en-US" w:eastAsia="zh-CN"/>
                    </w:rPr>
                    <w:t>注：项目夜间（22:00-6:00）不生产</w:t>
                  </w:r>
                </w:p>
              </w:tc>
            </w:tr>
          </w:tbl>
          <w:p w14:paraId="15E0F5F8">
            <w:pPr>
              <w:pStyle w:val="77"/>
              <w:ind w:firstLine="482"/>
              <w:rPr>
                <w:rFonts w:hint="eastAsia" w:ascii="Times New Roman" w:hAnsi="Times New Roman" w:eastAsia="宋体"/>
                <w:b/>
                <w:bCs/>
                <w:color w:val="auto"/>
                <w:u w:val="single" w:color="auto"/>
                <w:lang w:eastAsia="zh-CN"/>
              </w:rPr>
            </w:pPr>
            <w:r>
              <w:rPr>
                <w:rFonts w:hint="eastAsia" w:ascii="Times New Roman" w:hAnsi="Times New Roman" w:eastAsia="宋体"/>
                <w:b/>
                <w:bCs/>
                <w:color w:val="auto"/>
                <w:u w:val="single" w:color="auto"/>
                <w:lang w:val="en-US" w:eastAsia="zh-CN"/>
              </w:rPr>
              <w:t>2、噪声污染防止措施</w:t>
            </w:r>
          </w:p>
          <w:p w14:paraId="53200AD3">
            <w:pPr>
              <w:tabs>
                <w:tab w:val="center" w:pos="4234"/>
              </w:tabs>
              <w:adjustRightInd w:val="0"/>
              <w:snapToGrid w:val="0"/>
              <w:spacing w:line="360" w:lineRule="auto"/>
              <w:ind w:firstLine="480" w:firstLineChars="200"/>
              <w:rPr>
                <w:rFonts w:hint="eastAsia" w:ascii="Times New Roman" w:hAnsi="Times New Roman" w:eastAsia="宋体" w:cs="Times New Roman"/>
                <w:color w:val="auto"/>
                <w:kern w:val="0"/>
                <w:sz w:val="24"/>
                <w:u w:val="single" w:color="auto"/>
                <w:lang w:eastAsia="zh-CN"/>
              </w:rPr>
            </w:pPr>
            <w:r>
              <w:rPr>
                <w:rFonts w:hint="eastAsia" w:ascii="Times New Roman" w:hAnsi="Times New Roman" w:eastAsia="宋体" w:cs="Times New Roman"/>
                <w:color w:val="auto"/>
                <w:kern w:val="0"/>
                <w:sz w:val="24"/>
                <w:u w:val="single" w:color="auto"/>
                <w:lang w:eastAsia="zh-CN"/>
              </w:rPr>
              <w:t>针对项目运营期间设备噪声，建设单位在营运后期需要进一步采取一定噪声污染防治措施，以减少噪声对场内环境的影响，具体措施有：</w:t>
            </w:r>
          </w:p>
          <w:p w14:paraId="7202C69D">
            <w:pPr>
              <w:tabs>
                <w:tab w:val="center" w:pos="4234"/>
              </w:tabs>
              <w:adjustRightInd w:val="0"/>
              <w:snapToGrid w:val="0"/>
              <w:spacing w:line="360" w:lineRule="auto"/>
              <w:ind w:firstLine="480" w:firstLineChars="200"/>
              <w:rPr>
                <w:rFonts w:hint="eastAsia" w:ascii="Times New Roman" w:hAnsi="Times New Roman" w:eastAsia="宋体" w:cs="Times New Roman"/>
                <w:color w:val="auto"/>
                <w:kern w:val="0"/>
                <w:sz w:val="24"/>
                <w:u w:val="single" w:color="auto"/>
                <w:lang w:eastAsia="zh-CN"/>
              </w:rPr>
            </w:pPr>
            <w:r>
              <w:rPr>
                <w:rFonts w:hint="eastAsia" w:ascii="Times New Roman" w:hAnsi="Times New Roman" w:eastAsia="宋体" w:cs="Times New Roman"/>
                <w:color w:val="auto"/>
                <w:kern w:val="0"/>
                <w:sz w:val="24"/>
                <w:u w:val="single" w:color="auto"/>
                <w:lang w:eastAsia="zh-CN"/>
              </w:rPr>
              <w:t>①在设备选型上选用噪声较低的同类设备；</w:t>
            </w:r>
          </w:p>
          <w:p w14:paraId="34DED94D">
            <w:pPr>
              <w:tabs>
                <w:tab w:val="center" w:pos="4234"/>
              </w:tabs>
              <w:adjustRightInd w:val="0"/>
              <w:snapToGrid w:val="0"/>
              <w:spacing w:line="360" w:lineRule="auto"/>
              <w:ind w:firstLine="480" w:firstLineChars="200"/>
              <w:rPr>
                <w:rFonts w:hint="eastAsia" w:ascii="Times New Roman" w:hAnsi="Times New Roman" w:eastAsia="宋体" w:cs="Times New Roman"/>
                <w:color w:val="auto"/>
                <w:kern w:val="0"/>
                <w:sz w:val="24"/>
                <w:u w:val="single" w:color="auto"/>
                <w:lang w:eastAsia="zh-CN"/>
              </w:rPr>
            </w:pPr>
            <w:r>
              <w:rPr>
                <w:rFonts w:hint="eastAsia" w:ascii="Times New Roman" w:hAnsi="Times New Roman" w:eastAsia="宋体" w:cs="Times New Roman"/>
                <w:color w:val="auto"/>
                <w:kern w:val="0"/>
                <w:sz w:val="24"/>
                <w:u w:val="single" w:color="auto"/>
                <w:lang w:eastAsia="zh-CN"/>
              </w:rPr>
              <w:t>②风机、</w:t>
            </w:r>
            <w:r>
              <w:rPr>
                <w:rFonts w:hint="eastAsia" w:cs="Times New Roman"/>
                <w:color w:val="auto"/>
                <w:kern w:val="0"/>
                <w:sz w:val="24"/>
                <w:u w:val="single" w:color="auto"/>
                <w:lang w:val="en-US" w:eastAsia="zh-CN"/>
              </w:rPr>
              <w:t>排气筒</w:t>
            </w:r>
            <w:r>
              <w:rPr>
                <w:rFonts w:hint="eastAsia" w:ascii="Times New Roman" w:hAnsi="Times New Roman" w:eastAsia="宋体" w:cs="Times New Roman"/>
                <w:color w:val="auto"/>
                <w:kern w:val="0"/>
                <w:sz w:val="24"/>
                <w:u w:val="single" w:color="auto"/>
                <w:lang w:eastAsia="zh-CN"/>
              </w:rPr>
              <w:t>进出风口加装消声器</w:t>
            </w:r>
            <w:r>
              <w:rPr>
                <w:rFonts w:hint="eastAsia" w:cs="Times New Roman"/>
                <w:color w:val="auto"/>
                <w:kern w:val="0"/>
                <w:sz w:val="24"/>
                <w:u w:val="single" w:color="auto"/>
                <w:lang w:val="en-US" w:eastAsia="zh-CN"/>
              </w:rPr>
              <w:t>或隔音棉</w:t>
            </w:r>
            <w:r>
              <w:rPr>
                <w:rFonts w:hint="eastAsia" w:ascii="Times New Roman" w:hAnsi="Times New Roman" w:eastAsia="宋体" w:cs="Times New Roman"/>
                <w:color w:val="auto"/>
                <w:kern w:val="0"/>
                <w:sz w:val="24"/>
                <w:u w:val="single" w:color="auto"/>
                <w:lang w:eastAsia="zh-CN"/>
              </w:rPr>
              <w:t>；</w:t>
            </w:r>
          </w:p>
          <w:p w14:paraId="2A656D86">
            <w:pPr>
              <w:tabs>
                <w:tab w:val="center" w:pos="4234"/>
              </w:tabs>
              <w:adjustRightInd w:val="0"/>
              <w:snapToGrid w:val="0"/>
              <w:spacing w:line="360" w:lineRule="auto"/>
              <w:ind w:firstLine="480" w:firstLineChars="200"/>
              <w:rPr>
                <w:rFonts w:hint="eastAsia" w:ascii="宋体" w:hAnsi="宋体" w:eastAsia="宋体" w:cs="宋体"/>
                <w:color w:val="auto"/>
                <w:kern w:val="0"/>
                <w:sz w:val="24"/>
                <w:u w:val="single" w:color="auto"/>
                <w:lang w:eastAsia="zh-CN"/>
              </w:rPr>
            </w:pPr>
            <w:r>
              <w:rPr>
                <w:rFonts w:hint="eastAsia" w:ascii="Times New Roman" w:hAnsi="Times New Roman" w:eastAsia="宋体" w:cs="Times New Roman"/>
                <w:color w:val="auto"/>
                <w:kern w:val="0"/>
                <w:sz w:val="24"/>
                <w:u w:val="single" w:color="auto"/>
                <w:lang w:eastAsia="zh-CN"/>
              </w:rPr>
              <w:t>③夜间</w:t>
            </w:r>
            <w:r>
              <w:rPr>
                <w:rFonts w:hint="eastAsia" w:cs="Times New Roman"/>
                <w:color w:val="auto"/>
                <w:kern w:val="0"/>
                <w:sz w:val="24"/>
                <w:u w:val="single" w:color="auto"/>
                <w:lang w:val="en-US" w:eastAsia="zh-CN"/>
              </w:rPr>
              <w:t>除</w:t>
            </w:r>
            <w:r>
              <w:rPr>
                <w:rFonts w:hint="eastAsia" w:ascii="Times New Roman" w:hAnsi="Times New Roman" w:eastAsia="宋体" w:cs="Times New Roman"/>
                <w:color w:val="auto"/>
                <w:kern w:val="0"/>
                <w:sz w:val="24"/>
                <w:u w:val="single" w:color="auto"/>
                <w:lang w:eastAsia="zh-CN"/>
              </w:rPr>
              <w:t>烘干工序外</w:t>
            </w:r>
            <w:r>
              <w:rPr>
                <w:rFonts w:hint="eastAsia" w:ascii="宋体" w:hAnsi="宋体" w:eastAsia="宋体" w:cs="宋体"/>
                <w:color w:val="auto"/>
                <w:kern w:val="0"/>
                <w:sz w:val="24"/>
                <w:u w:val="single" w:color="auto"/>
                <w:lang w:eastAsia="zh-CN"/>
              </w:rPr>
              <w:t>不作业对强噪声设备加装隔声罩(间)；④对振动较大的设备采取减振、隔振措施，设防振基础，加垫衬；⑤在车间外及厂区搞好绿化，并在厂界留出一定的绿化隔离带，利用其屏蔽作用阻隔噪声传播：</w:t>
            </w:r>
          </w:p>
          <w:p w14:paraId="5C069BD8">
            <w:pPr>
              <w:tabs>
                <w:tab w:val="center" w:pos="4234"/>
              </w:tabs>
              <w:adjustRightInd w:val="0"/>
              <w:snapToGrid w:val="0"/>
              <w:spacing w:line="360" w:lineRule="auto"/>
              <w:ind w:firstLine="480" w:firstLineChars="200"/>
              <w:rPr>
                <w:rFonts w:hint="default" w:ascii="Times New Roman" w:hAnsi="Times New Roman" w:cs="Times New Roman"/>
                <w:b w:val="0"/>
                <w:color w:val="FF0000"/>
                <w:kern w:val="2"/>
                <w:sz w:val="24"/>
                <w:szCs w:val="24"/>
                <w:lang w:val="en-US" w:eastAsia="zh-CN" w:bidi="ar-SA"/>
              </w:rPr>
            </w:pPr>
            <w:r>
              <w:rPr>
                <w:rFonts w:hint="eastAsia" w:ascii="宋体" w:hAnsi="宋体" w:eastAsia="宋体" w:cs="宋体"/>
                <w:color w:val="auto"/>
                <w:kern w:val="0"/>
                <w:sz w:val="24"/>
                <w:u w:val="single" w:color="auto"/>
                <w:lang w:val="en-US" w:eastAsia="zh-CN"/>
              </w:rPr>
              <w:t>④</w:t>
            </w:r>
            <w:r>
              <w:rPr>
                <w:rFonts w:hint="eastAsia" w:ascii="宋体" w:hAnsi="宋体" w:eastAsia="宋体" w:cs="宋体"/>
                <w:color w:val="auto"/>
                <w:kern w:val="0"/>
                <w:sz w:val="24"/>
                <w:u w:val="single" w:color="auto"/>
                <w:lang w:eastAsia="zh-CN"/>
              </w:rPr>
              <w:t>加强对操作工人的个人防护，设置隔音操作室，配备耳塞、耳罩、头盔等个人防护用具，避免高噪声对操作工人身体健康造成危害。通过采取以上措施后噪声能够实现达标，且对附近居民声环境影响小，不会造成</w:t>
            </w:r>
            <w:r>
              <w:rPr>
                <w:rFonts w:hint="eastAsia" w:ascii="宋体" w:hAnsi="宋体" w:eastAsia="宋体" w:cs="宋体"/>
                <w:color w:val="auto"/>
                <w:kern w:val="0"/>
                <w:sz w:val="24"/>
                <w:u w:val="single" w:color="auto"/>
                <w:lang w:val="en-US" w:eastAsia="zh-CN"/>
              </w:rPr>
              <w:t>影响</w:t>
            </w:r>
            <w:r>
              <w:rPr>
                <w:rFonts w:hint="eastAsia" w:cs="Times New Roman"/>
                <w:color w:val="auto"/>
                <w:kern w:val="0"/>
                <w:sz w:val="24"/>
                <w:u w:val="single" w:color="auto"/>
                <w:lang w:val="en-US" w:eastAsia="zh-CN"/>
              </w:rPr>
              <w:t>。</w:t>
            </w:r>
          </w:p>
        </w:tc>
      </w:tr>
      <w:tr w14:paraId="6A56D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8" w:hRule="atLeast"/>
          <w:jc w:val="center"/>
        </w:trPr>
        <w:tc>
          <w:tcPr>
            <w:tcW w:w="599" w:type="dxa"/>
            <w:vMerge w:val="continue"/>
            <w:tcMar>
              <w:left w:w="28" w:type="dxa"/>
              <w:right w:w="28" w:type="dxa"/>
            </w:tcMar>
            <w:vAlign w:val="center"/>
          </w:tcPr>
          <w:p w14:paraId="79191351">
            <w:pPr>
              <w:adjustRightInd w:val="0"/>
              <w:snapToGrid w:val="0"/>
              <w:jc w:val="center"/>
              <w:rPr>
                <w:rFonts w:ascii="宋体" w:hAnsi="宋体" w:cs="宋体"/>
                <w:bCs/>
                <w:color w:val="FF0000"/>
                <w:szCs w:val="21"/>
              </w:rPr>
            </w:pPr>
          </w:p>
        </w:tc>
        <w:tc>
          <w:tcPr>
            <w:tcW w:w="8382" w:type="dxa"/>
            <w:vAlign w:val="center"/>
          </w:tcPr>
          <w:p w14:paraId="1C7D2145">
            <w:pPr>
              <w:autoSpaceDE w:val="0"/>
              <w:autoSpaceDN w:val="0"/>
              <w:adjustRightInd w:val="0"/>
              <w:snapToGrid w:val="0"/>
              <w:spacing w:before="120" w:beforeLines="50" w:line="360" w:lineRule="auto"/>
              <w:ind w:firstLine="482"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（四）固体废物环境影响分析</w:t>
            </w:r>
          </w:p>
          <w:p w14:paraId="536D9E42">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1、固体废物产生及处置情况</w:t>
            </w:r>
          </w:p>
          <w:p w14:paraId="3129344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项目产生的固废主要分为员工生活垃圾、筛分过程</w:t>
            </w:r>
            <w:r>
              <w:rPr>
                <w:rFonts w:hint="eastAsia" w:ascii="宋体" w:hAnsi="宋体" w:eastAsia="宋体" w:cs="宋体"/>
                <w:color w:val="auto"/>
                <w:sz w:val="24"/>
                <w:lang w:val="en-US" w:eastAsia="zh-CN"/>
              </w:rPr>
              <w:t>产生</w:t>
            </w:r>
            <w:r>
              <w:rPr>
                <w:rFonts w:hint="eastAsia" w:ascii="宋体" w:hAnsi="宋体" w:eastAsia="宋体" w:cs="宋体"/>
                <w:color w:val="auto"/>
                <w:sz w:val="24"/>
              </w:rPr>
              <w:t>杂质</w:t>
            </w:r>
            <w:r>
              <w:rPr>
                <w:rFonts w:hint="eastAsia" w:ascii="宋体" w:hAnsi="宋体" w:eastAsia="宋体" w:cs="宋体"/>
                <w:color w:val="auto"/>
                <w:sz w:val="24"/>
                <w:lang w:eastAsia="zh-CN"/>
              </w:rPr>
              <w:t>、</w:t>
            </w:r>
            <w:r>
              <w:rPr>
                <w:rFonts w:hint="eastAsia" w:ascii="宋体" w:hAnsi="宋体" w:cs="宋体"/>
                <w:color w:val="auto"/>
                <w:sz w:val="24"/>
                <w:lang w:val="en-US" w:eastAsia="zh-CN"/>
              </w:rPr>
              <w:t>炉渣</w:t>
            </w:r>
            <w:r>
              <w:rPr>
                <w:rFonts w:hint="eastAsia" w:ascii="宋体" w:hAnsi="宋体" w:eastAsia="宋体" w:cs="宋体"/>
                <w:color w:val="auto"/>
                <w:sz w:val="24"/>
              </w:rPr>
              <w:t>炉灰。</w:t>
            </w:r>
          </w:p>
          <w:p w14:paraId="40A92FD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生活垃圾产生量：项目职工</w:t>
            </w:r>
            <w:r>
              <w:rPr>
                <w:rFonts w:hint="eastAsia" w:ascii="宋体" w:hAnsi="宋体" w:cs="宋体"/>
                <w:color w:val="auto"/>
                <w:sz w:val="24"/>
                <w:lang w:val="en-US" w:eastAsia="zh-CN"/>
              </w:rPr>
              <w:t>8</w:t>
            </w:r>
            <w:r>
              <w:rPr>
                <w:rFonts w:hint="eastAsia" w:ascii="宋体" w:hAnsi="宋体" w:eastAsia="宋体" w:cs="宋体"/>
                <w:color w:val="auto"/>
                <w:sz w:val="24"/>
              </w:rPr>
              <w:t>人，生活垃圾产生量以0.2kg/人∙d计，则生活垃圾产生总量为</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.6</w:t>
            </w:r>
            <w:r>
              <w:rPr>
                <w:rFonts w:hint="eastAsia" w:ascii="宋体" w:hAnsi="宋体" w:eastAsia="宋体" w:cs="宋体"/>
                <w:color w:val="auto"/>
                <w:sz w:val="24"/>
              </w:rPr>
              <w:t>kg/d，</w:t>
            </w:r>
            <w:r>
              <w:rPr>
                <w:rFonts w:hint="eastAsia" w:ascii="宋体" w:hAnsi="宋体" w:cs="宋体"/>
                <w:color w:val="auto"/>
                <w:sz w:val="24"/>
                <w:lang w:val="en-US" w:eastAsia="zh-CN"/>
              </w:rPr>
              <w:t>0.192</w:t>
            </w:r>
            <w:r>
              <w:rPr>
                <w:rFonts w:hint="eastAsia" w:ascii="宋体" w:hAnsi="宋体" w:eastAsia="宋体" w:cs="宋体"/>
                <w:color w:val="auto"/>
                <w:sz w:val="24"/>
              </w:rPr>
              <w:t>t/a。</w:t>
            </w:r>
          </w:p>
          <w:p w14:paraId="6B1D499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处置措施：厂区设置垃圾桶，生活垃圾由环卫清运。</w:t>
            </w:r>
          </w:p>
          <w:p w14:paraId="7C80D7B5">
            <w:pPr>
              <w:adjustRightInd w:val="0"/>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)筛分杂质</w:t>
            </w:r>
            <w:r>
              <w:rPr>
                <w:rFonts w:hint="eastAsia" w:ascii="宋体" w:hAnsi="宋体" w:eastAsia="宋体" w:cs="宋体"/>
                <w:color w:val="000000" w:themeColor="text1"/>
                <w:sz w:val="24"/>
                <w:lang w:val="en-US" w:eastAsia="zh-CN"/>
                <w14:textFill>
                  <w14:solidFill>
                    <w14:schemeClr w14:val="tx1"/>
                  </w14:solidFill>
                </w14:textFill>
              </w:rPr>
              <w:t>及布袋除尘器收集粉尘</w:t>
            </w:r>
          </w:p>
          <w:p w14:paraId="26A244D1">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项目在清理筛中产生的杂质主要为</w:t>
            </w:r>
            <w:r>
              <w:rPr>
                <w:rFonts w:hint="eastAsia" w:ascii="宋体" w:hAnsi="宋体" w:eastAsia="宋体" w:cs="宋体"/>
                <w:color w:val="000000" w:themeColor="text1"/>
                <w:sz w:val="24"/>
                <w:lang w:val="en-US" w:eastAsia="zh-CN"/>
                <w14:textFill>
                  <w14:solidFill>
                    <w14:schemeClr w14:val="tx1"/>
                  </w14:solidFill>
                </w14:textFill>
              </w:rPr>
              <w:t>谷壳、</w:t>
            </w:r>
            <w:r>
              <w:rPr>
                <w:rFonts w:hint="eastAsia" w:ascii="宋体" w:hAnsi="宋体" w:eastAsia="宋体" w:cs="宋体"/>
                <w:color w:val="000000" w:themeColor="text1"/>
                <w:sz w:val="24"/>
                <w14:textFill>
                  <w14:solidFill>
                    <w14:schemeClr w14:val="tx1"/>
                  </w14:solidFill>
                </w14:textFill>
              </w:rPr>
              <w:t>杂草、稻叶等，</w:t>
            </w:r>
            <w:r>
              <w:rPr>
                <w:rFonts w:hint="eastAsia" w:ascii="宋体" w:hAnsi="宋体" w:eastAsia="宋体" w:cs="宋体"/>
                <w:color w:val="000000" w:themeColor="text1"/>
                <w:sz w:val="24"/>
                <w:lang w:val="en-US" w:eastAsia="zh-CN"/>
                <w14:textFill>
                  <w14:solidFill>
                    <w14:schemeClr w14:val="tx1"/>
                  </w14:solidFill>
                </w14:textFill>
              </w:rPr>
              <w:t>水稻饱和率根据当年的气候，作物生长情况等，</w:t>
            </w:r>
            <w:r>
              <w:rPr>
                <w:rFonts w:hint="eastAsia" w:ascii="宋体" w:hAnsi="宋体" w:eastAsia="宋体" w:cs="宋体"/>
                <w:color w:val="000000" w:themeColor="text1"/>
                <w:sz w:val="24"/>
                <w14:textFill>
                  <w14:solidFill>
                    <w14:schemeClr w14:val="tx1"/>
                  </w14:solidFill>
                </w14:textFill>
              </w:rPr>
              <w:t>项目</w:t>
            </w:r>
            <w:r>
              <w:rPr>
                <w:rFonts w:hint="eastAsia" w:ascii="宋体" w:hAnsi="宋体" w:eastAsia="宋体" w:cs="宋体"/>
                <w:color w:val="000000" w:themeColor="text1"/>
                <w:sz w:val="24"/>
                <w:lang w:val="en-US" w:eastAsia="zh-CN"/>
                <w14:textFill>
                  <w14:solidFill>
                    <w14:schemeClr w14:val="tx1"/>
                  </w14:solidFill>
                </w14:textFill>
              </w:rPr>
              <w:t>水稻每年的饱和率不一致，根据本环评筛分废气章节分析，</w:t>
            </w:r>
            <w:r>
              <w:rPr>
                <w:rFonts w:hint="eastAsia" w:ascii="宋体" w:hAnsi="宋体" w:eastAsia="宋体" w:cs="宋体"/>
                <w:color w:val="000000" w:themeColor="text1"/>
                <w:sz w:val="24"/>
                <w14:textFill>
                  <w14:solidFill>
                    <w14:schemeClr w14:val="tx1"/>
                  </w14:solidFill>
                </w14:textFill>
              </w:rPr>
              <w:t>收集的杂质</w:t>
            </w:r>
            <w:r>
              <w:rPr>
                <w:rFonts w:hint="eastAsia" w:ascii="宋体" w:hAnsi="宋体" w:eastAsia="宋体" w:cs="宋体"/>
                <w:color w:val="000000" w:themeColor="text1"/>
                <w:sz w:val="24"/>
                <w:lang w:val="en-US" w:eastAsia="zh-CN"/>
                <w14:textFill>
                  <w14:solidFill>
                    <w14:schemeClr w14:val="tx1"/>
                  </w14:solidFill>
                </w14:textFill>
              </w:rPr>
              <w:t>及布袋除尘器颗粒物</w:t>
            </w:r>
            <w:r>
              <w:rPr>
                <w:rFonts w:hint="eastAsia" w:ascii="宋体" w:hAnsi="宋体" w:eastAsia="宋体" w:cs="宋体"/>
                <w:color w:val="000000" w:themeColor="text1"/>
                <w:sz w:val="24"/>
                <w14:textFill>
                  <w14:solidFill>
                    <w14:schemeClr w14:val="tx1"/>
                  </w14:solidFill>
                </w14:textFill>
              </w:rPr>
              <w:t>总量</w:t>
            </w:r>
            <w:r>
              <w:rPr>
                <w:rFonts w:hint="eastAsia" w:ascii="宋体" w:hAnsi="宋体" w:eastAsia="宋体" w:cs="宋体"/>
                <w:color w:val="000000" w:themeColor="text1"/>
                <w:sz w:val="24"/>
                <w:lang w:val="en-US" w:eastAsia="zh-CN"/>
                <w14:textFill>
                  <w14:solidFill>
                    <w14:schemeClr w14:val="tx1"/>
                  </w14:solidFill>
                </w14:textFill>
              </w:rPr>
              <w:t>约</w:t>
            </w:r>
            <w:r>
              <w:rPr>
                <w:rFonts w:hint="eastAsia" w:ascii="宋体" w:hAnsi="宋体" w:eastAsia="宋体" w:cs="宋体"/>
                <w:color w:val="000000" w:themeColor="text1"/>
                <w:sz w:val="24"/>
                <w14:textFill>
                  <w14:solidFill>
                    <w14:schemeClr w14:val="tx1"/>
                  </w14:solidFill>
                </w14:textFill>
              </w:rPr>
              <w:t>为</w:t>
            </w:r>
            <w:r>
              <w:rPr>
                <w:rFonts w:hint="eastAsia" w:ascii="宋体" w:hAnsi="宋体" w:cs="宋体"/>
                <w:color w:val="000000" w:themeColor="text1"/>
                <w:sz w:val="24"/>
                <w:lang w:val="en-US" w:eastAsia="zh-CN"/>
                <w14:textFill>
                  <w14:solidFill>
                    <w14:schemeClr w14:val="tx1"/>
                  </w14:solidFill>
                </w14:textFill>
              </w:rPr>
              <w:t>31.452</w:t>
            </w:r>
            <w:r>
              <w:rPr>
                <w:rFonts w:hint="eastAsia" w:ascii="宋体" w:hAnsi="宋体" w:eastAsia="宋体" w:cs="宋体"/>
                <w:color w:val="000000" w:themeColor="text1"/>
                <w:sz w:val="24"/>
                <w14:textFill>
                  <w14:solidFill>
                    <w14:schemeClr w14:val="tx1"/>
                  </w14:solidFill>
                </w14:textFill>
              </w:rPr>
              <w:t>t/a</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项目杂质</w:t>
            </w:r>
            <w:r>
              <w:rPr>
                <w:rFonts w:hint="eastAsia" w:ascii="宋体" w:hAnsi="宋体" w:eastAsia="宋体" w:cs="宋体"/>
                <w:color w:val="000000" w:themeColor="text1"/>
                <w:sz w:val="24"/>
                <w14:textFill>
                  <w14:solidFill>
                    <w14:schemeClr w14:val="tx1"/>
                  </w14:solidFill>
                </w14:textFill>
              </w:rPr>
              <w:t>袋</w:t>
            </w:r>
            <w:r>
              <w:rPr>
                <w:rFonts w:hint="eastAsia" w:ascii="宋体" w:hAnsi="宋体" w:eastAsia="宋体" w:cs="宋体"/>
                <w:color w:val="000000" w:themeColor="text1"/>
                <w:sz w:val="24"/>
                <w:lang w:val="en-US" w:eastAsia="zh-CN"/>
                <w14:textFill>
                  <w14:solidFill>
                    <w14:schemeClr w14:val="tx1"/>
                  </w14:solidFill>
                </w14:textFill>
              </w:rPr>
              <w:t>装后用于合作社堆沤农家肥。</w:t>
            </w:r>
          </w:p>
          <w:p w14:paraId="34E19F63">
            <w:pPr>
              <w:adjustRightInd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炉渣炉灰</w:t>
            </w:r>
          </w:p>
          <w:p w14:paraId="6C2A5F6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根据生物质颗粒物检测报告，灰分为1.43%</w:t>
            </w:r>
            <w:r>
              <w:rPr>
                <w:rFonts w:hint="eastAsia" w:ascii="宋体" w:hAnsi="宋体" w:eastAsia="宋体" w:cs="宋体"/>
                <w:color w:val="auto"/>
                <w:sz w:val="24"/>
              </w:rPr>
              <w:t>，</w:t>
            </w:r>
            <w:r>
              <w:rPr>
                <w:rFonts w:hint="eastAsia" w:ascii="宋体" w:hAnsi="宋体" w:cs="宋体"/>
                <w:color w:val="auto"/>
                <w:sz w:val="24"/>
                <w:lang w:val="en-US" w:eastAsia="zh-CN"/>
              </w:rPr>
              <w:t>本项目本年使用生物质颗粒物为1214.85</w:t>
            </w:r>
            <w:r>
              <w:rPr>
                <w:rFonts w:hint="eastAsia" w:ascii="宋体" w:hAnsi="宋体" w:eastAsia="宋体" w:cs="宋体"/>
                <w:color w:val="auto"/>
                <w:sz w:val="24"/>
                <w:lang w:val="en-US" w:eastAsia="zh-CN"/>
              </w:rPr>
              <w:t>t/a</w:t>
            </w:r>
            <w:r>
              <w:rPr>
                <w:rFonts w:hint="eastAsia" w:ascii="宋体" w:hAnsi="宋体" w:cs="宋体"/>
                <w:color w:val="auto"/>
                <w:sz w:val="24"/>
                <w:lang w:val="en-US" w:eastAsia="zh-CN"/>
              </w:rPr>
              <w:t>，则</w:t>
            </w:r>
            <w:r>
              <w:rPr>
                <w:rFonts w:hint="eastAsia" w:ascii="宋体" w:hAnsi="宋体" w:eastAsia="宋体" w:cs="宋体"/>
                <w:color w:val="auto"/>
                <w:sz w:val="24"/>
                <w:lang w:val="en-US" w:eastAsia="zh-CN"/>
              </w:rPr>
              <w:t>每年</w:t>
            </w:r>
            <w:r>
              <w:rPr>
                <w:rFonts w:hint="eastAsia" w:ascii="宋体" w:hAnsi="宋体" w:cs="宋体"/>
                <w:color w:val="auto"/>
                <w:sz w:val="24"/>
                <w:lang w:val="en-US" w:eastAsia="zh-CN"/>
              </w:rPr>
              <w:t>产生</w:t>
            </w:r>
            <w:r>
              <w:rPr>
                <w:rFonts w:hint="eastAsia" w:ascii="宋体" w:hAnsi="宋体" w:eastAsia="宋体" w:cs="宋体"/>
                <w:color w:val="auto"/>
                <w:sz w:val="24"/>
                <w:lang w:val="en-US" w:eastAsia="zh-CN"/>
              </w:rPr>
              <w:t>的炉灰约为</w:t>
            </w:r>
            <w:r>
              <w:rPr>
                <w:rFonts w:hint="eastAsia" w:ascii="宋体" w:hAnsi="宋体" w:cs="宋体"/>
                <w:color w:val="auto"/>
                <w:sz w:val="24"/>
                <w:lang w:val="en-US" w:eastAsia="zh-CN"/>
              </w:rPr>
              <w:t>17.37</w:t>
            </w:r>
            <w:r>
              <w:rPr>
                <w:rFonts w:hint="eastAsia" w:ascii="宋体" w:hAnsi="宋体" w:eastAsia="宋体" w:cs="宋体"/>
                <w:color w:val="auto"/>
                <w:sz w:val="24"/>
              </w:rPr>
              <w:t>t/a</w:t>
            </w:r>
            <w:r>
              <w:rPr>
                <w:rFonts w:hint="eastAsia" w:ascii="宋体" w:hAnsi="宋体" w:eastAsia="宋体" w:cs="宋体"/>
                <w:color w:val="auto"/>
                <w:sz w:val="24"/>
                <w:lang w:eastAsia="zh-CN"/>
              </w:rPr>
              <w:t>。</w:t>
            </w:r>
            <w:r>
              <w:rPr>
                <w:rFonts w:hint="eastAsia" w:ascii="宋体" w:hAnsi="宋体" w:eastAsia="宋体" w:cs="宋体"/>
                <w:color w:val="auto"/>
                <w:sz w:val="24"/>
              </w:rPr>
              <w:t>炉灰袋装</w:t>
            </w:r>
            <w:r>
              <w:rPr>
                <w:rFonts w:hint="eastAsia" w:ascii="宋体" w:hAnsi="宋体" w:eastAsia="宋体" w:cs="宋体"/>
                <w:color w:val="auto"/>
                <w:sz w:val="24"/>
                <w:lang w:val="en-US" w:eastAsia="zh-CN"/>
              </w:rPr>
              <w:t>用作</w:t>
            </w:r>
            <w:r>
              <w:rPr>
                <w:rFonts w:hint="eastAsia" w:ascii="宋体" w:hAnsi="宋体" w:eastAsia="宋体" w:cs="宋体"/>
                <w:color w:val="auto"/>
                <w:sz w:val="24"/>
              </w:rPr>
              <w:t>做农肥综合利用。</w:t>
            </w:r>
          </w:p>
          <w:p w14:paraId="65B2E4A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项目一般工业固废产生及处置方式如下。</w:t>
            </w:r>
          </w:p>
          <w:p w14:paraId="779697F5">
            <w:pPr>
              <w:adjustRightInd w:val="0"/>
              <w:snapToGrid w:val="0"/>
              <w:spacing w:line="360" w:lineRule="auto"/>
              <w:ind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表4-</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项目固废产生及处置信息表</w:t>
            </w:r>
          </w:p>
          <w:tbl>
            <w:tblPr>
              <w:tblStyle w:val="29"/>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8"/>
              <w:gridCol w:w="1133"/>
              <w:gridCol w:w="1133"/>
              <w:gridCol w:w="1196"/>
              <w:gridCol w:w="1133"/>
              <w:gridCol w:w="1503"/>
              <w:gridCol w:w="1247"/>
            </w:tblGrid>
            <w:tr w14:paraId="46C312D1">
              <w:tblPrEx>
                <w:tblCellMar>
                  <w:top w:w="0" w:type="dxa"/>
                  <w:left w:w="0" w:type="dxa"/>
                  <w:bottom w:w="0" w:type="dxa"/>
                  <w:right w:w="0" w:type="dxa"/>
                </w:tblCellMar>
              </w:tblPrEx>
              <w:trPr>
                <w:trHeight w:val="964" w:hRule="atLeast"/>
              </w:trPr>
              <w:tc>
                <w:tcPr>
                  <w:tcW w:w="665" w:type="pct"/>
                  <w:vAlign w:val="center"/>
                </w:tcPr>
                <w:p w14:paraId="1A58310A">
                  <w:pPr>
                    <w:pStyle w:val="68"/>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产生环节</w:t>
                  </w:r>
                </w:p>
              </w:tc>
              <w:tc>
                <w:tcPr>
                  <w:tcW w:w="668" w:type="pct"/>
                  <w:vAlign w:val="center"/>
                </w:tcPr>
                <w:p w14:paraId="7D164F1B">
                  <w:pPr>
                    <w:pStyle w:val="68"/>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固废名称</w:t>
                  </w:r>
                </w:p>
              </w:tc>
              <w:tc>
                <w:tcPr>
                  <w:tcW w:w="668" w:type="pct"/>
                  <w:vAlign w:val="center"/>
                </w:tcPr>
                <w:p w14:paraId="294C02BB">
                  <w:pPr>
                    <w:pStyle w:val="68"/>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属性</w:t>
                  </w:r>
                </w:p>
              </w:tc>
              <w:tc>
                <w:tcPr>
                  <w:tcW w:w="705" w:type="pct"/>
                  <w:vAlign w:val="center"/>
                </w:tcPr>
                <w:p w14:paraId="3337672B">
                  <w:pPr>
                    <w:pStyle w:val="68"/>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产生量（t/a</w:t>
                  </w:r>
                </w:p>
              </w:tc>
              <w:tc>
                <w:tcPr>
                  <w:tcW w:w="668" w:type="pct"/>
                  <w:vAlign w:val="center"/>
                </w:tcPr>
                <w:p w14:paraId="4CAD75ED">
                  <w:pPr>
                    <w:pStyle w:val="68"/>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）贮存方式</w:t>
                  </w:r>
                </w:p>
              </w:tc>
              <w:tc>
                <w:tcPr>
                  <w:tcW w:w="886" w:type="pct"/>
                  <w:vAlign w:val="center"/>
                </w:tcPr>
                <w:p w14:paraId="1410FBFA">
                  <w:pPr>
                    <w:pStyle w:val="68"/>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利用处置方式和去向</w:t>
                  </w:r>
                </w:p>
              </w:tc>
              <w:tc>
                <w:tcPr>
                  <w:tcW w:w="735" w:type="pct"/>
                  <w:vAlign w:val="center"/>
                </w:tcPr>
                <w:p w14:paraId="1F090305">
                  <w:pPr>
                    <w:pStyle w:val="68"/>
                    <w:bidi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利用或处置量（t/a）</w:t>
                  </w:r>
                </w:p>
              </w:tc>
            </w:tr>
            <w:tr w14:paraId="01234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5" w:type="pct"/>
                  <w:vAlign w:val="center"/>
                </w:tcPr>
                <w:p w14:paraId="66EA4426">
                  <w:pPr>
                    <w:pStyle w:val="68"/>
                    <w:bidi w:val="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沙克隆+沉降室</w:t>
                  </w:r>
                  <w:r>
                    <w:rPr>
                      <w:rFonts w:hint="eastAsia" w:ascii="宋体" w:hAnsi="宋体" w:cs="宋体"/>
                      <w:color w:val="000000" w:themeColor="text1"/>
                      <w:sz w:val="21"/>
                      <w:szCs w:val="21"/>
                      <w:lang w:val="en-US" w:eastAsia="zh-CN"/>
                      <w14:textFill>
                        <w14:solidFill>
                          <w14:schemeClr w14:val="tx1"/>
                        </w14:solidFill>
                      </w14:textFill>
                    </w:rPr>
                    <w:t>、布袋除尘器、筛分</w:t>
                  </w:r>
                </w:p>
              </w:tc>
              <w:tc>
                <w:tcPr>
                  <w:tcW w:w="668" w:type="pct"/>
                  <w:vAlign w:val="center"/>
                </w:tcPr>
                <w:p w14:paraId="638FF3F9">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筛分杂质及粉尘</w:t>
                  </w:r>
                </w:p>
              </w:tc>
              <w:tc>
                <w:tcPr>
                  <w:tcW w:w="668" w:type="pct"/>
                  <w:vMerge w:val="restart"/>
                  <w:tcBorders>
                    <w:top w:val="nil"/>
                  </w:tcBorders>
                  <w:vAlign w:val="center"/>
                </w:tcPr>
                <w:p w14:paraId="7BB3098C">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一般工业固体废物</w:t>
                  </w:r>
                </w:p>
              </w:tc>
              <w:tc>
                <w:tcPr>
                  <w:tcW w:w="705" w:type="pct"/>
                  <w:vAlign w:val="center"/>
                </w:tcPr>
                <w:p w14:paraId="468126DB">
                  <w:pPr>
                    <w:pStyle w:val="68"/>
                    <w:bidi w:val="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31.452</w:t>
                  </w:r>
                </w:p>
              </w:tc>
              <w:tc>
                <w:tcPr>
                  <w:tcW w:w="668" w:type="pct"/>
                  <w:vAlign w:val="center"/>
                </w:tcPr>
                <w:p w14:paraId="424578E7">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袋装收集</w:t>
                  </w:r>
                </w:p>
              </w:tc>
              <w:tc>
                <w:tcPr>
                  <w:tcW w:w="886" w:type="pct"/>
                  <w:vAlign w:val="center"/>
                </w:tcPr>
                <w:p w14:paraId="68EC1641">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用于合作社堆沤农家肥</w:t>
                  </w:r>
                </w:p>
              </w:tc>
              <w:tc>
                <w:tcPr>
                  <w:tcW w:w="735" w:type="pct"/>
                  <w:vAlign w:val="center"/>
                </w:tcPr>
                <w:p w14:paraId="46914E8A">
                  <w:pPr>
                    <w:pStyle w:val="68"/>
                    <w:bidi w:val="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31.452</w:t>
                  </w:r>
                </w:p>
              </w:tc>
            </w:tr>
            <w:tr w14:paraId="3B2B7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5" w:type="pct"/>
                  <w:vAlign w:val="center"/>
                </w:tcPr>
                <w:p w14:paraId="729AADD0">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生物质锅炉</w:t>
                  </w:r>
                </w:p>
              </w:tc>
              <w:tc>
                <w:tcPr>
                  <w:tcW w:w="668" w:type="pct"/>
                  <w:vAlign w:val="center"/>
                </w:tcPr>
                <w:p w14:paraId="7695B282">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炉渣炉灰</w:t>
                  </w:r>
                </w:p>
              </w:tc>
              <w:tc>
                <w:tcPr>
                  <w:tcW w:w="668" w:type="pct"/>
                  <w:vMerge w:val="continue"/>
                  <w:vAlign w:val="center"/>
                </w:tcPr>
                <w:p w14:paraId="120A328E">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p>
              </w:tc>
              <w:tc>
                <w:tcPr>
                  <w:tcW w:w="705" w:type="pct"/>
                  <w:vAlign w:val="center"/>
                </w:tcPr>
                <w:p w14:paraId="74AEEEE8">
                  <w:pPr>
                    <w:pStyle w:val="68"/>
                    <w:bidi w:val="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17.37</w:t>
                  </w:r>
                </w:p>
              </w:tc>
              <w:tc>
                <w:tcPr>
                  <w:tcW w:w="668" w:type="pct"/>
                  <w:vAlign w:val="center"/>
                </w:tcPr>
                <w:p w14:paraId="59E39282">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袋装收集</w:t>
                  </w:r>
                </w:p>
              </w:tc>
              <w:tc>
                <w:tcPr>
                  <w:tcW w:w="886" w:type="pct"/>
                  <w:vAlign w:val="center"/>
                </w:tcPr>
                <w:p w14:paraId="3427A384">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炉灰袋装用作做农肥综合利用</w:t>
                  </w:r>
                </w:p>
              </w:tc>
              <w:tc>
                <w:tcPr>
                  <w:tcW w:w="735" w:type="pct"/>
                  <w:vAlign w:val="center"/>
                </w:tcPr>
                <w:p w14:paraId="60F1AFDE">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17.37</w:t>
                  </w:r>
                </w:p>
              </w:tc>
            </w:tr>
            <w:tr w14:paraId="3D93C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65" w:type="pct"/>
                  <w:vAlign w:val="center"/>
                </w:tcPr>
                <w:p w14:paraId="1431C432">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生活办公</w:t>
                  </w:r>
                </w:p>
              </w:tc>
              <w:tc>
                <w:tcPr>
                  <w:tcW w:w="668" w:type="pct"/>
                  <w:vAlign w:val="center"/>
                </w:tcPr>
                <w:p w14:paraId="7156D1F0">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生活垃圾</w:t>
                  </w:r>
                </w:p>
              </w:tc>
              <w:tc>
                <w:tcPr>
                  <w:tcW w:w="668" w:type="pct"/>
                  <w:vAlign w:val="center"/>
                </w:tcPr>
                <w:p w14:paraId="7E50452B">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生活垃圾</w:t>
                  </w:r>
                </w:p>
              </w:tc>
              <w:tc>
                <w:tcPr>
                  <w:tcW w:w="705" w:type="pct"/>
                  <w:vAlign w:val="center"/>
                </w:tcPr>
                <w:p w14:paraId="6B179B01">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0.192</w:t>
                  </w:r>
                </w:p>
              </w:tc>
              <w:tc>
                <w:tcPr>
                  <w:tcW w:w="668" w:type="pct"/>
                  <w:vAlign w:val="center"/>
                </w:tcPr>
                <w:p w14:paraId="0D470D97">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分类暂存</w:t>
                  </w:r>
                </w:p>
              </w:tc>
              <w:tc>
                <w:tcPr>
                  <w:tcW w:w="886" w:type="pct"/>
                  <w:vAlign w:val="center"/>
                </w:tcPr>
                <w:p w14:paraId="48E12384">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环卫部门清运</w:t>
                  </w:r>
                </w:p>
              </w:tc>
              <w:tc>
                <w:tcPr>
                  <w:tcW w:w="735" w:type="pct"/>
                  <w:vAlign w:val="center"/>
                </w:tcPr>
                <w:p w14:paraId="3E1AF493">
                  <w:pPr>
                    <w:pStyle w:val="68"/>
                    <w:bidi w:val="0"/>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0.192</w:t>
                  </w:r>
                </w:p>
              </w:tc>
            </w:tr>
          </w:tbl>
          <w:p w14:paraId="5DA506D3">
            <w:pPr>
              <w:adjustRightInd w:val="0"/>
              <w:snapToGrid w:val="0"/>
              <w:spacing w:line="360" w:lineRule="auto"/>
              <w:ind w:firstLine="480" w:firstLineChars="200"/>
              <w:rPr>
                <w:rFonts w:hint="eastAsia" w:eastAsia="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本环评要求以上所有</w:t>
            </w:r>
            <w:r>
              <w:rPr>
                <w:rFonts w:hint="eastAsia" w:ascii="宋体" w:hAnsi="宋体" w:eastAsia="宋体" w:cs="宋体"/>
                <w:color w:val="000000" w:themeColor="text1"/>
                <w:sz w:val="24"/>
                <w:lang w:val="en-US" w:eastAsia="zh-CN"/>
                <w14:textFill>
                  <w14:solidFill>
                    <w14:schemeClr w14:val="tx1"/>
                  </w14:solidFill>
                </w14:textFill>
              </w:rPr>
              <w:t>固废</w:t>
            </w:r>
            <w:r>
              <w:rPr>
                <w:rFonts w:hint="eastAsia" w:ascii="宋体" w:hAnsi="宋体" w:eastAsia="宋体" w:cs="宋体"/>
                <w:color w:val="000000" w:themeColor="text1"/>
                <w:sz w:val="24"/>
                <w14:textFill>
                  <w14:solidFill>
                    <w14:schemeClr w14:val="tx1"/>
                  </w14:solidFill>
                </w14:textFill>
              </w:rPr>
              <w:t>按照“减量化、资源化、无责化”处理原则，加强固体皮物的内部管理，</w:t>
            </w:r>
            <w:r>
              <w:rPr>
                <w:rFonts w:hint="eastAsia" w:ascii="宋体" w:hAnsi="宋体" w:eastAsia="宋体" w:cs="宋体"/>
                <w:color w:val="000000" w:themeColor="text1"/>
                <w:sz w:val="24"/>
                <w:lang w:val="en-US" w:eastAsia="zh-CN"/>
                <w14:textFill>
                  <w14:solidFill>
                    <w14:schemeClr w14:val="tx1"/>
                  </w14:solidFill>
                </w14:textFill>
              </w:rPr>
              <w:t>一般固废</w:t>
            </w:r>
            <w:r>
              <w:rPr>
                <w:rFonts w:hint="eastAsia" w:ascii="宋体" w:hAnsi="宋体" w:eastAsia="宋体" w:cs="宋体"/>
                <w:color w:val="000000" w:themeColor="text1"/>
                <w:sz w:val="24"/>
                <w14:textFill>
                  <w14:solidFill>
                    <w14:schemeClr w14:val="tx1"/>
                  </w14:solidFill>
                </w14:textFill>
              </w:rPr>
              <w:t>在厂内</w:t>
            </w:r>
            <w:r>
              <w:rPr>
                <w:rFonts w:hint="eastAsia" w:ascii="宋体" w:hAnsi="宋体" w:eastAsia="宋体" w:cs="宋体"/>
                <w:color w:val="000000" w:themeColor="text1"/>
                <w:sz w:val="24"/>
                <w:lang w:val="en-US" w:eastAsia="zh-CN"/>
                <w14:textFill>
                  <w14:solidFill>
                    <w14:schemeClr w14:val="tx1"/>
                  </w14:solidFill>
                </w14:textFill>
              </w:rPr>
              <w:t>暂存</w:t>
            </w:r>
            <w:r>
              <w:rPr>
                <w:rFonts w:hint="eastAsia" w:ascii="宋体" w:hAnsi="宋体" w:eastAsia="宋体" w:cs="宋体"/>
                <w:color w:val="000000" w:themeColor="text1"/>
                <w:sz w:val="24"/>
                <w14:textFill>
                  <w14:solidFill>
                    <w14:schemeClr w14:val="tx1"/>
                  </w14:solidFill>
                </w14:textFill>
              </w:rPr>
              <w:t>应按照《一般工业固体废物贮存和填埋污染控制标准》（GB18599-2020）及其修改单的相关要求建立</w:t>
            </w:r>
            <w:r>
              <w:rPr>
                <w:rFonts w:hint="eastAsia" w:ascii="宋体" w:hAnsi="宋体" w:eastAsia="宋体" w:cs="宋体"/>
                <w:color w:val="000000" w:themeColor="text1"/>
                <w:sz w:val="24"/>
                <w:lang w:val="en-US" w:eastAsia="zh-CN"/>
                <w14:textFill>
                  <w14:solidFill>
                    <w14:schemeClr w14:val="tx1"/>
                  </w14:solidFill>
                </w14:textFill>
              </w:rPr>
              <w:t>固</w:t>
            </w:r>
            <w:r>
              <w:rPr>
                <w:rFonts w:hint="eastAsia" w:ascii="宋体" w:hAnsi="宋体" w:eastAsia="宋体" w:cs="宋体"/>
                <w:color w:val="000000" w:themeColor="text1"/>
                <w:sz w:val="24"/>
                <w14:textFill>
                  <w14:solidFill>
                    <w14:schemeClr w14:val="tx1"/>
                  </w14:solidFill>
                </w14:textFill>
              </w:rPr>
              <w:t>体</w:t>
            </w:r>
            <w:r>
              <w:rPr>
                <w:rFonts w:hint="eastAsia" w:ascii="宋体" w:hAnsi="宋体" w:eastAsia="宋体" w:cs="宋体"/>
                <w:color w:val="000000" w:themeColor="text1"/>
                <w:sz w:val="24"/>
                <w:lang w:val="en-US" w:eastAsia="zh-CN"/>
                <w14:textFill>
                  <w14:solidFill>
                    <w14:schemeClr w14:val="tx1"/>
                  </w14:solidFill>
                </w14:textFill>
              </w:rPr>
              <w:t>废</w:t>
            </w:r>
            <w:r>
              <w:rPr>
                <w:rFonts w:hint="eastAsia" w:ascii="宋体" w:hAnsi="宋体" w:eastAsia="宋体" w:cs="宋体"/>
                <w:color w:val="000000" w:themeColor="text1"/>
                <w:sz w:val="24"/>
                <w14:textFill>
                  <w14:solidFill>
                    <w14:schemeClr w14:val="tx1"/>
                  </w14:solidFill>
                </w14:textFill>
              </w:rPr>
              <w:t>物的推放场地。推放场所要</w:t>
            </w:r>
            <w:r>
              <w:rPr>
                <w:rFonts w:hint="eastAsia" w:ascii="宋体" w:hAnsi="宋体" w:eastAsia="宋体" w:cs="宋体"/>
                <w:color w:val="000000" w:themeColor="text1"/>
                <w:sz w:val="24"/>
                <w:lang w:val="en-US" w:eastAsia="zh-CN"/>
                <w14:textFill>
                  <w14:solidFill>
                    <w14:schemeClr w14:val="tx1"/>
                  </w14:solidFill>
                </w14:textFill>
              </w:rPr>
              <w:t>防</w:t>
            </w:r>
            <w:r>
              <w:rPr>
                <w:rFonts w:hint="eastAsia" w:ascii="宋体" w:hAnsi="宋体" w:eastAsia="宋体" w:cs="宋体"/>
                <w:color w:val="000000" w:themeColor="text1"/>
                <w:sz w:val="24"/>
                <w14:textFill>
                  <w14:solidFill>
                    <w14:schemeClr w14:val="tx1"/>
                  </w14:solidFill>
                </w14:textFill>
              </w:rPr>
              <w:t>风、防雨，周围应设置围墙并做好</w:t>
            </w:r>
            <w:r>
              <w:rPr>
                <w:rFonts w:hint="eastAsia" w:ascii="宋体" w:hAnsi="宋体" w:eastAsia="宋体" w:cs="宋体"/>
                <w:color w:val="000000" w:themeColor="text1"/>
                <w:sz w:val="24"/>
                <w:lang w:val="en-US" w:eastAsia="zh-CN"/>
                <w14:textFill>
                  <w14:solidFill>
                    <w14:schemeClr w14:val="tx1"/>
                  </w14:solidFill>
                </w14:textFill>
              </w:rPr>
              <w:t>密闭</w:t>
            </w:r>
            <w:r>
              <w:rPr>
                <w:rFonts w:hint="eastAsia" w:ascii="宋体" w:hAnsi="宋体" w:eastAsia="宋体" w:cs="宋体"/>
                <w:color w:val="000000" w:themeColor="text1"/>
                <w:sz w:val="24"/>
                <w14:textFill>
                  <w14:solidFill>
                    <w14:schemeClr w14:val="tx1"/>
                  </w14:solidFill>
                </w14:textFill>
              </w:rPr>
              <w:t>处理，禁止生活</w:t>
            </w:r>
            <w:r>
              <w:rPr>
                <w:rFonts w:hint="eastAsia" w:ascii="宋体" w:hAnsi="宋体" w:eastAsia="宋体" w:cs="宋体"/>
                <w:color w:val="000000" w:themeColor="text1"/>
                <w:sz w:val="24"/>
                <w:lang w:val="en-US" w:eastAsia="zh-CN"/>
                <w14:textFill>
                  <w14:solidFill>
                    <w14:schemeClr w14:val="tx1"/>
                  </w14:solidFill>
                </w14:textFill>
              </w:rPr>
              <w:t>垃圾</w:t>
            </w:r>
            <w:r>
              <w:rPr>
                <w:rFonts w:hint="eastAsia" w:ascii="宋体" w:hAnsi="宋体" w:eastAsia="宋体" w:cs="宋体"/>
                <w:color w:val="000000" w:themeColor="text1"/>
                <w:sz w:val="24"/>
                <w14:textFill>
                  <w14:solidFill>
                    <w14:schemeClr w14:val="tx1"/>
                  </w14:solidFill>
                </w14:textFill>
              </w:rPr>
              <w:t>混入。通过采取不同的处置措施和综合利用措施后，能妥</w:t>
            </w:r>
            <w:r>
              <w:rPr>
                <w:rFonts w:hint="eastAsia" w:ascii="宋体" w:hAnsi="宋体" w:eastAsia="宋体" w:cs="宋体"/>
                <w:color w:val="000000" w:themeColor="text1"/>
                <w:sz w:val="24"/>
                <w:lang w:val="en-US" w:eastAsia="zh-CN"/>
                <w14:textFill>
                  <w14:solidFill>
                    <w14:schemeClr w14:val="tx1"/>
                  </w14:solidFill>
                </w14:textFill>
              </w:rPr>
              <w:t>善</w:t>
            </w:r>
            <w:r>
              <w:rPr>
                <w:rFonts w:hint="eastAsia" w:ascii="宋体" w:hAnsi="宋体" w:eastAsia="宋体" w:cs="宋体"/>
                <w:color w:val="000000" w:themeColor="text1"/>
                <w:sz w:val="24"/>
                <w14:textFill>
                  <w14:solidFill>
                    <w14:schemeClr w14:val="tx1"/>
                  </w14:solidFill>
                </w14:textFill>
              </w:rPr>
              <w:t>解决了固体废物的污染问题，不仅实现了固体废物的资源化和无害化处理,减轻</w:t>
            </w:r>
            <w:r>
              <w:rPr>
                <w:rFonts w:hint="eastAsia" w:ascii="宋体" w:hAnsi="宋体" w:eastAsia="宋体" w:cs="宋体"/>
                <w:color w:val="000000" w:themeColor="text1"/>
                <w:sz w:val="24"/>
                <w:lang w:val="en-US" w:eastAsia="zh-CN"/>
                <w14:textFill>
                  <w14:solidFill>
                    <w14:schemeClr w14:val="tx1"/>
                  </w14:solidFill>
                </w14:textFill>
              </w:rPr>
              <w:t>了</w:t>
            </w:r>
            <w:r>
              <w:rPr>
                <w:rFonts w:hint="eastAsia" w:ascii="宋体" w:hAnsi="宋体" w:eastAsia="宋体" w:cs="宋体"/>
                <w:color w:val="000000" w:themeColor="text1"/>
                <w:sz w:val="24"/>
                <w14:textFill>
                  <w14:solidFill>
                    <w14:schemeClr w14:val="tx1"/>
                  </w14:solidFill>
                </w14:textFill>
              </w:rPr>
              <w:t>固体废物准存对环境造成的影响，而且具有较好的社公、环境和经济效益。因此。从固体废物对环境影响角度考虑，对环境无影响。</w:t>
            </w:r>
          </w:p>
          <w:p w14:paraId="4042BE0D">
            <w:pPr>
              <w:numPr>
                <w:ilvl w:val="0"/>
                <w:numId w:val="7"/>
              </w:numPr>
              <w:autoSpaceDE w:val="0"/>
              <w:autoSpaceDN w:val="0"/>
              <w:adjustRightInd w:val="0"/>
              <w:snapToGrid w:val="0"/>
              <w:spacing w:before="120" w:beforeLines="50" w:line="360" w:lineRule="auto"/>
              <w:ind w:firstLine="482" w:firstLineChars="200"/>
              <w:jc w:val="left"/>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监测计划</w:t>
            </w:r>
          </w:p>
          <w:p w14:paraId="1837F305">
            <w:pPr>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根据据《排污许可证申请与核发技术规范</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工业炉窑》（HJ1121—2020）及《排污单位自行监测技术指南总则》（HJ819-201</w:t>
            </w:r>
            <w:r>
              <w:rPr>
                <w:rFonts w:hint="eastAsia" w:ascii="宋体" w:hAnsi="宋体" w:eastAsia="宋体" w:cs="宋体"/>
                <w:color w:val="auto"/>
                <w:sz w:val="24"/>
                <w:u w:val="single"/>
                <w:lang w:val="en-US" w:eastAsia="zh-CN"/>
              </w:rPr>
              <w:t>8</w:t>
            </w:r>
            <w:r>
              <w:rPr>
                <w:rFonts w:hint="eastAsia" w:ascii="宋体" w:hAnsi="宋体" w:eastAsia="宋体" w:cs="宋体"/>
                <w:color w:val="auto"/>
                <w:sz w:val="24"/>
                <w:u w:val="single"/>
              </w:rPr>
              <w:t>），项目投产后，企业应定期组织监测。若企业不具备监测条件，需委托当地具有监测资质的单位开展监测。项目监测计划具体如下表所示。</w:t>
            </w:r>
          </w:p>
          <w:p w14:paraId="42659F36">
            <w:pPr>
              <w:keepNext/>
              <w:keepLines/>
              <w:spacing w:line="360" w:lineRule="auto"/>
              <w:jc w:val="center"/>
              <w:outlineLvl w:val="1"/>
              <w:rPr>
                <w:rFonts w:hint="eastAsia" w:ascii="宋体" w:hAnsi="宋体" w:eastAsia="宋体" w:cs="宋体"/>
                <w:bCs/>
                <w:color w:val="auto"/>
                <w:szCs w:val="32"/>
                <w:u w:val="single"/>
              </w:rPr>
            </w:pPr>
            <w:r>
              <w:rPr>
                <w:rFonts w:hint="eastAsia" w:ascii="宋体" w:hAnsi="宋体" w:eastAsia="宋体" w:cs="宋体"/>
                <w:b/>
                <w:color w:val="auto"/>
                <w:szCs w:val="21"/>
                <w:u w:val="single"/>
              </w:rPr>
              <w:t>表4-</w:t>
            </w:r>
            <w:r>
              <w:rPr>
                <w:rFonts w:hint="eastAsia" w:ascii="宋体" w:hAnsi="宋体" w:eastAsia="宋体" w:cs="宋体"/>
                <w:b/>
                <w:color w:val="auto"/>
                <w:szCs w:val="21"/>
                <w:u w:val="single"/>
                <w:lang w:val="en-US" w:eastAsia="zh-CN"/>
              </w:rPr>
              <w:t xml:space="preserve">10 </w:t>
            </w:r>
            <w:r>
              <w:rPr>
                <w:rFonts w:hint="eastAsia" w:ascii="宋体" w:hAnsi="宋体" w:eastAsia="宋体" w:cs="宋体"/>
                <w:b/>
                <w:color w:val="auto"/>
                <w:szCs w:val="21"/>
                <w:u w:val="single"/>
              </w:rPr>
              <w:t>项目</w:t>
            </w:r>
            <w:r>
              <w:rPr>
                <w:rFonts w:hint="eastAsia" w:ascii="宋体" w:hAnsi="宋体" w:eastAsia="宋体" w:cs="宋体"/>
                <w:b/>
                <w:color w:val="auto"/>
                <w:szCs w:val="21"/>
                <w:u w:val="single"/>
                <w:lang w:val="en-US" w:eastAsia="zh-CN"/>
              </w:rPr>
              <w:t>废气</w:t>
            </w:r>
            <w:r>
              <w:rPr>
                <w:rFonts w:hint="eastAsia" w:ascii="宋体" w:hAnsi="宋体" w:eastAsia="宋体" w:cs="宋体"/>
                <w:b/>
                <w:color w:val="auto"/>
                <w:szCs w:val="21"/>
                <w:u w:val="single"/>
              </w:rPr>
              <w:t>监测计划</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2556"/>
              <w:gridCol w:w="2549"/>
              <w:gridCol w:w="1893"/>
            </w:tblGrid>
            <w:tr w14:paraId="4336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3" w:type="pct"/>
                  <w:vAlign w:val="center"/>
                </w:tcPr>
                <w:p w14:paraId="1481E1E2">
                  <w:pPr>
                    <w:widowControl/>
                    <w:adjustRightInd w:val="0"/>
                    <w:snapToGrid w:val="0"/>
                    <w:jc w:val="center"/>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项目</w:t>
                  </w:r>
                </w:p>
              </w:tc>
              <w:tc>
                <w:tcPr>
                  <w:tcW w:w="1507" w:type="pct"/>
                  <w:vAlign w:val="center"/>
                </w:tcPr>
                <w:p w14:paraId="36D6E6DB">
                  <w:pPr>
                    <w:widowControl/>
                    <w:adjustRightInd w:val="0"/>
                    <w:snapToGrid w:val="0"/>
                    <w:jc w:val="center"/>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监测点位</w:t>
                  </w:r>
                </w:p>
              </w:tc>
              <w:tc>
                <w:tcPr>
                  <w:tcW w:w="1503" w:type="pct"/>
                  <w:vAlign w:val="center"/>
                </w:tcPr>
                <w:p w14:paraId="3925DB37">
                  <w:pPr>
                    <w:widowControl/>
                    <w:adjustRightInd w:val="0"/>
                    <w:snapToGrid w:val="0"/>
                    <w:jc w:val="center"/>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监测指标</w:t>
                  </w:r>
                </w:p>
              </w:tc>
              <w:tc>
                <w:tcPr>
                  <w:tcW w:w="1116" w:type="pct"/>
                  <w:vAlign w:val="center"/>
                </w:tcPr>
                <w:p w14:paraId="0AF4581D">
                  <w:pPr>
                    <w:widowControl/>
                    <w:adjustRightInd w:val="0"/>
                    <w:snapToGrid w:val="0"/>
                    <w:jc w:val="center"/>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监测频次</w:t>
                  </w:r>
                </w:p>
              </w:tc>
            </w:tr>
            <w:tr w14:paraId="3C91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3" w:type="pct"/>
                  <w:vAlign w:val="center"/>
                </w:tcPr>
                <w:p w14:paraId="1630BAEB">
                  <w:pPr>
                    <w:widowControl/>
                    <w:adjustRightInd w:val="0"/>
                    <w:snapToGrid w:val="0"/>
                    <w:jc w:val="center"/>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lang w:val="en-US" w:eastAsia="zh-CN"/>
                    </w:rPr>
                    <w:t>有组织废气</w:t>
                  </w:r>
                </w:p>
              </w:tc>
              <w:tc>
                <w:tcPr>
                  <w:tcW w:w="1507" w:type="pct"/>
                  <w:vAlign w:val="center"/>
                </w:tcPr>
                <w:p w14:paraId="194B55C9">
                  <w:pPr>
                    <w:widowControl/>
                    <w:adjustRightInd w:val="0"/>
                    <w:snapToGrid w:val="0"/>
                    <w:jc w:val="center"/>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lang w:val="en-US" w:eastAsia="zh-CN"/>
                    </w:rPr>
                    <w:t>DA001综合排气口</w:t>
                  </w:r>
                </w:p>
              </w:tc>
              <w:tc>
                <w:tcPr>
                  <w:tcW w:w="1503" w:type="pct"/>
                  <w:vAlign w:val="center"/>
                </w:tcPr>
                <w:p w14:paraId="3766E3F7">
                  <w:pPr>
                    <w:widowControl/>
                    <w:adjustRightInd w:val="0"/>
                    <w:snapToGrid w:val="0"/>
                    <w:jc w:val="center"/>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lang w:val="en-US" w:eastAsia="zh-CN"/>
                    </w:rPr>
                    <w:t>颗粒物、SO</w:t>
                  </w:r>
                  <w:r>
                    <w:rPr>
                      <w:rFonts w:hint="eastAsia" w:ascii="宋体" w:hAnsi="宋体" w:eastAsia="宋体" w:cs="宋体"/>
                      <w:color w:val="auto"/>
                      <w:szCs w:val="21"/>
                      <w:u w:val="single"/>
                      <w:vertAlign w:val="subscript"/>
                      <w:lang w:val="en-US" w:eastAsia="zh-CN"/>
                    </w:rPr>
                    <w:t>2</w:t>
                  </w:r>
                  <w:r>
                    <w:rPr>
                      <w:rFonts w:hint="eastAsia" w:ascii="宋体" w:hAnsi="宋体" w:eastAsia="宋体" w:cs="宋体"/>
                      <w:color w:val="auto"/>
                      <w:szCs w:val="21"/>
                      <w:u w:val="single"/>
                      <w:lang w:val="en-US" w:eastAsia="zh-CN"/>
                    </w:rPr>
                    <w:t>、NO</w:t>
                  </w:r>
                  <w:r>
                    <w:rPr>
                      <w:rFonts w:hint="eastAsia" w:ascii="宋体" w:hAnsi="宋体" w:eastAsia="宋体" w:cs="宋体"/>
                      <w:color w:val="auto"/>
                      <w:szCs w:val="21"/>
                      <w:u w:val="single"/>
                      <w:vertAlign w:val="subscript"/>
                      <w:lang w:val="en-US" w:eastAsia="zh-CN"/>
                    </w:rPr>
                    <w:t>X</w:t>
                  </w:r>
                </w:p>
              </w:tc>
              <w:tc>
                <w:tcPr>
                  <w:tcW w:w="1116" w:type="pct"/>
                  <w:vAlign w:val="center"/>
                </w:tcPr>
                <w:p w14:paraId="6810B9AC">
                  <w:pPr>
                    <w:widowControl/>
                    <w:adjustRightInd w:val="0"/>
                    <w:snapToGrid w:val="0"/>
                    <w:jc w:val="center"/>
                    <w:rPr>
                      <w:rFonts w:hint="eastAsia" w:ascii="宋体" w:hAnsi="宋体" w:eastAsia="宋体" w:cs="宋体"/>
                      <w:color w:val="auto"/>
                      <w:szCs w:val="21"/>
                      <w:u w:val="single"/>
                      <w:lang w:eastAsia="zh-CN"/>
                    </w:rPr>
                  </w:pPr>
                  <w:r>
                    <w:rPr>
                      <w:rFonts w:hint="eastAsia" w:ascii="宋体" w:hAnsi="宋体" w:eastAsia="宋体" w:cs="宋体"/>
                      <w:color w:val="auto"/>
                      <w:szCs w:val="21"/>
                      <w:u w:val="single"/>
                    </w:rPr>
                    <w:t>1次/</w:t>
                  </w:r>
                  <w:r>
                    <w:rPr>
                      <w:rFonts w:hint="eastAsia" w:ascii="宋体" w:hAnsi="宋体" w:eastAsia="宋体" w:cs="宋体"/>
                      <w:color w:val="auto"/>
                      <w:szCs w:val="21"/>
                      <w:u w:val="single"/>
                      <w:lang w:val="en-US" w:eastAsia="zh-CN"/>
                    </w:rPr>
                    <w:t>年</w:t>
                  </w:r>
                </w:p>
              </w:tc>
            </w:tr>
            <w:tr w14:paraId="12F9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3" w:type="pct"/>
                  <w:vAlign w:val="center"/>
                </w:tcPr>
                <w:p w14:paraId="08E87AA8">
                  <w:pPr>
                    <w:widowControl/>
                    <w:adjustRightInd w:val="0"/>
                    <w:snapToGrid w:val="0"/>
                    <w:jc w:val="center"/>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lang w:val="en-US" w:eastAsia="zh-CN"/>
                    </w:rPr>
                    <w:t>无组织废物</w:t>
                  </w:r>
                </w:p>
              </w:tc>
              <w:tc>
                <w:tcPr>
                  <w:tcW w:w="1507" w:type="pct"/>
                  <w:vAlign w:val="center"/>
                </w:tcPr>
                <w:p w14:paraId="52959F45">
                  <w:pPr>
                    <w:widowControl/>
                    <w:adjustRightInd w:val="0"/>
                    <w:snapToGrid w:val="0"/>
                    <w:jc w:val="center"/>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lang w:val="en-US" w:eastAsia="zh-CN"/>
                    </w:rPr>
                    <w:t>厂界上、下风向</w:t>
                  </w:r>
                </w:p>
              </w:tc>
              <w:tc>
                <w:tcPr>
                  <w:tcW w:w="1503" w:type="pct"/>
                  <w:vAlign w:val="center"/>
                </w:tcPr>
                <w:p w14:paraId="366984AB">
                  <w:pPr>
                    <w:widowControl/>
                    <w:adjustRightInd w:val="0"/>
                    <w:snapToGrid w:val="0"/>
                    <w:jc w:val="center"/>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lang w:val="en-US" w:eastAsia="zh-CN"/>
                    </w:rPr>
                    <w:t>颗粒物</w:t>
                  </w:r>
                </w:p>
              </w:tc>
              <w:tc>
                <w:tcPr>
                  <w:tcW w:w="1116" w:type="pct"/>
                  <w:vAlign w:val="center"/>
                </w:tcPr>
                <w:p w14:paraId="5124457D">
                  <w:pPr>
                    <w:widowControl/>
                    <w:adjustRightInd w:val="0"/>
                    <w:snapToGrid w:val="0"/>
                    <w:jc w:val="center"/>
                    <w:rPr>
                      <w:rFonts w:hint="eastAsia" w:ascii="宋体" w:hAnsi="宋体" w:eastAsia="宋体" w:cs="宋体"/>
                      <w:color w:val="auto"/>
                      <w:szCs w:val="21"/>
                      <w:u w:val="single"/>
                    </w:rPr>
                  </w:pPr>
                  <w:r>
                    <w:rPr>
                      <w:rFonts w:hint="eastAsia" w:ascii="宋体" w:hAnsi="宋体" w:eastAsia="宋体" w:cs="宋体"/>
                      <w:color w:val="auto"/>
                      <w:szCs w:val="21"/>
                      <w:u w:val="single"/>
                    </w:rPr>
                    <w:t>1次/</w:t>
                  </w:r>
                  <w:r>
                    <w:rPr>
                      <w:rFonts w:hint="eastAsia" w:ascii="宋体" w:hAnsi="宋体" w:eastAsia="宋体" w:cs="宋体"/>
                      <w:color w:val="auto"/>
                      <w:szCs w:val="21"/>
                      <w:u w:val="single"/>
                      <w:lang w:val="en-US" w:eastAsia="zh-CN"/>
                    </w:rPr>
                    <w:t>年</w:t>
                  </w:r>
                </w:p>
              </w:tc>
            </w:tr>
          </w:tbl>
          <w:p w14:paraId="70E91CB3">
            <w:pPr>
              <w:keepNext/>
              <w:keepLines/>
              <w:spacing w:line="360" w:lineRule="auto"/>
              <w:jc w:val="center"/>
              <w:outlineLvl w:val="1"/>
              <w:rPr>
                <w:rFonts w:hint="eastAsia" w:ascii="宋体" w:hAnsi="宋体" w:eastAsia="宋体" w:cs="宋体"/>
                <w:bCs/>
                <w:color w:val="auto"/>
                <w:szCs w:val="32"/>
                <w:u w:val="single"/>
              </w:rPr>
            </w:pPr>
            <w:r>
              <w:rPr>
                <w:rFonts w:hint="eastAsia" w:ascii="宋体" w:hAnsi="宋体" w:eastAsia="宋体" w:cs="宋体"/>
                <w:b/>
                <w:color w:val="auto"/>
                <w:szCs w:val="21"/>
                <w:u w:val="single"/>
              </w:rPr>
              <w:t>表4-</w:t>
            </w:r>
            <w:r>
              <w:rPr>
                <w:rFonts w:hint="eastAsia" w:ascii="宋体" w:hAnsi="宋体" w:eastAsia="宋体" w:cs="宋体"/>
                <w:b/>
                <w:color w:val="auto"/>
                <w:szCs w:val="21"/>
                <w:u w:val="single"/>
                <w:lang w:val="en-US" w:eastAsia="zh-CN"/>
              </w:rPr>
              <w:t>11</w:t>
            </w:r>
            <w:r>
              <w:rPr>
                <w:rFonts w:hint="eastAsia" w:ascii="宋体" w:hAnsi="宋体" w:eastAsia="宋体" w:cs="宋体"/>
                <w:b/>
                <w:color w:val="auto"/>
                <w:szCs w:val="21"/>
                <w:u w:val="single"/>
              </w:rPr>
              <w:t>项目噪声监测计划</w:t>
            </w:r>
          </w:p>
          <w:tbl>
            <w:tblPr>
              <w:tblStyle w:val="29"/>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929"/>
              <w:gridCol w:w="1625"/>
              <w:gridCol w:w="2112"/>
              <w:gridCol w:w="1566"/>
            </w:tblGrid>
            <w:tr w14:paraId="3BC7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5" w:type="pct"/>
                  <w:vAlign w:val="center"/>
                </w:tcPr>
                <w:p w14:paraId="3BB84E44">
                  <w:pPr>
                    <w:widowControl/>
                    <w:adjustRightInd w:val="0"/>
                    <w:snapToGrid w:val="0"/>
                    <w:jc w:val="center"/>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项目</w:t>
                  </w:r>
                </w:p>
              </w:tc>
              <w:tc>
                <w:tcPr>
                  <w:tcW w:w="1140" w:type="pct"/>
                  <w:vAlign w:val="center"/>
                </w:tcPr>
                <w:p w14:paraId="7F80F502">
                  <w:pPr>
                    <w:widowControl/>
                    <w:adjustRightInd w:val="0"/>
                    <w:snapToGrid w:val="0"/>
                    <w:jc w:val="center"/>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监测点位</w:t>
                  </w:r>
                </w:p>
              </w:tc>
              <w:tc>
                <w:tcPr>
                  <w:tcW w:w="960" w:type="pct"/>
                  <w:vAlign w:val="center"/>
                </w:tcPr>
                <w:p w14:paraId="1A3BD55E">
                  <w:pPr>
                    <w:widowControl/>
                    <w:adjustRightInd w:val="0"/>
                    <w:snapToGrid w:val="0"/>
                    <w:jc w:val="center"/>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监测时段</w:t>
                  </w:r>
                </w:p>
              </w:tc>
              <w:tc>
                <w:tcPr>
                  <w:tcW w:w="1248" w:type="pct"/>
                  <w:vAlign w:val="center"/>
                </w:tcPr>
                <w:p w14:paraId="53237026">
                  <w:pPr>
                    <w:widowControl/>
                    <w:adjustRightInd w:val="0"/>
                    <w:snapToGrid w:val="0"/>
                    <w:jc w:val="center"/>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监测指标</w:t>
                  </w:r>
                </w:p>
              </w:tc>
              <w:tc>
                <w:tcPr>
                  <w:tcW w:w="925" w:type="pct"/>
                  <w:vAlign w:val="center"/>
                </w:tcPr>
                <w:p w14:paraId="40492F9E">
                  <w:pPr>
                    <w:widowControl/>
                    <w:adjustRightInd w:val="0"/>
                    <w:snapToGrid w:val="0"/>
                    <w:jc w:val="center"/>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监测频次</w:t>
                  </w:r>
                </w:p>
              </w:tc>
            </w:tr>
            <w:tr w14:paraId="56E2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5" w:type="pct"/>
                  <w:vAlign w:val="center"/>
                </w:tcPr>
                <w:p w14:paraId="1054EA1A">
                  <w:pPr>
                    <w:widowControl/>
                    <w:adjustRightInd w:val="0"/>
                    <w:snapToGrid w:val="0"/>
                    <w:jc w:val="center"/>
                    <w:rPr>
                      <w:rFonts w:hint="eastAsia" w:ascii="宋体" w:hAnsi="宋体" w:eastAsia="宋体" w:cs="宋体"/>
                      <w:color w:val="auto"/>
                      <w:szCs w:val="21"/>
                      <w:u w:val="single"/>
                    </w:rPr>
                  </w:pPr>
                  <w:r>
                    <w:rPr>
                      <w:rFonts w:hint="eastAsia" w:ascii="宋体" w:hAnsi="宋体" w:eastAsia="宋体" w:cs="宋体"/>
                      <w:color w:val="auto"/>
                      <w:szCs w:val="21"/>
                      <w:u w:val="single"/>
                    </w:rPr>
                    <w:t>噪声</w:t>
                  </w:r>
                </w:p>
              </w:tc>
              <w:tc>
                <w:tcPr>
                  <w:tcW w:w="1140" w:type="pct"/>
                  <w:vAlign w:val="center"/>
                </w:tcPr>
                <w:p w14:paraId="2068AF31">
                  <w:pPr>
                    <w:widowControl/>
                    <w:adjustRightInd w:val="0"/>
                    <w:snapToGrid w:val="0"/>
                    <w:jc w:val="center"/>
                    <w:rPr>
                      <w:rFonts w:hint="eastAsia" w:ascii="宋体" w:hAnsi="宋体" w:eastAsia="宋体" w:cs="宋体"/>
                      <w:color w:val="auto"/>
                      <w:szCs w:val="21"/>
                      <w:u w:val="single"/>
                    </w:rPr>
                  </w:pPr>
                  <w:r>
                    <w:rPr>
                      <w:rFonts w:hint="eastAsia" w:ascii="宋体" w:hAnsi="宋体" w:eastAsia="宋体" w:cs="宋体"/>
                      <w:color w:val="auto"/>
                      <w:szCs w:val="21"/>
                      <w:u w:val="single"/>
                    </w:rPr>
                    <w:t>厂界四周</w:t>
                  </w:r>
                </w:p>
              </w:tc>
              <w:tc>
                <w:tcPr>
                  <w:tcW w:w="960" w:type="pct"/>
                  <w:vAlign w:val="center"/>
                </w:tcPr>
                <w:p w14:paraId="60CCE378">
                  <w:pPr>
                    <w:widowControl/>
                    <w:adjustRightInd w:val="0"/>
                    <w:snapToGrid w:val="0"/>
                    <w:jc w:val="center"/>
                    <w:rPr>
                      <w:rFonts w:hint="eastAsia" w:ascii="宋体" w:hAnsi="宋体" w:eastAsia="宋体" w:cs="宋体"/>
                      <w:color w:val="auto"/>
                      <w:szCs w:val="21"/>
                      <w:u w:val="single"/>
                      <w:lang w:eastAsia="zh-CN"/>
                    </w:rPr>
                  </w:pPr>
                  <w:r>
                    <w:rPr>
                      <w:rFonts w:hint="eastAsia" w:ascii="宋体" w:hAnsi="宋体" w:eastAsia="宋体" w:cs="宋体"/>
                      <w:color w:val="auto"/>
                      <w:szCs w:val="21"/>
                      <w:u w:val="single"/>
                    </w:rPr>
                    <w:t>昼</w:t>
                  </w:r>
                  <w:r>
                    <w:rPr>
                      <w:rFonts w:hint="eastAsia" w:ascii="宋体" w:hAnsi="宋体" w:eastAsia="宋体" w:cs="宋体"/>
                      <w:color w:val="auto"/>
                      <w:szCs w:val="21"/>
                      <w:u w:val="single"/>
                      <w:lang w:eastAsia="zh-CN"/>
                    </w:rPr>
                    <w:t>夜</w:t>
                  </w:r>
                </w:p>
              </w:tc>
              <w:tc>
                <w:tcPr>
                  <w:tcW w:w="1248" w:type="pct"/>
                  <w:vAlign w:val="center"/>
                </w:tcPr>
                <w:p w14:paraId="08FEB3A7">
                  <w:pPr>
                    <w:widowControl/>
                    <w:adjustRightInd w:val="0"/>
                    <w:snapToGrid w:val="0"/>
                    <w:jc w:val="center"/>
                    <w:rPr>
                      <w:rFonts w:hint="eastAsia" w:ascii="宋体" w:hAnsi="宋体" w:eastAsia="宋体" w:cs="宋体"/>
                      <w:color w:val="auto"/>
                      <w:szCs w:val="21"/>
                      <w:u w:val="single"/>
                    </w:rPr>
                  </w:pPr>
                  <w:r>
                    <w:rPr>
                      <w:rFonts w:hint="eastAsia" w:ascii="宋体" w:hAnsi="宋体" w:eastAsia="宋体" w:cs="宋体"/>
                      <w:color w:val="auto"/>
                      <w:szCs w:val="21"/>
                      <w:u w:val="single"/>
                    </w:rPr>
                    <w:t>连续等级A声级</w:t>
                  </w:r>
                </w:p>
              </w:tc>
              <w:tc>
                <w:tcPr>
                  <w:tcW w:w="925" w:type="pct"/>
                  <w:vAlign w:val="center"/>
                </w:tcPr>
                <w:p w14:paraId="2501823C">
                  <w:pPr>
                    <w:widowControl/>
                    <w:adjustRightInd w:val="0"/>
                    <w:snapToGrid w:val="0"/>
                    <w:jc w:val="center"/>
                    <w:rPr>
                      <w:rFonts w:hint="eastAsia" w:ascii="宋体" w:hAnsi="宋体" w:eastAsia="宋体" w:cs="宋体"/>
                      <w:color w:val="auto"/>
                      <w:szCs w:val="21"/>
                      <w:u w:val="single"/>
                    </w:rPr>
                  </w:pPr>
                  <w:r>
                    <w:rPr>
                      <w:rFonts w:hint="eastAsia" w:ascii="宋体" w:hAnsi="宋体" w:eastAsia="宋体" w:cs="宋体"/>
                      <w:color w:val="auto"/>
                      <w:szCs w:val="21"/>
                      <w:u w:val="single"/>
                    </w:rPr>
                    <w:t>1次/季度</w:t>
                  </w:r>
                </w:p>
              </w:tc>
            </w:tr>
          </w:tbl>
          <w:p w14:paraId="529B3EFC">
            <w:pPr>
              <w:autoSpaceDE w:val="0"/>
              <w:autoSpaceDN w:val="0"/>
              <w:adjustRightInd w:val="0"/>
              <w:snapToGrid w:val="0"/>
              <w:spacing w:line="360" w:lineRule="auto"/>
              <w:ind w:firstLine="482" w:firstLineChars="200"/>
              <w:jc w:val="left"/>
              <w:rPr>
                <w:rFonts w:hint="eastAsia"/>
                <w:b/>
                <w:bCs/>
                <w:color w:val="auto"/>
                <w:kern w:val="0"/>
                <w:sz w:val="24"/>
                <w:lang w:val="en-GB"/>
              </w:rPr>
            </w:pPr>
            <w:r>
              <w:rPr>
                <w:rFonts w:hint="eastAsia"/>
                <w:b/>
                <w:bCs/>
                <w:color w:val="auto"/>
                <w:kern w:val="0"/>
                <w:sz w:val="24"/>
                <w:lang w:val="en-GB" w:eastAsia="zh-CN"/>
              </w:rPr>
              <w:t>（六）</w:t>
            </w:r>
            <w:r>
              <w:rPr>
                <w:rFonts w:hint="eastAsia"/>
                <w:b/>
                <w:bCs/>
                <w:color w:val="auto"/>
                <w:kern w:val="0"/>
                <w:sz w:val="24"/>
                <w:lang w:val="en-GB"/>
              </w:rPr>
              <w:t>环境风险分析</w:t>
            </w:r>
          </w:p>
          <w:p w14:paraId="0DA8F574">
            <w:pPr>
              <w:pStyle w:val="107"/>
              <w:spacing w:line="360" w:lineRule="auto"/>
              <w:jc w:val="left"/>
              <w:rPr>
                <w:rFonts w:hint="eastAsia"/>
                <w:color w:val="auto"/>
                <w:sz w:val="24"/>
                <w:szCs w:val="24"/>
                <w:lang w:val="en-US" w:eastAsia="zh-CN"/>
              </w:rPr>
            </w:pPr>
            <w:r>
              <w:rPr>
                <w:rFonts w:hint="eastAsia"/>
                <w:b/>
                <w:bCs/>
                <w:color w:val="auto"/>
                <w:sz w:val="24"/>
                <w:szCs w:val="24"/>
                <w:highlight w:val="none"/>
                <w:lang w:val="en-US" w:eastAsia="zh-CN"/>
              </w:rPr>
              <w:t>(1)风险调查</w:t>
            </w:r>
          </w:p>
          <w:p w14:paraId="51B729B1">
            <w:pPr>
              <w:bidi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根据《建设项目环境风险评价技术导则》(H/69-2018)，本项目不涉及有毒有害物质的生产、使用，环境风险主要有稻壳、成型生物质燃料引发火灾产生的衍生风险物质CO，本项目涉及的原材料、成品均为易燃品，其储存过程中存在一定的火灾爆炸风险。一旦发生火灾，会释放大量的热、烟尘、二氧化碳和有毒有害物质，不仅污染环境，还会给生命财产造成重大损害。粉尘爆炸具有极强的破坏力，还容易造成二次爆炸，产生有毒有害气体，危害人身安全和破坏生态环境。</w:t>
            </w:r>
          </w:p>
          <w:p w14:paraId="454C8DD7">
            <w:pPr>
              <w:bidi w:val="0"/>
              <w:spacing w:line="360" w:lineRule="auto"/>
              <w:ind w:firstLine="240" w:firstLineChars="100"/>
              <w:rPr>
                <w:rFonts w:hint="eastAsia"/>
                <w:color w:val="auto"/>
                <w:sz w:val="24"/>
                <w:szCs w:val="24"/>
                <w:lang w:val="en-US" w:eastAsia="zh-CN"/>
              </w:rPr>
            </w:pPr>
            <w:r>
              <w:rPr>
                <w:rFonts w:hint="eastAsia"/>
                <w:color w:val="auto"/>
                <w:sz w:val="24"/>
                <w:szCs w:val="24"/>
                <w:lang w:val="en-US" w:eastAsia="zh-CN"/>
              </w:rPr>
              <w:t>（1）火灾风险防范措施</w:t>
            </w:r>
          </w:p>
          <w:p w14:paraId="33FBC4CB">
            <w:pPr>
              <w:bidi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①生产车间和仓库内严禁烟火，并张贴安全生产细则：</w:t>
            </w:r>
          </w:p>
          <w:p w14:paraId="650D35C8">
            <w:pPr>
              <w:bidi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②生产车间保持良好的通风性：</w:t>
            </w:r>
          </w:p>
          <w:p w14:paraId="5F91A086">
            <w:pPr>
              <w:bidi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③厂区必须配备有足够数量的灭火装置：</w:t>
            </w:r>
          </w:p>
          <w:p w14:paraId="3DB0E8CE">
            <w:pPr>
              <w:bidi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④组织职工学习用电安全知识和各用仪器设备的正确操作，提高职工的安全意识，规范职工的行为，做到人走断电。</w:t>
            </w:r>
          </w:p>
          <w:p w14:paraId="634121E5">
            <w:pPr>
              <w:bidi w:val="0"/>
              <w:spacing w:line="360" w:lineRule="auto"/>
              <w:ind w:firstLine="480" w:firstLineChars="200"/>
              <w:rPr>
                <w:rFonts w:hint="eastAsia" w:eastAsia="宋体"/>
                <w:color w:val="auto"/>
                <w:sz w:val="24"/>
                <w:szCs w:val="24"/>
                <w:lang w:val="en-US" w:eastAsia="zh-CN"/>
              </w:rPr>
            </w:pPr>
            <w:r>
              <w:rPr>
                <w:rFonts w:hint="eastAsia" w:eastAsia="宋体"/>
                <w:color w:val="auto"/>
                <w:sz w:val="24"/>
                <w:szCs w:val="24"/>
                <w:lang w:val="en-US" w:eastAsia="zh-CN"/>
              </w:rPr>
              <w:t>⑤组织学习正确使用灭火器和面对火灾发生正确的逃生方法</w:t>
            </w:r>
          </w:p>
          <w:p w14:paraId="39607FD9">
            <w:pPr>
              <w:bidi w:val="0"/>
              <w:spacing w:line="360" w:lineRule="auto"/>
              <w:ind w:firstLine="480" w:firstLineChars="200"/>
              <w:rPr>
                <w:rFonts w:hint="eastAsia" w:eastAsia="宋体"/>
                <w:color w:val="auto"/>
                <w:sz w:val="24"/>
                <w:szCs w:val="24"/>
                <w:lang w:val="en-US" w:eastAsia="zh-CN"/>
              </w:rPr>
            </w:pPr>
            <w:r>
              <w:rPr>
                <w:rFonts w:hint="eastAsia" w:eastAsia="宋体"/>
                <w:color w:val="auto"/>
                <w:sz w:val="24"/>
                <w:szCs w:val="24"/>
                <w:lang w:val="en-US" w:eastAsia="zh-CN"/>
              </w:rPr>
              <w:t>⑥定期安排专业人员检修电路和生产设备，确保正常使用：</w:t>
            </w:r>
          </w:p>
          <w:p w14:paraId="64CF1231">
            <w:pPr>
              <w:bidi w:val="0"/>
              <w:spacing w:line="360" w:lineRule="auto"/>
              <w:ind w:firstLine="480" w:firstLineChars="200"/>
              <w:rPr>
                <w:rFonts w:hint="eastAsia" w:eastAsia="宋体"/>
                <w:color w:val="auto"/>
                <w:sz w:val="24"/>
                <w:szCs w:val="24"/>
                <w:lang w:val="en-US" w:eastAsia="zh-CN"/>
              </w:rPr>
            </w:pPr>
            <w:r>
              <w:rPr>
                <w:rFonts w:hint="eastAsia" w:eastAsia="宋体"/>
                <w:color w:val="auto"/>
                <w:sz w:val="24"/>
                <w:szCs w:val="24"/>
                <w:lang w:val="en-US" w:eastAsia="zh-CN"/>
              </w:rPr>
              <w:t>⑦一旦事故发生后，建设单位应迅速采取有效措施，积极组织抢救，防止事故蔓延。并立即如实向当地安全生产监督管理部门和环保主管部门报告事故情况，以便为取有力措施，将污染和伤亡事故降到最低限度。</w:t>
            </w:r>
          </w:p>
          <w:p w14:paraId="3D7B02DF">
            <w:pPr>
              <w:bidi w:val="0"/>
              <w:spacing w:line="360" w:lineRule="auto"/>
              <w:ind w:firstLine="240" w:firstLineChars="100"/>
              <w:rPr>
                <w:rFonts w:hint="eastAsia"/>
                <w:color w:val="auto"/>
                <w:sz w:val="24"/>
                <w:szCs w:val="24"/>
                <w:lang w:val="en-US" w:eastAsia="zh-CN"/>
              </w:rPr>
            </w:pPr>
            <w:r>
              <w:rPr>
                <w:rFonts w:hint="eastAsia"/>
                <w:color w:val="auto"/>
                <w:sz w:val="24"/>
                <w:szCs w:val="24"/>
                <w:lang w:val="en-US" w:eastAsia="zh-CN"/>
              </w:rPr>
              <w:t>（2）环保设施发生故障风险防范措施</w:t>
            </w:r>
          </w:p>
          <w:p w14:paraId="2D202333">
            <w:pPr>
              <w:bidi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本项目主要的环保设施为布袋除尘器，当环保设施不正常工作时，会对环境产生不利影响。其中包括导致周围环境质量下降，降落在植物叶面的粉尘会阻碍光合作用，抑制其生长。环评建议建设单位应定时安排人员对环保设施进行检查，一旦发现故障，则立即停止生产，待故障解决之后，方可正常生产。</w:t>
            </w:r>
          </w:p>
          <w:p w14:paraId="58A8BC43">
            <w:pPr>
              <w:bidi w:val="0"/>
              <w:spacing w:line="360" w:lineRule="auto"/>
              <w:rPr>
                <w:rFonts w:hint="eastAsia"/>
                <w:color w:val="auto"/>
                <w:sz w:val="24"/>
                <w:szCs w:val="24"/>
                <w:lang w:val="en-US" w:eastAsia="zh-CN"/>
              </w:rPr>
            </w:pPr>
            <w:r>
              <w:rPr>
                <w:rFonts w:hint="eastAsia"/>
                <w:color w:val="auto"/>
                <w:sz w:val="24"/>
                <w:szCs w:val="24"/>
                <w:lang w:val="en-US" w:eastAsia="zh-CN"/>
              </w:rPr>
              <w:t>分析结论：</w:t>
            </w:r>
          </w:p>
          <w:p w14:paraId="0B1D272B">
            <w:pPr>
              <w:bidi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由以上分析可知，本项目存在一定潜在事故风险，但未构成重大危险源，在项目建设过程中认真落实各种风险防范措施，通过相应的技术手段降低风险发生概率，并在风险事故发生后，及时采取风险防范措施及应急预案，可以使风险事故对环境的危害得到有效控制，将事故风险控制在可以接受的范围内，因此该项目事故风险水平是可以接受的。</w:t>
            </w:r>
          </w:p>
          <w:p w14:paraId="74DAE71B">
            <w:pPr>
              <w:autoSpaceDE w:val="0"/>
              <w:autoSpaceDN w:val="0"/>
              <w:adjustRightInd w:val="0"/>
              <w:snapToGrid w:val="0"/>
              <w:spacing w:line="360" w:lineRule="auto"/>
              <w:ind w:firstLine="482" w:firstLineChars="200"/>
              <w:jc w:val="left"/>
              <w:rPr>
                <w:rFonts w:hint="eastAsia" w:ascii="Times New Roman" w:hAnsi="Times New Roman" w:eastAsia="宋体"/>
                <w:b/>
                <w:bCs/>
                <w:color w:val="000000" w:themeColor="text1"/>
                <w:kern w:val="0"/>
                <w:sz w:val="24"/>
                <w:lang w:val="en-GB" w:eastAsia="zh-CN"/>
                <w14:textFill>
                  <w14:solidFill>
                    <w14:schemeClr w14:val="tx1"/>
                  </w14:solidFill>
                </w14:textFill>
              </w:rPr>
            </w:pPr>
            <w:r>
              <w:rPr>
                <w:rFonts w:hint="eastAsia" w:ascii="Times New Roman" w:hAnsi="Times New Roman" w:eastAsia="宋体"/>
                <w:b/>
                <w:bCs/>
                <w:color w:val="000000" w:themeColor="text1"/>
                <w:kern w:val="0"/>
                <w:sz w:val="24"/>
                <w:lang w:val="en-GB" w:eastAsia="zh-CN"/>
                <w14:textFill>
                  <w14:solidFill>
                    <w14:schemeClr w14:val="tx1"/>
                  </w14:solidFill>
                </w14:textFill>
              </w:rPr>
              <w:t>（</w:t>
            </w:r>
            <w:r>
              <w:rPr>
                <w:rFonts w:hint="eastAsia" w:ascii="Times New Roman" w:hAnsi="Times New Roman" w:eastAsia="宋体"/>
                <w:b/>
                <w:bCs/>
                <w:color w:val="000000" w:themeColor="text1"/>
                <w:kern w:val="0"/>
                <w:sz w:val="24"/>
                <w:lang w:val="en-US" w:eastAsia="zh-CN"/>
                <w14:textFill>
                  <w14:solidFill>
                    <w14:schemeClr w14:val="tx1"/>
                  </w14:solidFill>
                </w14:textFill>
              </w:rPr>
              <w:t>七</w:t>
            </w:r>
            <w:r>
              <w:rPr>
                <w:rFonts w:hint="eastAsia" w:ascii="Times New Roman" w:hAnsi="Times New Roman" w:eastAsia="宋体"/>
                <w:b/>
                <w:bCs/>
                <w:color w:val="000000" w:themeColor="text1"/>
                <w:kern w:val="0"/>
                <w:sz w:val="24"/>
                <w:lang w:val="en-GB" w:eastAsia="zh-CN"/>
                <w14:textFill>
                  <w14:solidFill>
                    <w14:schemeClr w14:val="tx1"/>
                  </w14:solidFill>
                </w14:textFill>
              </w:rPr>
              <w:t>）、环保投资估算</w:t>
            </w:r>
          </w:p>
          <w:p w14:paraId="3A92524B">
            <w:pPr>
              <w:bidi w:val="0"/>
              <w:spacing w:line="360" w:lineRule="auto"/>
              <w:ind w:firstLine="480" w:firstLineChars="200"/>
              <w:rPr>
                <w:b/>
                <w:bCs/>
                <w:color w:val="000000" w:themeColor="text1"/>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项目总投资</w:t>
            </w:r>
            <w:r>
              <w:rPr>
                <w:rFonts w:hint="eastAsia" w:ascii="宋体" w:hAnsi="宋体" w:cs="宋体"/>
                <w:color w:val="000000" w:themeColor="text1"/>
                <w:sz w:val="24"/>
                <w:u w:val="single"/>
                <w:lang w:val="en-US" w:eastAsia="zh-CN"/>
                <w14:textFill>
                  <w14:solidFill>
                    <w14:schemeClr w14:val="tx1"/>
                  </w14:solidFill>
                </w14:textFill>
              </w:rPr>
              <w:t>506.1</w:t>
            </w:r>
            <w:r>
              <w:rPr>
                <w:rFonts w:hint="eastAsia" w:ascii="宋体" w:hAnsi="宋体" w:eastAsia="宋体" w:cs="宋体"/>
                <w:color w:val="000000" w:themeColor="text1"/>
                <w:sz w:val="24"/>
                <w:szCs w:val="24"/>
                <w:u w:val="single"/>
                <w14:textFill>
                  <w14:solidFill>
                    <w14:schemeClr w14:val="tx1"/>
                  </w14:solidFill>
                </w14:textFill>
              </w:rPr>
              <w:t>万元，其中环保投资约</w:t>
            </w:r>
            <w:r>
              <w:rPr>
                <w:rFonts w:hint="eastAsia" w:ascii="宋体" w:hAnsi="宋体" w:cs="宋体"/>
                <w:color w:val="000000" w:themeColor="text1"/>
                <w:sz w:val="24"/>
                <w:szCs w:val="24"/>
                <w:u w:val="single"/>
                <w:lang w:val="en-US" w:eastAsia="zh-CN"/>
                <w14:textFill>
                  <w14:solidFill>
                    <w14:schemeClr w14:val="tx1"/>
                  </w14:solidFill>
                </w14:textFill>
              </w:rPr>
              <w:t>41</w:t>
            </w:r>
            <w:r>
              <w:rPr>
                <w:rFonts w:hint="eastAsia" w:ascii="宋体" w:hAnsi="宋体" w:eastAsia="宋体" w:cs="宋体"/>
                <w:color w:val="000000" w:themeColor="text1"/>
                <w:sz w:val="24"/>
                <w:szCs w:val="24"/>
                <w:u w:val="single"/>
                <w14:textFill>
                  <w14:solidFill>
                    <w14:schemeClr w14:val="tx1"/>
                  </w14:solidFill>
                </w14:textFill>
              </w:rPr>
              <w:t>万元，占总投资比例</w:t>
            </w:r>
            <w:r>
              <w:rPr>
                <w:rFonts w:hint="eastAsia" w:ascii="宋体" w:hAnsi="宋体" w:cs="宋体"/>
                <w:color w:val="000000" w:themeColor="text1"/>
                <w:sz w:val="24"/>
                <w:szCs w:val="24"/>
                <w:u w:val="single"/>
                <w:lang w:val="en-US" w:eastAsia="zh-CN"/>
                <w14:textFill>
                  <w14:solidFill>
                    <w14:schemeClr w14:val="tx1"/>
                  </w14:solidFill>
                </w14:textFill>
              </w:rPr>
              <w:t>8.1</w:t>
            </w:r>
            <w:r>
              <w:rPr>
                <w:rFonts w:hint="eastAsia" w:ascii="宋体" w:hAnsi="宋体" w:eastAsia="宋体" w:cs="宋体"/>
                <w:color w:val="000000" w:themeColor="text1"/>
                <w:sz w:val="24"/>
                <w:szCs w:val="24"/>
                <w:u w:val="single"/>
                <w14:textFill>
                  <w14:solidFill>
                    <w14:schemeClr w14:val="tx1"/>
                  </w14:solidFill>
                </w14:textFill>
              </w:rPr>
              <w:t>%，环保投资情况如下。</w:t>
            </w:r>
          </w:p>
          <w:p w14:paraId="2D69D7DA">
            <w:pPr>
              <w:bidi w:val="0"/>
              <w:jc w:val="center"/>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表4-</w:t>
            </w:r>
            <w:r>
              <w:rPr>
                <w:rFonts w:hint="eastAsia" w:ascii="宋体" w:hAnsi="宋体" w:eastAsia="宋体" w:cs="宋体"/>
                <w:b/>
                <w:bCs/>
                <w:color w:val="000000" w:themeColor="text1"/>
                <w:u w:val="single"/>
                <w:lang w:val="en-US" w:eastAsia="zh-CN"/>
                <w14:textFill>
                  <w14:solidFill>
                    <w14:schemeClr w14:val="tx1"/>
                  </w14:solidFill>
                </w14:textFill>
              </w:rPr>
              <w:t>12</w:t>
            </w:r>
            <w:r>
              <w:rPr>
                <w:rFonts w:hint="eastAsia" w:ascii="宋体" w:hAnsi="宋体" w:eastAsia="宋体" w:cs="宋体"/>
                <w:b/>
                <w:bCs/>
                <w:color w:val="000000" w:themeColor="text1"/>
                <w:u w:val="single"/>
                <w14:textFill>
                  <w14:solidFill>
                    <w14:schemeClr w14:val="tx1"/>
                  </w14:solidFill>
                </w14:textFill>
              </w:rPr>
              <w:tab/>
            </w:r>
            <w:r>
              <w:rPr>
                <w:rFonts w:hint="eastAsia" w:ascii="宋体" w:hAnsi="宋体" w:eastAsia="宋体" w:cs="宋体"/>
                <w:b/>
                <w:bCs/>
                <w:color w:val="000000" w:themeColor="text1"/>
                <w:u w:val="single"/>
                <w14:textFill>
                  <w14:solidFill>
                    <w14:schemeClr w14:val="tx1"/>
                  </w14:solidFill>
                </w14:textFill>
              </w:rPr>
              <w:t>项目环保设施及环保投资一览表</w:t>
            </w:r>
          </w:p>
          <w:tbl>
            <w:tblPr>
              <w:tblStyle w:val="2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08"/>
              <w:gridCol w:w="1713"/>
              <w:gridCol w:w="3506"/>
              <w:gridCol w:w="979"/>
              <w:gridCol w:w="1172"/>
            </w:tblGrid>
            <w:tr w14:paraId="4108C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4" w:type="pct"/>
                  <w:vAlign w:val="center"/>
                </w:tcPr>
                <w:p w14:paraId="43F8B731">
                  <w:pPr>
                    <w:pStyle w:val="53"/>
                    <w:bidi w:val="0"/>
                    <w:jc w:val="center"/>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类别</w:t>
                  </w:r>
                </w:p>
              </w:tc>
              <w:tc>
                <w:tcPr>
                  <w:tcW w:w="1010" w:type="pct"/>
                  <w:vAlign w:val="center"/>
                </w:tcPr>
                <w:p w14:paraId="1AB66BAD">
                  <w:pPr>
                    <w:pStyle w:val="53"/>
                    <w:bidi w:val="0"/>
                    <w:jc w:val="center"/>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项目内容</w:t>
                  </w:r>
                </w:p>
              </w:tc>
              <w:tc>
                <w:tcPr>
                  <w:tcW w:w="2067" w:type="pct"/>
                  <w:vAlign w:val="center"/>
                </w:tcPr>
                <w:p w14:paraId="18761F2D">
                  <w:pPr>
                    <w:pStyle w:val="53"/>
                    <w:bidi w:val="0"/>
                    <w:jc w:val="center"/>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治理措施</w:t>
                  </w:r>
                </w:p>
              </w:tc>
              <w:tc>
                <w:tcPr>
                  <w:tcW w:w="576" w:type="pct"/>
                  <w:vAlign w:val="center"/>
                </w:tcPr>
                <w:p w14:paraId="572FF839">
                  <w:pPr>
                    <w:pStyle w:val="53"/>
                    <w:bidi w:val="0"/>
                    <w:jc w:val="center"/>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数量</w:t>
                  </w:r>
                </w:p>
              </w:tc>
              <w:tc>
                <w:tcPr>
                  <w:tcW w:w="691" w:type="pct"/>
                  <w:vAlign w:val="center"/>
                </w:tcPr>
                <w:p w14:paraId="09E6E6EF">
                  <w:pPr>
                    <w:pStyle w:val="53"/>
                    <w:bidi w:val="0"/>
                    <w:jc w:val="center"/>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投资</w:t>
                  </w:r>
                </w:p>
                <w:p w14:paraId="232443CB">
                  <w:pPr>
                    <w:pStyle w:val="53"/>
                    <w:bidi w:val="0"/>
                    <w:jc w:val="center"/>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（万元）</w:t>
                  </w:r>
                </w:p>
              </w:tc>
            </w:tr>
            <w:tr w14:paraId="0EAC0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54" w:type="pct"/>
                  <w:vMerge w:val="restart"/>
                  <w:vAlign w:val="center"/>
                </w:tcPr>
                <w:p w14:paraId="45AC28A7">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废气治理</w:t>
                  </w:r>
                </w:p>
              </w:tc>
              <w:tc>
                <w:tcPr>
                  <w:tcW w:w="1010" w:type="pct"/>
                  <w:vAlign w:val="center"/>
                </w:tcPr>
                <w:p w14:paraId="7E54AD50">
                  <w:pPr>
                    <w:pStyle w:val="53"/>
                    <w:bidi w:val="0"/>
                    <w:jc w:val="center"/>
                    <w:rPr>
                      <w:rFonts w:hint="eastAsia"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筛分、烘干废气</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u w:val="single"/>
                      <w:lang w:val="en-US" w:eastAsia="zh-CN"/>
                      <w14:textFill>
                        <w14:solidFill>
                          <w14:schemeClr w14:val="tx1"/>
                        </w14:solidFill>
                      </w14:textFill>
                    </w:rPr>
                    <w:t>热风炉</w:t>
                  </w:r>
                  <w:r>
                    <w:rPr>
                      <w:rFonts w:hint="eastAsia" w:ascii="宋体" w:hAnsi="宋体" w:eastAsia="宋体" w:cs="宋体"/>
                      <w:color w:val="000000" w:themeColor="text1"/>
                      <w:u w:val="single"/>
                      <w14:textFill>
                        <w14:solidFill>
                          <w14:schemeClr w14:val="tx1"/>
                        </w14:solidFill>
                      </w14:textFill>
                    </w:rPr>
                    <w:t>废气</w:t>
                  </w:r>
                </w:p>
              </w:tc>
              <w:tc>
                <w:tcPr>
                  <w:tcW w:w="2067" w:type="pct"/>
                  <w:vAlign w:val="center"/>
                </w:tcPr>
                <w:p w14:paraId="76088BB9">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沙克隆+</w:t>
                  </w:r>
                  <w:r>
                    <w:rPr>
                      <w:rFonts w:hint="eastAsia" w:ascii="宋体" w:hAnsi="宋体" w:eastAsia="宋体" w:cs="宋体"/>
                      <w:color w:val="000000" w:themeColor="text1"/>
                      <w:u w:val="single"/>
                      <w14:textFill>
                        <w14:solidFill>
                          <w14:schemeClr w14:val="tx1"/>
                        </w14:solidFill>
                      </w14:textFill>
                    </w:rPr>
                    <w:t>沉降室+布袋除尘器</w:t>
                  </w:r>
                </w:p>
              </w:tc>
              <w:tc>
                <w:tcPr>
                  <w:tcW w:w="576" w:type="pct"/>
                  <w:vAlign w:val="center"/>
                </w:tcPr>
                <w:p w14:paraId="59DD8C9E">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1套</w:t>
                  </w:r>
                </w:p>
              </w:tc>
              <w:tc>
                <w:tcPr>
                  <w:tcW w:w="691" w:type="pct"/>
                  <w:vAlign w:val="center"/>
                </w:tcPr>
                <w:p w14:paraId="7E446460">
                  <w:pPr>
                    <w:pStyle w:val="53"/>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35</w:t>
                  </w:r>
                </w:p>
              </w:tc>
            </w:tr>
            <w:tr w14:paraId="38417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54" w:type="pct"/>
                  <w:vMerge w:val="continue"/>
                  <w:tcBorders/>
                  <w:vAlign w:val="center"/>
                </w:tcPr>
                <w:p w14:paraId="58257A5E">
                  <w:pPr>
                    <w:pStyle w:val="53"/>
                    <w:bidi w:val="0"/>
                    <w:jc w:val="center"/>
                    <w:rPr>
                      <w:rFonts w:hint="eastAsia" w:ascii="宋体" w:hAnsi="宋体" w:eastAsia="宋体" w:cs="宋体"/>
                      <w:color w:val="000000" w:themeColor="text1"/>
                      <w:u w:val="single"/>
                      <w14:textFill>
                        <w14:solidFill>
                          <w14:schemeClr w14:val="tx1"/>
                        </w14:solidFill>
                      </w14:textFill>
                    </w:rPr>
                  </w:pPr>
                </w:p>
              </w:tc>
              <w:tc>
                <w:tcPr>
                  <w:tcW w:w="1010" w:type="pct"/>
                  <w:vAlign w:val="center"/>
                </w:tcPr>
                <w:p w14:paraId="37D34169">
                  <w:pPr>
                    <w:pStyle w:val="53"/>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卸料、出渣粉尘</w:t>
                  </w:r>
                </w:p>
              </w:tc>
              <w:tc>
                <w:tcPr>
                  <w:tcW w:w="2067" w:type="pct"/>
                  <w:vAlign w:val="center"/>
                </w:tcPr>
                <w:p w14:paraId="3717A2E6">
                  <w:pPr>
                    <w:pStyle w:val="53"/>
                    <w:bidi w:val="0"/>
                    <w:jc w:val="center"/>
                    <w:rPr>
                      <w:rFonts w:hint="eastAsia"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厂房阻隔、自然沉降、定期吸尘清扫</w:t>
                  </w:r>
                </w:p>
              </w:tc>
              <w:tc>
                <w:tcPr>
                  <w:tcW w:w="576" w:type="pct"/>
                  <w:vAlign w:val="center"/>
                </w:tcPr>
                <w:p w14:paraId="7220DC7E">
                  <w:pPr>
                    <w:pStyle w:val="53"/>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1套</w:t>
                  </w:r>
                </w:p>
              </w:tc>
              <w:tc>
                <w:tcPr>
                  <w:tcW w:w="691" w:type="pct"/>
                  <w:vAlign w:val="center"/>
                </w:tcPr>
                <w:p w14:paraId="4370AEE6">
                  <w:pPr>
                    <w:pStyle w:val="53"/>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5</w:t>
                  </w:r>
                </w:p>
              </w:tc>
            </w:tr>
            <w:tr w14:paraId="63570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pct"/>
                  <w:vMerge w:val="restart"/>
                  <w:vAlign w:val="center"/>
                </w:tcPr>
                <w:p w14:paraId="22B5DF06">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废水治理</w:t>
                  </w:r>
                </w:p>
              </w:tc>
              <w:tc>
                <w:tcPr>
                  <w:tcW w:w="1010" w:type="pct"/>
                  <w:vAlign w:val="center"/>
                </w:tcPr>
                <w:p w14:paraId="2FAA780D">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雨污分流</w:t>
                  </w:r>
                </w:p>
              </w:tc>
              <w:tc>
                <w:tcPr>
                  <w:tcW w:w="2067" w:type="pct"/>
                  <w:vAlign w:val="center"/>
                </w:tcPr>
                <w:p w14:paraId="5197681A">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厂区雨污分流</w:t>
                  </w:r>
                </w:p>
              </w:tc>
              <w:tc>
                <w:tcPr>
                  <w:tcW w:w="576" w:type="pct"/>
                  <w:vAlign w:val="center"/>
                </w:tcPr>
                <w:p w14:paraId="3B7E552A">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p>
              </w:tc>
              <w:tc>
                <w:tcPr>
                  <w:tcW w:w="691" w:type="pct"/>
                  <w:vAlign w:val="center"/>
                </w:tcPr>
                <w:p w14:paraId="040E2A7D">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p>
              </w:tc>
            </w:tr>
            <w:tr w14:paraId="19BD2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54" w:type="pct"/>
                  <w:vMerge w:val="continue"/>
                  <w:tcBorders>
                    <w:top w:val="nil"/>
                  </w:tcBorders>
                  <w:vAlign w:val="center"/>
                </w:tcPr>
                <w:p w14:paraId="24DA46DF">
                  <w:pPr>
                    <w:pStyle w:val="53"/>
                    <w:bidi w:val="0"/>
                    <w:jc w:val="center"/>
                    <w:rPr>
                      <w:rFonts w:hint="eastAsia" w:ascii="宋体" w:hAnsi="宋体" w:eastAsia="宋体" w:cs="宋体"/>
                      <w:color w:val="000000" w:themeColor="text1"/>
                      <w:u w:val="single"/>
                      <w14:textFill>
                        <w14:solidFill>
                          <w14:schemeClr w14:val="tx1"/>
                        </w14:solidFill>
                      </w14:textFill>
                    </w:rPr>
                  </w:pPr>
                </w:p>
              </w:tc>
              <w:tc>
                <w:tcPr>
                  <w:tcW w:w="1010" w:type="pct"/>
                  <w:vAlign w:val="center"/>
                </w:tcPr>
                <w:p w14:paraId="5AE540D1">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生活废水</w:t>
                  </w:r>
                </w:p>
              </w:tc>
              <w:tc>
                <w:tcPr>
                  <w:tcW w:w="2067" w:type="pct"/>
                  <w:vAlign w:val="center"/>
                </w:tcPr>
                <w:p w14:paraId="5D4F0B5E">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自建化粪池</w:t>
                  </w:r>
                </w:p>
              </w:tc>
              <w:tc>
                <w:tcPr>
                  <w:tcW w:w="576" w:type="pct"/>
                  <w:vAlign w:val="center"/>
                </w:tcPr>
                <w:p w14:paraId="1601AC0D">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1座</w:t>
                  </w:r>
                </w:p>
              </w:tc>
              <w:tc>
                <w:tcPr>
                  <w:tcW w:w="691" w:type="pct"/>
                  <w:vAlign w:val="center"/>
                </w:tcPr>
                <w:p w14:paraId="78B7F92C">
                  <w:pPr>
                    <w:pStyle w:val="53"/>
                    <w:bidi w:val="0"/>
                    <w:jc w:val="center"/>
                    <w:rPr>
                      <w:rFonts w:hint="eastAsia"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0.</w:t>
                  </w:r>
                  <w:r>
                    <w:rPr>
                      <w:rFonts w:hint="eastAsia" w:ascii="宋体" w:hAnsi="宋体" w:eastAsia="宋体" w:cs="宋体"/>
                      <w:color w:val="000000" w:themeColor="text1"/>
                      <w:u w:val="single"/>
                      <w:lang w:val="en-US" w:eastAsia="zh-CN"/>
                      <w14:textFill>
                        <w14:solidFill>
                          <w14:schemeClr w14:val="tx1"/>
                        </w14:solidFill>
                      </w14:textFill>
                    </w:rPr>
                    <w:t>5</w:t>
                  </w:r>
                </w:p>
              </w:tc>
            </w:tr>
            <w:tr w14:paraId="2F4A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4" w:type="pct"/>
                  <w:vAlign w:val="center"/>
                </w:tcPr>
                <w:p w14:paraId="6E631E98">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噪声治理</w:t>
                  </w:r>
                </w:p>
              </w:tc>
              <w:tc>
                <w:tcPr>
                  <w:tcW w:w="1010" w:type="pct"/>
                  <w:vAlign w:val="center"/>
                </w:tcPr>
                <w:p w14:paraId="2F7005C7">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设备噪声</w:t>
                  </w:r>
                </w:p>
              </w:tc>
              <w:tc>
                <w:tcPr>
                  <w:tcW w:w="2067" w:type="pct"/>
                  <w:vAlign w:val="center"/>
                </w:tcPr>
                <w:p w14:paraId="1A137B9D">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设减振基座、建筑隔声、距离衰减措施</w:t>
                  </w:r>
                </w:p>
              </w:tc>
              <w:tc>
                <w:tcPr>
                  <w:tcW w:w="576" w:type="pct"/>
                  <w:vAlign w:val="center"/>
                </w:tcPr>
                <w:p w14:paraId="11F67C82">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p>
              </w:tc>
              <w:tc>
                <w:tcPr>
                  <w:tcW w:w="691" w:type="pct"/>
                  <w:vAlign w:val="center"/>
                </w:tcPr>
                <w:p w14:paraId="5D704F00">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p>
              </w:tc>
            </w:tr>
            <w:tr w14:paraId="0B25C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54" w:type="pct"/>
                  <w:vMerge w:val="restart"/>
                  <w:vAlign w:val="center"/>
                </w:tcPr>
                <w:p w14:paraId="6EE5E99D">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固废治理</w:t>
                  </w:r>
                </w:p>
              </w:tc>
              <w:tc>
                <w:tcPr>
                  <w:tcW w:w="1010" w:type="pct"/>
                  <w:vAlign w:val="center"/>
                </w:tcPr>
                <w:p w14:paraId="7852BF82">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一般固废</w:t>
                  </w:r>
                </w:p>
              </w:tc>
              <w:tc>
                <w:tcPr>
                  <w:tcW w:w="2067" w:type="pct"/>
                  <w:vAlign w:val="center"/>
                </w:tcPr>
                <w:p w14:paraId="79294C37">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一般固废于仓库内固定区域暂存，粉状固废袋装收集</w:t>
                  </w:r>
                </w:p>
              </w:tc>
              <w:tc>
                <w:tcPr>
                  <w:tcW w:w="576" w:type="pct"/>
                  <w:vAlign w:val="center"/>
                </w:tcPr>
                <w:p w14:paraId="543C247E">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p>
              </w:tc>
              <w:tc>
                <w:tcPr>
                  <w:tcW w:w="691" w:type="pct"/>
                  <w:vAlign w:val="center"/>
                </w:tcPr>
                <w:p w14:paraId="36D89CF2">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p>
              </w:tc>
            </w:tr>
            <w:tr w14:paraId="2A64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pct"/>
                  <w:vMerge w:val="continue"/>
                  <w:tcBorders>
                    <w:top w:val="nil"/>
                  </w:tcBorders>
                  <w:vAlign w:val="center"/>
                </w:tcPr>
                <w:p w14:paraId="1B64F2CD">
                  <w:pPr>
                    <w:pStyle w:val="53"/>
                    <w:bidi w:val="0"/>
                    <w:jc w:val="center"/>
                    <w:rPr>
                      <w:rFonts w:hint="eastAsia" w:ascii="宋体" w:hAnsi="宋体" w:eastAsia="宋体" w:cs="宋体"/>
                      <w:color w:val="000000" w:themeColor="text1"/>
                      <w:u w:val="single"/>
                      <w14:textFill>
                        <w14:solidFill>
                          <w14:schemeClr w14:val="tx1"/>
                        </w14:solidFill>
                      </w14:textFill>
                    </w:rPr>
                  </w:pPr>
                </w:p>
              </w:tc>
              <w:tc>
                <w:tcPr>
                  <w:tcW w:w="1010" w:type="pct"/>
                  <w:vAlign w:val="center"/>
                </w:tcPr>
                <w:p w14:paraId="4425C93B">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生活垃圾</w:t>
                  </w:r>
                </w:p>
              </w:tc>
              <w:tc>
                <w:tcPr>
                  <w:tcW w:w="2067" w:type="pct"/>
                  <w:vAlign w:val="center"/>
                </w:tcPr>
                <w:p w14:paraId="09E44B45">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设生活垃圾分类收集设施，定期委托环卫清运</w:t>
                  </w:r>
                </w:p>
              </w:tc>
              <w:tc>
                <w:tcPr>
                  <w:tcW w:w="576" w:type="pct"/>
                  <w:vAlign w:val="center"/>
                </w:tcPr>
                <w:p w14:paraId="152B4A7D">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p>
              </w:tc>
              <w:tc>
                <w:tcPr>
                  <w:tcW w:w="691" w:type="pct"/>
                  <w:vAlign w:val="center"/>
                </w:tcPr>
                <w:p w14:paraId="2752E0EF">
                  <w:pPr>
                    <w:pStyle w:val="53"/>
                    <w:bidi w:val="0"/>
                    <w:jc w:val="center"/>
                    <w:rPr>
                      <w:rFonts w:hint="eastAsia"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0.</w:t>
                  </w:r>
                  <w:r>
                    <w:rPr>
                      <w:rFonts w:hint="eastAsia" w:ascii="宋体" w:hAnsi="宋体" w:eastAsia="宋体" w:cs="宋体"/>
                      <w:color w:val="000000" w:themeColor="text1"/>
                      <w:u w:val="single"/>
                      <w:lang w:val="en-US" w:eastAsia="zh-CN"/>
                      <w14:textFill>
                        <w14:solidFill>
                          <w14:schemeClr w14:val="tx1"/>
                        </w14:solidFill>
                      </w14:textFill>
                    </w:rPr>
                    <w:t>5</w:t>
                  </w:r>
                </w:p>
              </w:tc>
            </w:tr>
            <w:tr w14:paraId="6CED0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308" w:type="pct"/>
                  <w:gridSpan w:val="4"/>
                  <w:vAlign w:val="center"/>
                </w:tcPr>
                <w:p w14:paraId="5967A3EC">
                  <w:pPr>
                    <w:pStyle w:val="53"/>
                    <w:bidi w:val="0"/>
                    <w:jc w:val="cente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合计</w:t>
                  </w:r>
                </w:p>
              </w:tc>
              <w:tc>
                <w:tcPr>
                  <w:tcW w:w="691" w:type="pct"/>
                  <w:vAlign w:val="center"/>
                </w:tcPr>
                <w:p w14:paraId="0124AEF9">
                  <w:pPr>
                    <w:pStyle w:val="53"/>
                    <w:bidi w:val="0"/>
                    <w:jc w:val="center"/>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u w:val="single"/>
                      <w:lang w:val="en-US" w:eastAsia="zh-CN"/>
                      <w14:textFill>
                        <w14:solidFill>
                          <w14:schemeClr w14:val="tx1"/>
                        </w14:solidFill>
                      </w14:textFill>
                    </w:rPr>
                    <w:t>41</w:t>
                  </w:r>
                </w:p>
              </w:tc>
            </w:tr>
          </w:tbl>
          <w:p w14:paraId="4A850696">
            <w:pPr>
              <w:numPr>
                <w:ilvl w:val="0"/>
                <w:numId w:val="8"/>
              </w:numPr>
              <w:autoSpaceDE w:val="0"/>
              <w:autoSpaceDN w:val="0"/>
              <w:adjustRightInd w:val="0"/>
              <w:snapToGrid w:val="0"/>
              <w:spacing w:line="360" w:lineRule="auto"/>
              <w:ind w:firstLine="482" w:firstLineChars="200"/>
              <w:jc w:val="left"/>
              <w:rPr>
                <w:rFonts w:hint="default" w:ascii="Times New Roman" w:hAnsi="Times New Roman" w:eastAsia="宋体" w:cs="Times New Roman"/>
                <w:b/>
                <w:bCs/>
                <w:color w:val="auto"/>
                <w:kern w:val="0"/>
                <w:sz w:val="24"/>
                <w:lang w:val="en-GB" w:eastAsia="zh-CN"/>
              </w:rPr>
            </w:pPr>
            <w:r>
              <w:rPr>
                <w:rFonts w:hint="default" w:ascii="Times New Roman" w:hAnsi="Times New Roman" w:eastAsia="宋体" w:cs="Times New Roman"/>
                <w:b/>
                <w:bCs/>
                <w:color w:val="auto"/>
                <w:kern w:val="0"/>
                <w:sz w:val="24"/>
                <w:lang w:val="en-GB" w:eastAsia="zh-CN"/>
              </w:rPr>
              <w:t>、与排污许可证的衔接关系</w:t>
            </w:r>
          </w:p>
          <w:p w14:paraId="5A54A3F9">
            <w:pPr>
              <w:pStyle w:val="110"/>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b/>
                <w:bCs/>
                <w:iCs w:val="0"/>
                <w:color w:val="auto"/>
                <w:kern w:val="2"/>
                <w:sz w:val="21"/>
                <w:szCs w:val="21"/>
                <w:u w:val="single" w:color="auto"/>
                <w:lang w:val="en-US" w:eastAsia="zh-CN" w:bidi="ar-SA"/>
              </w:rPr>
            </w:pPr>
            <w:r>
              <w:rPr>
                <w:rFonts w:hint="eastAsia" w:ascii="宋体" w:hAnsi="宋体" w:eastAsia="宋体" w:cs="宋体"/>
                <w:b/>
                <w:bCs/>
                <w:color w:val="auto"/>
                <w:u w:val="none" w:color="auto"/>
              </w:rPr>
              <w:t>表4-</w:t>
            </w:r>
            <w:r>
              <w:rPr>
                <w:rFonts w:hint="eastAsia" w:ascii="宋体" w:hAnsi="宋体" w:eastAsia="宋体" w:cs="宋体"/>
                <w:b/>
                <w:bCs/>
                <w:color w:val="auto"/>
                <w:u w:val="none" w:color="auto"/>
                <w:lang w:val="en-US" w:eastAsia="zh-CN"/>
              </w:rPr>
              <w:t>13</w:t>
            </w:r>
            <w:r>
              <w:rPr>
                <w:rFonts w:hint="eastAsia" w:ascii="宋体" w:hAnsi="宋体" w:eastAsia="宋体" w:cs="宋体"/>
                <w:b/>
                <w:bCs/>
                <w:iCs w:val="0"/>
                <w:color w:val="auto"/>
                <w:kern w:val="2"/>
                <w:sz w:val="21"/>
                <w:szCs w:val="21"/>
                <w:u w:val="none" w:color="auto"/>
                <w:lang w:val="en-US" w:eastAsia="zh-CN" w:bidi="ar-SA"/>
              </w:rPr>
              <w:t>本工程废水污染物排放基本情况一览表</w:t>
            </w:r>
          </w:p>
          <w:tbl>
            <w:tblPr>
              <w:tblStyle w:val="29"/>
              <w:tblW w:w="4992" w:type="pct"/>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1"/>
              <w:gridCol w:w="851"/>
              <w:gridCol w:w="634"/>
              <w:gridCol w:w="1195"/>
              <w:gridCol w:w="549"/>
              <w:gridCol w:w="469"/>
              <w:gridCol w:w="593"/>
              <w:gridCol w:w="779"/>
              <w:gridCol w:w="604"/>
              <w:gridCol w:w="449"/>
              <w:gridCol w:w="911"/>
              <w:gridCol w:w="922"/>
            </w:tblGrid>
            <w:tr w14:paraId="7D70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92" w:type="dxa"/>
                  <w:vMerge w:val="restart"/>
                  <w:tcBorders>
                    <w:tl2br w:val="nil"/>
                    <w:tr2bl w:val="nil"/>
                  </w:tcBorders>
                  <w:vAlign w:val="center"/>
                </w:tcPr>
                <w:p w14:paraId="27F70455">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废水类别</w:t>
                  </w:r>
                </w:p>
              </w:tc>
              <w:tc>
                <w:tcPr>
                  <w:tcW w:w="819" w:type="dxa"/>
                  <w:vMerge w:val="restart"/>
                  <w:tcBorders>
                    <w:tl2br w:val="nil"/>
                    <w:tr2bl w:val="nil"/>
                  </w:tcBorders>
                  <w:vAlign w:val="center"/>
                </w:tcPr>
                <w:p w14:paraId="5F28D11E">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产生环节</w:t>
                  </w:r>
                </w:p>
              </w:tc>
              <w:tc>
                <w:tcPr>
                  <w:tcW w:w="1759" w:type="dxa"/>
                  <w:gridSpan w:val="2"/>
                  <w:tcBorders>
                    <w:tl2br w:val="nil"/>
                    <w:tr2bl w:val="nil"/>
                  </w:tcBorders>
                  <w:vAlign w:val="center"/>
                </w:tcPr>
                <w:p w14:paraId="750B06BA">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污染治理设施</w:t>
                  </w:r>
                </w:p>
              </w:tc>
              <w:tc>
                <w:tcPr>
                  <w:tcW w:w="528" w:type="dxa"/>
                  <w:vMerge w:val="restart"/>
                  <w:tcBorders>
                    <w:tl2br w:val="nil"/>
                    <w:tr2bl w:val="nil"/>
                  </w:tcBorders>
                  <w:vAlign w:val="center"/>
                </w:tcPr>
                <w:p w14:paraId="2865C968">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排放口</w:t>
                  </w:r>
                </w:p>
                <w:p w14:paraId="101D959D">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编号</w:t>
                  </w:r>
                </w:p>
              </w:tc>
              <w:tc>
                <w:tcPr>
                  <w:tcW w:w="451" w:type="dxa"/>
                  <w:vMerge w:val="restart"/>
                  <w:tcBorders>
                    <w:tl2br w:val="nil"/>
                    <w:tr2bl w:val="nil"/>
                  </w:tcBorders>
                  <w:vAlign w:val="center"/>
                </w:tcPr>
                <w:p w14:paraId="2CD147A4">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排放口坐标</w:t>
                  </w:r>
                </w:p>
              </w:tc>
              <w:tc>
                <w:tcPr>
                  <w:tcW w:w="570" w:type="dxa"/>
                  <w:vMerge w:val="restart"/>
                  <w:tcBorders>
                    <w:tl2br w:val="nil"/>
                    <w:tr2bl w:val="nil"/>
                  </w:tcBorders>
                  <w:vAlign w:val="center"/>
                </w:tcPr>
                <w:p w14:paraId="20342DD8">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排放方式</w:t>
                  </w:r>
                </w:p>
              </w:tc>
              <w:tc>
                <w:tcPr>
                  <w:tcW w:w="749" w:type="dxa"/>
                  <w:vMerge w:val="restart"/>
                  <w:tcBorders>
                    <w:tl2br w:val="nil"/>
                    <w:tr2bl w:val="nil"/>
                  </w:tcBorders>
                  <w:vAlign w:val="center"/>
                </w:tcPr>
                <w:p w14:paraId="67EC4492">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排放去向</w:t>
                  </w:r>
                </w:p>
              </w:tc>
              <w:tc>
                <w:tcPr>
                  <w:tcW w:w="581" w:type="dxa"/>
                  <w:vMerge w:val="restart"/>
                  <w:tcBorders>
                    <w:tl2br w:val="nil"/>
                    <w:tr2bl w:val="nil"/>
                  </w:tcBorders>
                  <w:vAlign w:val="center"/>
                </w:tcPr>
                <w:p w14:paraId="42C2775B">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排放口</w:t>
                  </w:r>
                </w:p>
                <w:p w14:paraId="4025CFD6">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类型</w:t>
                  </w:r>
                </w:p>
              </w:tc>
              <w:tc>
                <w:tcPr>
                  <w:tcW w:w="432" w:type="dxa"/>
                  <w:vMerge w:val="restart"/>
                  <w:tcBorders>
                    <w:tl2br w:val="nil"/>
                    <w:tr2bl w:val="nil"/>
                  </w:tcBorders>
                  <w:vAlign w:val="center"/>
                </w:tcPr>
                <w:p w14:paraId="0DDED43E">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污染物种类</w:t>
                  </w:r>
                </w:p>
              </w:tc>
              <w:tc>
                <w:tcPr>
                  <w:tcW w:w="876" w:type="dxa"/>
                  <w:vMerge w:val="restart"/>
                  <w:tcBorders>
                    <w:tl2br w:val="nil"/>
                    <w:tr2bl w:val="nil"/>
                  </w:tcBorders>
                  <w:vAlign w:val="center"/>
                </w:tcPr>
                <w:p w14:paraId="0F86CAF2">
                  <w:pPr>
                    <w:pStyle w:val="10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排放浓度限值</w:t>
                  </w:r>
                </w:p>
                <w:p w14:paraId="7A7E2B56">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sz w:val="21"/>
                      <w:szCs w:val="21"/>
                      <w:u w:val="none"/>
                    </w:rPr>
                    <w:t>（mg/L）</w:t>
                  </w:r>
                </w:p>
              </w:tc>
              <w:tc>
                <w:tcPr>
                  <w:tcW w:w="887" w:type="dxa"/>
                  <w:vMerge w:val="restart"/>
                  <w:tcBorders>
                    <w:tl2br w:val="nil"/>
                    <w:tr2bl w:val="nil"/>
                  </w:tcBorders>
                  <w:vAlign w:val="center"/>
                </w:tcPr>
                <w:p w14:paraId="1AC998DD">
                  <w:pPr>
                    <w:pStyle w:val="10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执行标准</w:t>
                  </w:r>
                </w:p>
              </w:tc>
            </w:tr>
            <w:tr w14:paraId="69E2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92" w:type="dxa"/>
                  <w:vMerge w:val="continue"/>
                  <w:tcBorders>
                    <w:tl2br w:val="nil"/>
                    <w:tr2bl w:val="nil"/>
                  </w:tcBorders>
                  <w:vAlign w:val="center"/>
                </w:tcPr>
                <w:p w14:paraId="064B34BB">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p>
              </w:tc>
              <w:tc>
                <w:tcPr>
                  <w:tcW w:w="819" w:type="dxa"/>
                  <w:vMerge w:val="continue"/>
                  <w:tcBorders>
                    <w:tl2br w:val="nil"/>
                    <w:tr2bl w:val="nil"/>
                  </w:tcBorders>
                  <w:vAlign w:val="center"/>
                </w:tcPr>
                <w:p w14:paraId="483B8A68">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p>
              </w:tc>
              <w:tc>
                <w:tcPr>
                  <w:tcW w:w="610" w:type="dxa"/>
                  <w:tcBorders>
                    <w:tl2br w:val="nil"/>
                    <w:tr2bl w:val="nil"/>
                  </w:tcBorders>
                  <w:vAlign w:val="center"/>
                </w:tcPr>
                <w:p w14:paraId="5A6FB52B">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污染治理设施名称</w:t>
                  </w:r>
                </w:p>
              </w:tc>
              <w:tc>
                <w:tcPr>
                  <w:tcW w:w="1149" w:type="dxa"/>
                  <w:tcBorders>
                    <w:tl2br w:val="nil"/>
                    <w:tr2bl w:val="nil"/>
                  </w:tcBorders>
                  <w:vAlign w:val="center"/>
                </w:tcPr>
                <w:p w14:paraId="13F3BC5C">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污染治理设施工艺</w:t>
                  </w:r>
                </w:p>
              </w:tc>
              <w:tc>
                <w:tcPr>
                  <w:tcW w:w="528" w:type="dxa"/>
                  <w:vMerge w:val="continue"/>
                  <w:tcBorders>
                    <w:tl2br w:val="nil"/>
                    <w:tr2bl w:val="nil"/>
                  </w:tcBorders>
                  <w:vAlign w:val="center"/>
                </w:tcPr>
                <w:p w14:paraId="1A42B504">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p>
              </w:tc>
              <w:tc>
                <w:tcPr>
                  <w:tcW w:w="451" w:type="dxa"/>
                  <w:vMerge w:val="continue"/>
                  <w:tcBorders>
                    <w:tl2br w:val="nil"/>
                    <w:tr2bl w:val="nil"/>
                  </w:tcBorders>
                  <w:vAlign w:val="center"/>
                </w:tcPr>
                <w:p w14:paraId="23663F19">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p>
              </w:tc>
              <w:tc>
                <w:tcPr>
                  <w:tcW w:w="570" w:type="dxa"/>
                  <w:vMerge w:val="continue"/>
                  <w:tcBorders>
                    <w:tl2br w:val="nil"/>
                    <w:tr2bl w:val="nil"/>
                  </w:tcBorders>
                  <w:vAlign w:val="center"/>
                </w:tcPr>
                <w:p w14:paraId="2AEE5485">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p>
              </w:tc>
              <w:tc>
                <w:tcPr>
                  <w:tcW w:w="749" w:type="dxa"/>
                  <w:vMerge w:val="continue"/>
                  <w:tcBorders>
                    <w:tl2br w:val="nil"/>
                    <w:tr2bl w:val="nil"/>
                  </w:tcBorders>
                  <w:vAlign w:val="center"/>
                </w:tcPr>
                <w:p w14:paraId="687D727F">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p>
              </w:tc>
              <w:tc>
                <w:tcPr>
                  <w:tcW w:w="581" w:type="dxa"/>
                  <w:vMerge w:val="continue"/>
                  <w:tcBorders>
                    <w:tl2br w:val="nil"/>
                    <w:tr2bl w:val="nil"/>
                  </w:tcBorders>
                  <w:vAlign w:val="center"/>
                </w:tcPr>
                <w:p w14:paraId="7517DD5F">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p>
              </w:tc>
              <w:tc>
                <w:tcPr>
                  <w:tcW w:w="432" w:type="dxa"/>
                  <w:vMerge w:val="continue"/>
                  <w:tcBorders>
                    <w:tl2br w:val="nil"/>
                    <w:tr2bl w:val="nil"/>
                  </w:tcBorders>
                  <w:vAlign w:val="center"/>
                </w:tcPr>
                <w:p w14:paraId="62E8CF51">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p>
              </w:tc>
              <w:tc>
                <w:tcPr>
                  <w:tcW w:w="876" w:type="dxa"/>
                  <w:vMerge w:val="continue"/>
                  <w:tcBorders>
                    <w:tl2br w:val="nil"/>
                    <w:tr2bl w:val="nil"/>
                  </w:tcBorders>
                  <w:vAlign w:val="center"/>
                </w:tcPr>
                <w:p w14:paraId="7D7FFFAE">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p>
              </w:tc>
              <w:tc>
                <w:tcPr>
                  <w:tcW w:w="887" w:type="dxa"/>
                  <w:vMerge w:val="continue"/>
                  <w:tcBorders>
                    <w:tl2br w:val="nil"/>
                    <w:tr2bl w:val="nil"/>
                  </w:tcBorders>
                  <w:vAlign w:val="center"/>
                </w:tcPr>
                <w:p w14:paraId="6134A34B">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p>
              </w:tc>
            </w:tr>
            <w:tr w14:paraId="38671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92" w:type="dxa"/>
                  <w:tcBorders>
                    <w:tl2br w:val="nil"/>
                    <w:tr2bl w:val="nil"/>
                  </w:tcBorders>
                  <w:vAlign w:val="center"/>
                </w:tcPr>
                <w:p w14:paraId="3894801B">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生活污水</w:t>
                  </w:r>
                </w:p>
              </w:tc>
              <w:tc>
                <w:tcPr>
                  <w:tcW w:w="819" w:type="dxa"/>
                  <w:tcBorders>
                    <w:tl2br w:val="nil"/>
                    <w:tr2bl w:val="nil"/>
                  </w:tcBorders>
                  <w:vAlign w:val="center"/>
                </w:tcPr>
                <w:p w14:paraId="6158B0B2">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员工生活</w:t>
                  </w:r>
                </w:p>
              </w:tc>
              <w:tc>
                <w:tcPr>
                  <w:tcW w:w="610" w:type="dxa"/>
                  <w:tcBorders>
                    <w:tl2br w:val="nil"/>
                    <w:tr2bl w:val="nil"/>
                  </w:tcBorders>
                  <w:vAlign w:val="center"/>
                </w:tcPr>
                <w:p w14:paraId="6407AC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化粪池+施肥</w:t>
                  </w:r>
                </w:p>
              </w:tc>
              <w:tc>
                <w:tcPr>
                  <w:tcW w:w="1149" w:type="dxa"/>
                  <w:tcBorders>
                    <w:tl2br w:val="nil"/>
                    <w:tr2bl w:val="nil"/>
                  </w:tcBorders>
                  <w:vAlign w:val="center"/>
                </w:tcPr>
                <w:p w14:paraId="3889CD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化粪池+施肥</w:t>
                  </w:r>
                </w:p>
              </w:tc>
              <w:tc>
                <w:tcPr>
                  <w:tcW w:w="528" w:type="dxa"/>
                  <w:tcBorders>
                    <w:tl2br w:val="nil"/>
                    <w:tr2bl w:val="nil"/>
                  </w:tcBorders>
                  <w:vAlign w:val="center"/>
                </w:tcPr>
                <w:p w14:paraId="26466F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u w:val="none"/>
                    </w:rPr>
                  </w:pPr>
                  <w:r>
                    <w:rPr>
                      <w:rFonts w:hint="eastAsia" w:ascii="宋体" w:hAnsi="宋体" w:eastAsia="宋体" w:cs="宋体"/>
                      <w:color w:val="auto"/>
                      <w:sz w:val="21"/>
                      <w:szCs w:val="21"/>
                      <w:u w:val="none"/>
                    </w:rPr>
                    <w:t>/</w:t>
                  </w:r>
                </w:p>
              </w:tc>
              <w:tc>
                <w:tcPr>
                  <w:tcW w:w="451" w:type="dxa"/>
                  <w:tcBorders>
                    <w:tl2br w:val="nil"/>
                    <w:tr2bl w:val="nil"/>
                  </w:tcBorders>
                  <w:vAlign w:val="center"/>
                </w:tcPr>
                <w:p w14:paraId="48035F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u w:val="none"/>
                    </w:rPr>
                  </w:pPr>
                  <w:r>
                    <w:rPr>
                      <w:rFonts w:hint="eastAsia" w:ascii="宋体" w:hAnsi="宋体" w:eastAsia="宋体" w:cs="宋体"/>
                      <w:color w:val="auto"/>
                      <w:sz w:val="21"/>
                      <w:szCs w:val="21"/>
                      <w:u w:val="none"/>
                    </w:rPr>
                    <w:t>/</w:t>
                  </w:r>
                </w:p>
              </w:tc>
              <w:tc>
                <w:tcPr>
                  <w:tcW w:w="570" w:type="dxa"/>
                  <w:tcBorders>
                    <w:tl2br w:val="nil"/>
                    <w:tr2bl w:val="nil"/>
                  </w:tcBorders>
                  <w:vAlign w:val="center"/>
                </w:tcPr>
                <w:p w14:paraId="0438EEB7">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不排放</w:t>
                  </w:r>
                </w:p>
              </w:tc>
              <w:tc>
                <w:tcPr>
                  <w:tcW w:w="749" w:type="dxa"/>
                  <w:tcBorders>
                    <w:tl2br w:val="nil"/>
                    <w:tr2bl w:val="nil"/>
                  </w:tcBorders>
                  <w:vAlign w:val="center"/>
                </w:tcPr>
                <w:p w14:paraId="5E99D5A5">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r>
                    <w:rPr>
                      <w:rFonts w:hint="eastAsia" w:ascii="宋体" w:hAnsi="宋体" w:eastAsia="宋体" w:cs="宋体"/>
                      <w:color w:val="auto"/>
                      <w:sz w:val="21"/>
                      <w:szCs w:val="21"/>
                      <w:u w:val="none"/>
                    </w:rPr>
                    <w:t>/</w:t>
                  </w:r>
                </w:p>
              </w:tc>
              <w:tc>
                <w:tcPr>
                  <w:tcW w:w="581" w:type="dxa"/>
                  <w:tcBorders>
                    <w:tl2br w:val="nil"/>
                    <w:tr2bl w:val="nil"/>
                  </w:tcBorders>
                  <w:vAlign w:val="center"/>
                </w:tcPr>
                <w:p w14:paraId="7613720F">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r>
                    <w:rPr>
                      <w:rFonts w:hint="eastAsia" w:ascii="宋体" w:hAnsi="宋体" w:eastAsia="宋体" w:cs="宋体"/>
                      <w:color w:val="auto"/>
                      <w:sz w:val="21"/>
                      <w:szCs w:val="21"/>
                      <w:u w:val="none"/>
                    </w:rPr>
                    <w:t>/</w:t>
                  </w:r>
                </w:p>
              </w:tc>
              <w:tc>
                <w:tcPr>
                  <w:tcW w:w="432" w:type="dxa"/>
                  <w:tcBorders>
                    <w:tl2br w:val="nil"/>
                    <w:tr2bl w:val="nil"/>
                  </w:tcBorders>
                  <w:vAlign w:val="center"/>
                </w:tcPr>
                <w:p w14:paraId="6F8FBF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u w:val="none"/>
                    </w:rPr>
                  </w:pPr>
                  <w:r>
                    <w:rPr>
                      <w:rFonts w:hint="eastAsia" w:ascii="宋体" w:hAnsi="宋体" w:eastAsia="宋体" w:cs="宋体"/>
                      <w:color w:val="auto"/>
                      <w:sz w:val="21"/>
                      <w:szCs w:val="21"/>
                      <w:u w:val="none"/>
                    </w:rPr>
                    <w:t>/</w:t>
                  </w:r>
                </w:p>
              </w:tc>
              <w:tc>
                <w:tcPr>
                  <w:tcW w:w="876" w:type="dxa"/>
                  <w:tcBorders>
                    <w:tl2br w:val="nil"/>
                    <w:tr2bl w:val="nil"/>
                  </w:tcBorders>
                  <w:vAlign w:val="center"/>
                </w:tcPr>
                <w:p w14:paraId="213B27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u w:val="none"/>
                    </w:rPr>
                  </w:pPr>
                  <w:r>
                    <w:rPr>
                      <w:rFonts w:hint="eastAsia" w:ascii="宋体" w:hAnsi="宋体" w:eastAsia="宋体" w:cs="宋体"/>
                      <w:color w:val="auto"/>
                      <w:sz w:val="21"/>
                      <w:szCs w:val="21"/>
                      <w:u w:val="none"/>
                    </w:rPr>
                    <w:t>/</w:t>
                  </w:r>
                </w:p>
              </w:tc>
              <w:tc>
                <w:tcPr>
                  <w:tcW w:w="887" w:type="dxa"/>
                  <w:tcBorders>
                    <w:tl2br w:val="nil"/>
                    <w:tr2bl w:val="nil"/>
                  </w:tcBorders>
                  <w:vAlign w:val="center"/>
                </w:tcPr>
                <w:p w14:paraId="4446B59C">
                  <w:pPr>
                    <w:pStyle w:val="106"/>
                    <w:keepNext w:val="0"/>
                    <w:keepLines w:val="0"/>
                    <w:suppressLineNumbers w:val="0"/>
                    <w:adjustRightInd w:val="0"/>
                    <w:snapToGrid w:val="0"/>
                    <w:spacing w:before="0" w:beforeAutospacing="0" w:after="0" w:afterAutospacing="0"/>
                    <w:ind w:left="0" w:right="0" w:firstLine="0" w:firstLineChars="0"/>
                    <w:jc w:val="center"/>
                    <w:rPr>
                      <w:rFonts w:hint="eastAsia" w:ascii="宋体" w:hAnsi="宋体" w:eastAsia="宋体" w:cs="宋体"/>
                      <w:color w:val="auto"/>
                      <w:kern w:val="0"/>
                      <w:sz w:val="21"/>
                      <w:szCs w:val="21"/>
                      <w:u w:val="none"/>
                    </w:rPr>
                  </w:pPr>
                  <w:r>
                    <w:rPr>
                      <w:rFonts w:hint="eastAsia" w:ascii="宋体" w:hAnsi="宋体" w:eastAsia="宋体" w:cs="宋体"/>
                      <w:color w:val="auto"/>
                      <w:sz w:val="21"/>
                      <w:szCs w:val="21"/>
                      <w:u w:val="none"/>
                    </w:rPr>
                    <w:t>/</w:t>
                  </w:r>
                </w:p>
              </w:tc>
            </w:tr>
          </w:tbl>
          <w:p w14:paraId="1B66E94F">
            <w:pPr>
              <w:kinsoku/>
              <w:overflowPunct w:val="0"/>
              <w:spacing w:line="360" w:lineRule="auto"/>
              <w:jc w:val="center"/>
              <w:rPr>
                <w:rFonts w:hint="eastAsia" w:ascii="Times New Roman" w:hAnsi="Times New Roman" w:eastAsia="宋体" w:cs="Times New Roman"/>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表4-</w:t>
            </w:r>
            <w:r>
              <w:rPr>
                <w:rFonts w:hint="eastAsia" w:ascii="宋体" w:hAnsi="宋体" w:eastAsia="宋体" w:cs="宋体"/>
                <w:b/>
                <w:bCs/>
                <w:color w:val="000000" w:themeColor="text1"/>
                <w:lang w:val="en-US" w:eastAsia="zh-CN"/>
                <w14:textFill>
                  <w14:solidFill>
                    <w14:schemeClr w14:val="tx1"/>
                  </w14:solidFill>
                </w14:textFill>
              </w:rPr>
              <w:t>1</w:t>
            </w:r>
            <w:r>
              <w:rPr>
                <w:rFonts w:hint="eastAsia" w:ascii="宋体" w:hAnsi="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14:textFill>
                  <w14:solidFill>
                    <w14:schemeClr w14:val="tx1"/>
                  </w14:solidFill>
                </w14:textFill>
              </w:rPr>
              <w:t>本工程大</w:t>
            </w:r>
            <w:r>
              <w:rPr>
                <w:rFonts w:hint="eastAsia" w:ascii="Times New Roman" w:hAnsi="Times New Roman" w:eastAsia="宋体" w:cs="Times New Roman"/>
                <w:b/>
                <w:bCs/>
                <w:color w:val="000000" w:themeColor="text1"/>
                <w14:textFill>
                  <w14:solidFill>
                    <w14:schemeClr w14:val="tx1"/>
                  </w14:solidFill>
                </w14:textFill>
              </w:rPr>
              <w:t>气污染物排放基本情况一览表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636"/>
              <w:gridCol w:w="452"/>
              <w:gridCol w:w="442"/>
              <w:gridCol w:w="768"/>
              <w:gridCol w:w="2211"/>
              <w:gridCol w:w="468"/>
              <w:gridCol w:w="521"/>
              <w:gridCol w:w="604"/>
              <w:gridCol w:w="1927"/>
            </w:tblGrid>
            <w:tr w14:paraId="3210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0" w:type="dxa"/>
                  <w:gridSpan w:val="2"/>
                  <w:noWrap w:val="0"/>
                  <w:vAlign w:val="center"/>
                </w:tcPr>
                <w:p w14:paraId="009AA9DB">
                  <w:pPr>
                    <w:pStyle w:val="53"/>
                    <w:bidi w:val="0"/>
                    <w:rPr>
                      <w:color w:val="000000" w:themeColor="text1"/>
                      <w14:textFill>
                        <w14:solidFill>
                          <w14:schemeClr w14:val="tx1"/>
                        </w14:solidFill>
                      </w14:textFill>
                    </w:rPr>
                  </w:pPr>
                  <w:r>
                    <w:rPr>
                      <w:color w:val="000000" w:themeColor="text1"/>
                      <w14:textFill>
                        <w14:solidFill>
                          <w14:schemeClr w14:val="tx1"/>
                        </w14:solidFill>
                      </w14:textFill>
                    </w:rPr>
                    <w:t>污染源项</w:t>
                  </w:r>
                </w:p>
              </w:tc>
              <w:tc>
                <w:tcPr>
                  <w:tcW w:w="515" w:type="dxa"/>
                  <w:vMerge w:val="restart"/>
                  <w:noWrap w:val="0"/>
                  <w:vAlign w:val="center"/>
                </w:tcPr>
                <w:p w14:paraId="644AF02C">
                  <w:pPr>
                    <w:pStyle w:val="53"/>
                    <w:bidi w:val="0"/>
                    <w:rPr>
                      <w:color w:val="000000" w:themeColor="text1"/>
                      <w14:textFill>
                        <w14:solidFill>
                          <w14:schemeClr w14:val="tx1"/>
                        </w14:solidFill>
                      </w14:textFill>
                    </w:rPr>
                  </w:pPr>
                  <w:r>
                    <w:rPr>
                      <w:color w:val="000000" w:themeColor="text1"/>
                      <w14:textFill>
                        <w14:solidFill>
                          <w14:schemeClr w14:val="tx1"/>
                        </w14:solidFill>
                      </w14:textFill>
                    </w:rPr>
                    <w:t>治理措施</w:t>
                  </w:r>
                </w:p>
              </w:tc>
              <w:tc>
                <w:tcPr>
                  <w:tcW w:w="480" w:type="dxa"/>
                  <w:vMerge w:val="restart"/>
                  <w:noWrap w:val="0"/>
                  <w:vAlign w:val="center"/>
                </w:tcPr>
                <w:p w14:paraId="108DC079">
                  <w:pPr>
                    <w:pStyle w:val="53"/>
                    <w:bidi w:val="0"/>
                    <w:rPr>
                      <w:color w:val="000000" w:themeColor="text1"/>
                      <w14:textFill>
                        <w14:solidFill>
                          <w14:schemeClr w14:val="tx1"/>
                        </w14:solidFill>
                      </w14:textFill>
                    </w:rPr>
                  </w:pPr>
                  <w:r>
                    <w:rPr>
                      <w:color w:val="000000" w:themeColor="text1"/>
                      <w14:textFill>
                        <w14:solidFill>
                          <w14:schemeClr w14:val="tx1"/>
                        </w14:solidFill>
                      </w14:textFill>
                    </w:rPr>
                    <w:t>排放形式</w:t>
                  </w:r>
                </w:p>
              </w:tc>
              <w:tc>
                <w:tcPr>
                  <w:tcW w:w="835" w:type="dxa"/>
                  <w:vMerge w:val="restart"/>
                  <w:noWrap w:val="0"/>
                  <w:vAlign w:val="center"/>
                </w:tcPr>
                <w:p w14:paraId="6B83858A">
                  <w:pPr>
                    <w:pStyle w:val="53"/>
                    <w:bidi w:val="0"/>
                    <w:rPr>
                      <w:color w:val="000000" w:themeColor="text1"/>
                      <w14:textFill>
                        <w14:solidFill>
                          <w14:schemeClr w14:val="tx1"/>
                        </w14:solidFill>
                      </w14:textFill>
                    </w:rPr>
                  </w:pPr>
                  <w:r>
                    <w:rPr>
                      <w:color w:val="000000" w:themeColor="text1"/>
                      <w14:textFill>
                        <w14:solidFill>
                          <w14:schemeClr w14:val="tx1"/>
                        </w14:solidFill>
                      </w14:textFill>
                    </w:rPr>
                    <w:t>排放口编号</w:t>
                  </w:r>
                </w:p>
              </w:tc>
              <w:tc>
                <w:tcPr>
                  <w:tcW w:w="1316" w:type="dxa"/>
                  <w:vMerge w:val="restart"/>
                  <w:noWrap w:val="0"/>
                  <w:vAlign w:val="center"/>
                </w:tcPr>
                <w:p w14:paraId="2A266C7A">
                  <w:pPr>
                    <w:pStyle w:val="53"/>
                    <w:bidi w:val="0"/>
                    <w:rPr>
                      <w:color w:val="000000" w:themeColor="text1"/>
                      <w14:textFill>
                        <w14:solidFill>
                          <w14:schemeClr w14:val="tx1"/>
                        </w14:solidFill>
                      </w14:textFill>
                    </w:rPr>
                  </w:pPr>
                  <w:r>
                    <w:rPr>
                      <w:color w:val="000000" w:themeColor="text1"/>
                      <w14:textFill>
                        <w14:solidFill>
                          <w14:schemeClr w14:val="tx1"/>
                        </w14:solidFill>
                      </w14:textFill>
                    </w:rPr>
                    <w:t>排放口坐标</w:t>
                  </w:r>
                </w:p>
              </w:tc>
              <w:tc>
                <w:tcPr>
                  <w:tcW w:w="572" w:type="dxa"/>
                  <w:vMerge w:val="restart"/>
                  <w:noWrap w:val="0"/>
                  <w:vAlign w:val="center"/>
                </w:tcPr>
                <w:p w14:paraId="09C40F61">
                  <w:pPr>
                    <w:pStyle w:val="53"/>
                    <w:bidi w:val="0"/>
                    <w:rPr>
                      <w:color w:val="000000" w:themeColor="text1"/>
                      <w14:textFill>
                        <w14:solidFill>
                          <w14:schemeClr w14:val="tx1"/>
                        </w14:solidFill>
                      </w14:textFill>
                    </w:rPr>
                  </w:pPr>
                  <w:r>
                    <w:rPr>
                      <w:color w:val="000000" w:themeColor="text1"/>
                      <w14:textFill>
                        <w14:solidFill>
                          <w14:schemeClr w14:val="tx1"/>
                        </w14:solidFill>
                      </w14:textFill>
                    </w:rPr>
                    <w:t>排放口类型</w:t>
                  </w:r>
                </w:p>
              </w:tc>
              <w:tc>
                <w:tcPr>
                  <w:tcW w:w="625" w:type="dxa"/>
                  <w:vMerge w:val="restart"/>
                  <w:noWrap w:val="0"/>
                  <w:vAlign w:val="center"/>
                </w:tcPr>
                <w:p w14:paraId="458DDA14">
                  <w:pPr>
                    <w:pStyle w:val="53"/>
                    <w:bidi w:val="0"/>
                    <w:rPr>
                      <w:color w:val="000000" w:themeColor="text1"/>
                      <w14:textFill>
                        <w14:solidFill>
                          <w14:schemeClr w14:val="tx1"/>
                        </w14:solidFill>
                      </w14:textFill>
                    </w:rPr>
                  </w:pPr>
                  <w:r>
                    <w:rPr>
                      <w:color w:val="000000" w:themeColor="text1"/>
                      <w14:textFill>
                        <w14:solidFill>
                          <w14:schemeClr w14:val="tx1"/>
                        </w14:solidFill>
                      </w14:textFill>
                    </w:rPr>
                    <w:t>污染因子</w:t>
                  </w:r>
                </w:p>
              </w:tc>
              <w:tc>
                <w:tcPr>
                  <w:tcW w:w="783" w:type="dxa"/>
                  <w:vMerge w:val="restart"/>
                  <w:noWrap w:val="0"/>
                  <w:vAlign w:val="center"/>
                </w:tcPr>
                <w:p w14:paraId="1FB5468F">
                  <w:pPr>
                    <w:pStyle w:val="53"/>
                    <w:bidi w:val="0"/>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t>浓度限值</w:t>
                  </w:r>
                </w:p>
              </w:tc>
              <w:tc>
                <w:tcPr>
                  <w:tcW w:w="2000" w:type="dxa"/>
                  <w:vMerge w:val="restart"/>
                  <w:noWrap w:val="0"/>
                  <w:vAlign w:val="center"/>
                </w:tcPr>
                <w:p w14:paraId="68ADBFF5">
                  <w:pPr>
                    <w:pStyle w:val="53"/>
                    <w:bidi w:val="0"/>
                    <w:rPr>
                      <w:color w:val="000000" w:themeColor="text1"/>
                      <w14:textFill>
                        <w14:solidFill>
                          <w14:schemeClr w14:val="tx1"/>
                        </w14:solidFill>
                      </w14:textFill>
                    </w:rPr>
                  </w:pPr>
                  <w:r>
                    <w:rPr>
                      <w:color w:val="000000" w:themeColor="text1"/>
                      <w14:textFill>
                        <w14:solidFill>
                          <w14:schemeClr w14:val="tx1"/>
                        </w14:solidFill>
                      </w14:textFill>
                    </w:rPr>
                    <w:t>执行标准</w:t>
                  </w:r>
                </w:p>
              </w:tc>
            </w:tr>
            <w:tr w14:paraId="168D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exact"/>
              </w:trPr>
              <w:tc>
                <w:tcPr>
                  <w:tcW w:w="515" w:type="dxa"/>
                  <w:noWrap w:val="0"/>
                  <w:vAlign w:val="center"/>
                </w:tcPr>
                <w:p w14:paraId="29D5D39B">
                  <w:pPr>
                    <w:pStyle w:val="53"/>
                    <w:bidi w:val="0"/>
                    <w:rPr>
                      <w:color w:val="000000" w:themeColor="text1"/>
                      <w14:textFill>
                        <w14:solidFill>
                          <w14:schemeClr w14:val="tx1"/>
                        </w14:solidFill>
                      </w14:textFill>
                    </w:rPr>
                  </w:pPr>
                  <w:r>
                    <w:rPr>
                      <w:color w:val="000000" w:themeColor="text1"/>
                      <w14:textFill>
                        <w14:solidFill>
                          <w14:schemeClr w14:val="tx1"/>
                        </w14:solidFill>
                      </w14:textFill>
                    </w:rPr>
                    <w:t>生产工艺</w:t>
                  </w:r>
                </w:p>
              </w:tc>
              <w:tc>
                <w:tcPr>
                  <w:tcW w:w="515" w:type="dxa"/>
                  <w:noWrap w:val="0"/>
                  <w:vAlign w:val="center"/>
                </w:tcPr>
                <w:p w14:paraId="7F1297B5">
                  <w:pPr>
                    <w:pStyle w:val="53"/>
                    <w:bidi w:val="0"/>
                    <w:rPr>
                      <w:color w:val="000000" w:themeColor="text1"/>
                      <w14:textFill>
                        <w14:solidFill>
                          <w14:schemeClr w14:val="tx1"/>
                        </w14:solidFill>
                      </w14:textFill>
                    </w:rPr>
                  </w:pPr>
                  <w:r>
                    <w:rPr>
                      <w:color w:val="000000" w:themeColor="text1"/>
                      <w14:textFill>
                        <w14:solidFill>
                          <w14:schemeClr w14:val="tx1"/>
                        </w14:solidFill>
                      </w14:textFill>
                    </w:rPr>
                    <w:t>产污设备</w:t>
                  </w:r>
                </w:p>
              </w:tc>
              <w:tc>
                <w:tcPr>
                  <w:tcW w:w="515" w:type="dxa"/>
                  <w:vMerge w:val="continue"/>
                  <w:noWrap w:val="0"/>
                  <w:vAlign w:val="center"/>
                </w:tcPr>
                <w:p w14:paraId="202FE8A1">
                  <w:pPr>
                    <w:pStyle w:val="53"/>
                    <w:bidi w:val="0"/>
                    <w:rPr>
                      <w:color w:val="FF0000"/>
                    </w:rPr>
                  </w:pPr>
                </w:p>
              </w:tc>
              <w:tc>
                <w:tcPr>
                  <w:tcW w:w="480" w:type="dxa"/>
                  <w:vMerge w:val="continue"/>
                  <w:noWrap w:val="0"/>
                  <w:vAlign w:val="center"/>
                </w:tcPr>
                <w:p w14:paraId="3F4C597C">
                  <w:pPr>
                    <w:pStyle w:val="53"/>
                    <w:bidi w:val="0"/>
                    <w:rPr>
                      <w:color w:val="FF0000"/>
                    </w:rPr>
                  </w:pPr>
                </w:p>
              </w:tc>
              <w:tc>
                <w:tcPr>
                  <w:tcW w:w="835" w:type="dxa"/>
                  <w:vMerge w:val="continue"/>
                  <w:noWrap w:val="0"/>
                  <w:vAlign w:val="center"/>
                </w:tcPr>
                <w:p w14:paraId="66328713">
                  <w:pPr>
                    <w:pStyle w:val="53"/>
                    <w:bidi w:val="0"/>
                    <w:rPr>
                      <w:color w:val="FF0000"/>
                    </w:rPr>
                  </w:pPr>
                </w:p>
              </w:tc>
              <w:tc>
                <w:tcPr>
                  <w:tcW w:w="1316" w:type="dxa"/>
                  <w:vMerge w:val="continue"/>
                  <w:noWrap w:val="0"/>
                  <w:vAlign w:val="center"/>
                </w:tcPr>
                <w:p w14:paraId="58B11EFF">
                  <w:pPr>
                    <w:pStyle w:val="53"/>
                    <w:bidi w:val="0"/>
                    <w:rPr>
                      <w:color w:val="FF0000"/>
                    </w:rPr>
                  </w:pPr>
                </w:p>
              </w:tc>
              <w:tc>
                <w:tcPr>
                  <w:tcW w:w="572" w:type="dxa"/>
                  <w:vMerge w:val="continue"/>
                  <w:noWrap w:val="0"/>
                  <w:vAlign w:val="center"/>
                </w:tcPr>
                <w:p w14:paraId="215D4E2B">
                  <w:pPr>
                    <w:pStyle w:val="53"/>
                    <w:bidi w:val="0"/>
                    <w:rPr>
                      <w:color w:val="FF0000"/>
                    </w:rPr>
                  </w:pPr>
                </w:p>
              </w:tc>
              <w:tc>
                <w:tcPr>
                  <w:tcW w:w="625" w:type="dxa"/>
                  <w:vMerge w:val="continue"/>
                  <w:noWrap w:val="0"/>
                  <w:vAlign w:val="center"/>
                </w:tcPr>
                <w:p w14:paraId="06E2D020">
                  <w:pPr>
                    <w:pStyle w:val="53"/>
                    <w:bidi w:val="0"/>
                    <w:rPr>
                      <w:color w:val="FF0000"/>
                    </w:rPr>
                  </w:pPr>
                </w:p>
              </w:tc>
              <w:tc>
                <w:tcPr>
                  <w:tcW w:w="783" w:type="dxa"/>
                  <w:vMerge w:val="continue"/>
                  <w:noWrap w:val="0"/>
                  <w:vAlign w:val="center"/>
                </w:tcPr>
                <w:p w14:paraId="05E4080D">
                  <w:pPr>
                    <w:pStyle w:val="53"/>
                    <w:bidi w:val="0"/>
                    <w:rPr>
                      <w:rFonts w:hint="default"/>
                      <w:color w:val="FF0000"/>
                      <w:lang w:val="en-US" w:eastAsia="zh-CN"/>
                    </w:rPr>
                  </w:pPr>
                </w:p>
              </w:tc>
              <w:tc>
                <w:tcPr>
                  <w:tcW w:w="2000" w:type="dxa"/>
                  <w:vMerge w:val="continue"/>
                  <w:noWrap w:val="0"/>
                  <w:vAlign w:val="center"/>
                </w:tcPr>
                <w:p w14:paraId="09059DEF">
                  <w:pPr>
                    <w:pStyle w:val="53"/>
                    <w:bidi w:val="0"/>
                    <w:rPr>
                      <w:color w:val="FF0000"/>
                    </w:rPr>
                  </w:pPr>
                </w:p>
              </w:tc>
            </w:tr>
            <w:tr w14:paraId="0B0F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515" w:type="dxa"/>
                  <w:vMerge w:val="restart"/>
                  <w:noWrap w:val="0"/>
                  <w:vAlign w:val="center"/>
                </w:tcPr>
                <w:p w14:paraId="6CDD1FAD">
                  <w:pPr>
                    <w:pStyle w:val="53"/>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烘干</w:t>
                  </w:r>
                  <w:r>
                    <w:rPr>
                      <w:color w:val="000000" w:themeColor="text1"/>
                      <w14:textFill>
                        <w14:solidFill>
                          <w14:schemeClr w14:val="tx1"/>
                        </w14:solidFill>
                      </w14:textFill>
                    </w:rPr>
                    <w:t>工艺</w:t>
                  </w:r>
                </w:p>
              </w:tc>
              <w:tc>
                <w:tcPr>
                  <w:tcW w:w="515" w:type="dxa"/>
                  <w:vMerge w:val="restart"/>
                  <w:noWrap w:val="0"/>
                  <w:vAlign w:val="center"/>
                </w:tcPr>
                <w:p w14:paraId="7184D543">
                  <w:pPr>
                    <w:pStyle w:val="5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热风炉、干燥机</w:t>
                  </w:r>
                </w:p>
              </w:tc>
              <w:tc>
                <w:tcPr>
                  <w:tcW w:w="515" w:type="dxa"/>
                  <w:vMerge w:val="restart"/>
                  <w:noWrap w:val="0"/>
                  <w:vAlign w:val="center"/>
                </w:tcPr>
                <w:p w14:paraId="5593FCCB">
                  <w:pPr>
                    <w:pStyle w:val="5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沙克隆+沉降室+布袋除尘器</w:t>
                  </w:r>
                </w:p>
              </w:tc>
              <w:tc>
                <w:tcPr>
                  <w:tcW w:w="480" w:type="dxa"/>
                  <w:vMerge w:val="restart"/>
                  <w:noWrap w:val="0"/>
                  <w:vAlign w:val="center"/>
                </w:tcPr>
                <w:p w14:paraId="3F3E783B">
                  <w:pPr>
                    <w:pStyle w:val="53"/>
                    <w:bidi w:val="0"/>
                    <w:rPr>
                      <w:color w:val="000000" w:themeColor="text1"/>
                      <w14:textFill>
                        <w14:solidFill>
                          <w14:schemeClr w14:val="tx1"/>
                        </w14:solidFill>
                      </w14:textFill>
                    </w:rPr>
                  </w:pPr>
                  <w:r>
                    <w:rPr>
                      <w:color w:val="000000" w:themeColor="text1"/>
                      <w14:textFill>
                        <w14:solidFill>
                          <w14:schemeClr w14:val="tx1"/>
                        </w14:solidFill>
                      </w14:textFill>
                    </w:rPr>
                    <w:t>有组织</w:t>
                  </w:r>
                </w:p>
              </w:tc>
              <w:tc>
                <w:tcPr>
                  <w:tcW w:w="835" w:type="dxa"/>
                  <w:vMerge w:val="restart"/>
                  <w:noWrap w:val="0"/>
                  <w:vAlign w:val="center"/>
                </w:tcPr>
                <w:p w14:paraId="3146FFD7">
                  <w:pPr>
                    <w:pStyle w:val="5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DA001</w:t>
                  </w:r>
                </w:p>
              </w:tc>
              <w:tc>
                <w:tcPr>
                  <w:tcW w:w="1316" w:type="dxa"/>
                  <w:vMerge w:val="restart"/>
                  <w:noWrap w:val="0"/>
                  <w:vAlign w:val="center"/>
                </w:tcPr>
                <w:p w14:paraId="19F745BC">
                  <w:pPr>
                    <w:pStyle w:val="53"/>
                    <w:bidi w:val="0"/>
                    <w:rPr>
                      <w:rFonts w:hint="eastAsia"/>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E111°39′1.34256″</w:t>
                  </w:r>
                </w:p>
                <w:p w14:paraId="4B910A21">
                  <w:pPr>
                    <w:pStyle w:val="53"/>
                    <w:bidi w:val="0"/>
                    <w:rPr>
                      <w:rFonts w:hint="default"/>
                      <w:color w:val="000000" w:themeColor="text1"/>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N29°41′43.52067″</w:t>
                  </w:r>
                </w:p>
              </w:tc>
              <w:tc>
                <w:tcPr>
                  <w:tcW w:w="572" w:type="dxa"/>
                  <w:vMerge w:val="restart"/>
                  <w:noWrap w:val="0"/>
                  <w:vAlign w:val="center"/>
                </w:tcPr>
                <w:p w14:paraId="365EA02B">
                  <w:pPr>
                    <w:pStyle w:val="53"/>
                    <w:bidi w:val="0"/>
                    <w:rPr>
                      <w:color w:val="000000" w:themeColor="text1"/>
                      <w14:textFill>
                        <w14:solidFill>
                          <w14:schemeClr w14:val="tx1"/>
                        </w14:solidFill>
                      </w14:textFill>
                    </w:rPr>
                  </w:pPr>
                  <w:r>
                    <w:rPr>
                      <w:color w:val="000000" w:themeColor="text1"/>
                      <w14:textFill>
                        <w14:solidFill>
                          <w14:schemeClr w14:val="tx1"/>
                        </w14:solidFill>
                      </w14:textFill>
                    </w:rPr>
                    <w:t>一般排放口</w:t>
                  </w:r>
                </w:p>
              </w:tc>
              <w:tc>
                <w:tcPr>
                  <w:tcW w:w="625" w:type="dxa"/>
                  <w:noWrap w:val="0"/>
                  <w:vAlign w:val="center"/>
                </w:tcPr>
                <w:p w14:paraId="16CD36A5">
                  <w:pPr>
                    <w:pStyle w:val="5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颗粒物</w:t>
                  </w:r>
                </w:p>
              </w:tc>
              <w:tc>
                <w:tcPr>
                  <w:tcW w:w="783" w:type="dxa"/>
                  <w:noWrap w:val="0"/>
                  <w:vAlign w:val="center"/>
                </w:tcPr>
                <w:p w14:paraId="5520820A">
                  <w:pPr>
                    <w:pStyle w:val="53"/>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2000" w:type="dxa"/>
                  <w:vMerge w:val="restart"/>
                  <w:noWrap w:val="0"/>
                  <w:vAlign w:val="center"/>
                </w:tcPr>
                <w:p w14:paraId="3FC9A962">
                  <w:pPr>
                    <w:pStyle w:val="53"/>
                    <w:bidi w:val="0"/>
                    <w:rPr>
                      <w:color w:val="000000" w:themeColor="text1"/>
                      <w14:textFill>
                        <w14:solidFill>
                          <w14:schemeClr w14:val="tx1"/>
                        </w14:solidFill>
                      </w14:textFill>
                    </w:rPr>
                  </w:pPr>
                  <w:r>
                    <w:rPr>
                      <w:rFonts w:hint="eastAsia" w:ascii="宋体" w:hAnsi="宋体" w:eastAsia="宋体" w:cs="宋体"/>
                      <w:color w:val="000000" w:themeColor="text1"/>
                      <w:sz w:val="21"/>
                      <w:u w:val="none"/>
                      <w:lang w:val="en-US" w:eastAsia="zh-CN"/>
                      <w14:textFill>
                        <w14:solidFill>
                          <w14:schemeClr w14:val="tx1"/>
                        </w14:solidFill>
                      </w14:textFill>
                    </w:rPr>
                    <w:t>《锅炉大气污染物排放标准》（GB13271-2014）中表</w:t>
                  </w:r>
                  <w:r>
                    <w:rPr>
                      <w:rFonts w:hint="eastAsia" w:hAnsi="宋体" w:cs="宋体"/>
                      <w:color w:val="000000" w:themeColor="text1"/>
                      <w:sz w:val="21"/>
                      <w:u w:val="none"/>
                      <w:lang w:val="en-US" w:eastAsia="zh-CN"/>
                      <w14:textFill>
                        <w14:solidFill>
                          <w14:schemeClr w14:val="tx1"/>
                        </w14:solidFill>
                      </w14:textFill>
                    </w:rPr>
                    <w:t>3燃气</w:t>
                  </w:r>
                  <w:r>
                    <w:rPr>
                      <w:rFonts w:hint="eastAsia" w:ascii="宋体" w:hAnsi="宋体" w:eastAsia="宋体" w:cs="宋体"/>
                      <w:color w:val="000000" w:themeColor="text1"/>
                      <w:sz w:val="21"/>
                      <w:u w:val="none"/>
                      <w:lang w:val="en-US" w:eastAsia="zh-CN"/>
                      <w14:textFill>
                        <w14:solidFill>
                          <w14:schemeClr w14:val="tx1"/>
                        </w14:solidFill>
                      </w14:textFill>
                    </w:rPr>
                    <w:t>锅炉排放限值</w:t>
                  </w:r>
                </w:p>
              </w:tc>
            </w:tr>
            <w:tr w14:paraId="1D08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trPr>
              <w:tc>
                <w:tcPr>
                  <w:tcW w:w="515" w:type="dxa"/>
                  <w:vMerge w:val="continue"/>
                  <w:noWrap w:val="0"/>
                  <w:vAlign w:val="center"/>
                </w:tcPr>
                <w:p w14:paraId="7B195FE7">
                  <w:pPr>
                    <w:pStyle w:val="53"/>
                    <w:bidi w:val="0"/>
                    <w:rPr>
                      <w:color w:val="FF0000"/>
                    </w:rPr>
                  </w:pPr>
                </w:p>
              </w:tc>
              <w:tc>
                <w:tcPr>
                  <w:tcW w:w="515" w:type="dxa"/>
                  <w:vMerge w:val="continue"/>
                  <w:noWrap w:val="0"/>
                  <w:vAlign w:val="center"/>
                </w:tcPr>
                <w:p w14:paraId="77A2A0F6">
                  <w:pPr>
                    <w:pStyle w:val="53"/>
                    <w:bidi w:val="0"/>
                    <w:rPr>
                      <w:color w:val="FF0000"/>
                    </w:rPr>
                  </w:pPr>
                </w:p>
              </w:tc>
              <w:tc>
                <w:tcPr>
                  <w:tcW w:w="515" w:type="dxa"/>
                  <w:vMerge w:val="continue"/>
                  <w:noWrap w:val="0"/>
                  <w:vAlign w:val="center"/>
                </w:tcPr>
                <w:p w14:paraId="34FF8B8C">
                  <w:pPr>
                    <w:pStyle w:val="53"/>
                    <w:bidi w:val="0"/>
                    <w:rPr>
                      <w:color w:val="FF0000"/>
                    </w:rPr>
                  </w:pPr>
                </w:p>
              </w:tc>
              <w:tc>
                <w:tcPr>
                  <w:tcW w:w="480" w:type="dxa"/>
                  <w:vMerge w:val="continue"/>
                  <w:noWrap w:val="0"/>
                  <w:vAlign w:val="center"/>
                </w:tcPr>
                <w:p w14:paraId="64DE87DE">
                  <w:pPr>
                    <w:pStyle w:val="53"/>
                    <w:bidi w:val="0"/>
                    <w:rPr>
                      <w:color w:val="FF0000"/>
                    </w:rPr>
                  </w:pPr>
                </w:p>
              </w:tc>
              <w:tc>
                <w:tcPr>
                  <w:tcW w:w="835" w:type="dxa"/>
                  <w:vMerge w:val="continue"/>
                  <w:noWrap w:val="0"/>
                  <w:vAlign w:val="center"/>
                </w:tcPr>
                <w:p w14:paraId="024820C5">
                  <w:pPr>
                    <w:pStyle w:val="53"/>
                    <w:bidi w:val="0"/>
                    <w:rPr>
                      <w:color w:val="FF0000"/>
                    </w:rPr>
                  </w:pPr>
                </w:p>
              </w:tc>
              <w:tc>
                <w:tcPr>
                  <w:tcW w:w="1316" w:type="dxa"/>
                  <w:vMerge w:val="continue"/>
                  <w:noWrap w:val="0"/>
                  <w:vAlign w:val="center"/>
                </w:tcPr>
                <w:p w14:paraId="3FA2CD87">
                  <w:pPr>
                    <w:pStyle w:val="53"/>
                    <w:bidi w:val="0"/>
                    <w:rPr>
                      <w:rFonts w:hint="default"/>
                      <w:color w:val="FF0000"/>
                    </w:rPr>
                  </w:pPr>
                </w:p>
              </w:tc>
              <w:tc>
                <w:tcPr>
                  <w:tcW w:w="572" w:type="dxa"/>
                  <w:vMerge w:val="continue"/>
                  <w:noWrap w:val="0"/>
                  <w:vAlign w:val="center"/>
                </w:tcPr>
                <w:p w14:paraId="5D23222E">
                  <w:pPr>
                    <w:pStyle w:val="53"/>
                    <w:bidi w:val="0"/>
                    <w:rPr>
                      <w:color w:val="000000" w:themeColor="text1"/>
                      <w14:textFill>
                        <w14:solidFill>
                          <w14:schemeClr w14:val="tx1"/>
                        </w14:solidFill>
                      </w14:textFill>
                    </w:rPr>
                  </w:pPr>
                </w:p>
              </w:tc>
              <w:tc>
                <w:tcPr>
                  <w:tcW w:w="625" w:type="dxa"/>
                  <w:noWrap w:val="0"/>
                  <w:vAlign w:val="center"/>
                </w:tcPr>
                <w:p w14:paraId="73B2E43C">
                  <w:pPr>
                    <w:pStyle w:val="5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SO</w:t>
                  </w:r>
                  <w:r>
                    <w:rPr>
                      <w:rFonts w:hint="eastAsia"/>
                      <w:color w:val="000000" w:themeColor="text1"/>
                      <w:vertAlign w:val="subscript"/>
                      <w:lang w:val="en-US" w:eastAsia="zh-CN"/>
                      <w14:textFill>
                        <w14:solidFill>
                          <w14:schemeClr w14:val="tx1"/>
                        </w14:solidFill>
                      </w14:textFill>
                    </w:rPr>
                    <w:t>2</w:t>
                  </w:r>
                </w:p>
              </w:tc>
              <w:tc>
                <w:tcPr>
                  <w:tcW w:w="783" w:type="dxa"/>
                  <w:noWrap w:val="0"/>
                  <w:vAlign w:val="center"/>
                </w:tcPr>
                <w:p w14:paraId="0860FD33">
                  <w:pPr>
                    <w:pStyle w:val="53"/>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2000" w:type="dxa"/>
                  <w:vMerge w:val="continue"/>
                  <w:noWrap w:val="0"/>
                  <w:vAlign w:val="center"/>
                </w:tcPr>
                <w:p w14:paraId="6D36BC0F">
                  <w:pPr>
                    <w:pStyle w:val="53"/>
                    <w:bidi w:val="0"/>
                    <w:rPr>
                      <w:color w:val="FF0000"/>
                    </w:rPr>
                  </w:pPr>
                </w:p>
              </w:tc>
            </w:tr>
            <w:tr w14:paraId="1AB3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515" w:type="dxa"/>
                  <w:vMerge w:val="continue"/>
                  <w:noWrap w:val="0"/>
                  <w:vAlign w:val="center"/>
                </w:tcPr>
                <w:p w14:paraId="5B2556C5">
                  <w:pPr>
                    <w:pStyle w:val="53"/>
                    <w:bidi w:val="0"/>
                    <w:rPr>
                      <w:color w:val="FF0000"/>
                    </w:rPr>
                  </w:pPr>
                </w:p>
              </w:tc>
              <w:tc>
                <w:tcPr>
                  <w:tcW w:w="515" w:type="dxa"/>
                  <w:vMerge w:val="continue"/>
                  <w:noWrap w:val="0"/>
                  <w:vAlign w:val="center"/>
                </w:tcPr>
                <w:p w14:paraId="1AE8542C">
                  <w:pPr>
                    <w:pStyle w:val="53"/>
                    <w:bidi w:val="0"/>
                    <w:rPr>
                      <w:color w:val="FF0000"/>
                    </w:rPr>
                  </w:pPr>
                </w:p>
              </w:tc>
              <w:tc>
                <w:tcPr>
                  <w:tcW w:w="515" w:type="dxa"/>
                  <w:vMerge w:val="continue"/>
                  <w:noWrap w:val="0"/>
                  <w:vAlign w:val="center"/>
                </w:tcPr>
                <w:p w14:paraId="7A3F9221">
                  <w:pPr>
                    <w:pStyle w:val="53"/>
                    <w:bidi w:val="0"/>
                    <w:rPr>
                      <w:color w:val="FF0000"/>
                    </w:rPr>
                  </w:pPr>
                </w:p>
              </w:tc>
              <w:tc>
                <w:tcPr>
                  <w:tcW w:w="480" w:type="dxa"/>
                  <w:vMerge w:val="continue"/>
                  <w:noWrap w:val="0"/>
                  <w:vAlign w:val="center"/>
                </w:tcPr>
                <w:p w14:paraId="764F4682">
                  <w:pPr>
                    <w:pStyle w:val="53"/>
                    <w:bidi w:val="0"/>
                    <w:rPr>
                      <w:color w:val="FF0000"/>
                    </w:rPr>
                  </w:pPr>
                </w:p>
              </w:tc>
              <w:tc>
                <w:tcPr>
                  <w:tcW w:w="835" w:type="dxa"/>
                  <w:vMerge w:val="continue"/>
                  <w:noWrap w:val="0"/>
                  <w:vAlign w:val="center"/>
                </w:tcPr>
                <w:p w14:paraId="2DE518A5">
                  <w:pPr>
                    <w:pStyle w:val="53"/>
                    <w:bidi w:val="0"/>
                    <w:rPr>
                      <w:color w:val="FF0000"/>
                    </w:rPr>
                  </w:pPr>
                </w:p>
              </w:tc>
              <w:tc>
                <w:tcPr>
                  <w:tcW w:w="1316" w:type="dxa"/>
                  <w:vMerge w:val="continue"/>
                  <w:noWrap w:val="0"/>
                  <w:vAlign w:val="center"/>
                </w:tcPr>
                <w:p w14:paraId="7B597E84">
                  <w:pPr>
                    <w:pStyle w:val="53"/>
                    <w:bidi w:val="0"/>
                    <w:rPr>
                      <w:color w:val="FF0000"/>
                    </w:rPr>
                  </w:pPr>
                </w:p>
              </w:tc>
              <w:tc>
                <w:tcPr>
                  <w:tcW w:w="572" w:type="dxa"/>
                  <w:vMerge w:val="continue"/>
                  <w:noWrap w:val="0"/>
                  <w:vAlign w:val="center"/>
                </w:tcPr>
                <w:p w14:paraId="48E98E55">
                  <w:pPr>
                    <w:pStyle w:val="53"/>
                    <w:bidi w:val="0"/>
                    <w:rPr>
                      <w:color w:val="000000" w:themeColor="text1"/>
                      <w14:textFill>
                        <w14:solidFill>
                          <w14:schemeClr w14:val="tx1"/>
                        </w14:solidFill>
                      </w14:textFill>
                    </w:rPr>
                  </w:pPr>
                </w:p>
              </w:tc>
              <w:tc>
                <w:tcPr>
                  <w:tcW w:w="625" w:type="dxa"/>
                  <w:noWrap w:val="0"/>
                  <w:vAlign w:val="center"/>
                </w:tcPr>
                <w:p w14:paraId="13B35FC8">
                  <w:pPr>
                    <w:pStyle w:val="5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NO</w:t>
                  </w:r>
                  <w:r>
                    <w:rPr>
                      <w:rFonts w:hint="eastAsia"/>
                      <w:color w:val="000000" w:themeColor="text1"/>
                      <w:vertAlign w:val="subscript"/>
                      <w:lang w:val="en-US" w:eastAsia="zh-CN"/>
                      <w14:textFill>
                        <w14:solidFill>
                          <w14:schemeClr w14:val="tx1"/>
                        </w14:solidFill>
                      </w14:textFill>
                    </w:rPr>
                    <w:t>X</w:t>
                  </w:r>
                </w:p>
              </w:tc>
              <w:tc>
                <w:tcPr>
                  <w:tcW w:w="783" w:type="dxa"/>
                  <w:noWrap w:val="0"/>
                  <w:vAlign w:val="center"/>
                </w:tcPr>
                <w:p w14:paraId="2DBAB59B">
                  <w:pPr>
                    <w:pStyle w:val="53"/>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150</w:t>
                  </w:r>
                </w:p>
              </w:tc>
              <w:tc>
                <w:tcPr>
                  <w:tcW w:w="2000" w:type="dxa"/>
                  <w:vMerge w:val="continue"/>
                  <w:noWrap w:val="0"/>
                  <w:vAlign w:val="center"/>
                </w:tcPr>
                <w:p w14:paraId="09B7B975">
                  <w:pPr>
                    <w:pStyle w:val="53"/>
                    <w:bidi w:val="0"/>
                    <w:rPr>
                      <w:color w:val="FF0000"/>
                    </w:rPr>
                  </w:pPr>
                </w:p>
              </w:tc>
            </w:tr>
            <w:tr w14:paraId="6BAE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trPr>
              <w:tc>
                <w:tcPr>
                  <w:tcW w:w="1030" w:type="dxa"/>
                  <w:gridSpan w:val="2"/>
                  <w:noWrap w:val="0"/>
                  <w:vAlign w:val="center"/>
                </w:tcPr>
                <w:p w14:paraId="36239894">
                  <w:pPr>
                    <w:pStyle w:val="53"/>
                    <w:bidi w:val="0"/>
                    <w:rPr>
                      <w:rFonts w:hint="eastAsia" w:ascii="宋体" w:hAnsi="宋体" w:eastAsia="宋体" w:cs="宋体"/>
                      <w:color w:val="auto"/>
                    </w:rPr>
                  </w:pPr>
                  <w:r>
                    <w:rPr>
                      <w:rFonts w:hint="eastAsia" w:ascii="宋体" w:hAnsi="宋体" w:eastAsia="宋体" w:cs="宋体"/>
                      <w:color w:val="auto"/>
                    </w:rPr>
                    <w:t>厂界</w:t>
                  </w:r>
                </w:p>
              </w:tc>
              <w:tc>
                <w:tcPr>
                  <w:tcW w:w="515" w:type="dxa"/>
                  <w:noWrap w:val="0"/>
                  <w:vAlign w:val="center"/>
                </w:tcPr>
                <w:p w14:paraId="5FA10ED0">
                  <w:pPr>
                    <w:pStyle w:val="53"/>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车间密闭</w:t>
                  </w:r>
                </w:p>
              </w:tc>
              <w:tc>
                <w:tcPr>
                  <w:tcW w:w="480" w:type="dxa"/>
                  <w:noWrap w:val="0"/>
                  <w:vAlign w:val="center"/>
                </w:tcPr>
                <w:p w14:paraId="6F37DF7D">
                  <w:pPr>
                    <w:pStyle w:val="53"/>
                    <w:bidi w:val="0"/>
                    <w:rPr>
                      <w:rFonts w:hint="eastAsia" w:ascii="宋体" w:hAnsi="宋体" w:eastAsia="宋体" w:cs="宋体"/>
                      <w:color w:val="auto"/>
                    </w:rPr>
                  </w:pPr>
                  <w:r>
                    <w:rPr>
                      <w:rFonts w:hint="eastAsia" w:ascii="宋体" w:hAnsi="宋体" w:eastAsia="宋体" w:cs="宋体"/>
                      <w:color w:val="auto"/>
                    </w:rPr>
                    <w:t>无组织</w:t>
                  </w:r>
                </w:p>
              </w:tc>
              <w:tc>
                <w:tcPr>
                  <w:tcW w:w="2723" w:type="dxa"/>
                  <w:gridSpan w:val="3"/>
                  <w:noWrap w:val="0"/>
                  <w:vAlign w:val="center"/>
                </w:tcPr>
                <w:p w14:paraId="6E907E28">
                  <w:pPr>
                    <w:pStyle w:val="53"/>
                    <w:bidi w:val="0"/>
                    <w:rPr>
                      <w:rFonts w:hint="eastAsia" w:ascii="宋体" w:hAnsi="宋体" w:eastAsia="宋体" w:cs="宋体"/>
                      <w:color w:val="auto"/>
                    </w:rPr>
                  </w:pPr>
                  <w:r>
                    <w:rPr>
                      <w:rFonts w:hint="eastAsia" w:ascii="宋体" w:hAnsi="宋体" w:eastAsia="宋体" w:cs="宋体"/>
                      <w:color w:val="auto"/>
                    </w:rPr>
                    <w:t>/</w:t>
                  </w:r>
                </w:p>
              </w:tc>
              <w:tc>
                <w:tcPr>
                  <w:tcW w:w="625" w:type="dxa"/>
                  <w:noWrap w:val="0"/>
                  <w:vAlign w:val="center"/>
                </w:tcPr>
                <w:p w14:paraId="4F1805F5">
                  <w:pPr>
                    <w:pStyle w:val="53"/>
                    <w:bidi w:val="0"/>
                    <w:rPr>
                      <w:rFonts w:hint="eastAsia" w:ascii="宋体" w:hAnsi="宋体" w:eastAsia="宋体" w:cs="宋体"/>
                      <w:color w:val="auto"/>
                    </w:rPr>
                  </w:pPr>
                  <w:r>
                    <w:rPr>
                      <w:rFonts w:hint="eastAsia" w:ascii="宋体" w:hAnsi="宋体" w:eastAsia="宋体" w:cs="宋体"/>
                      <w:color w:val="auto"/>
                      <w:lang w:val="en-US" w:eastAsia="zh-CN"/>
                    </w:rPr>
                    <w:t>颗粒物</w:t>
                  </w:r>
                </w:p>
              </w:tc>
              <w:tc>
                <w:tcPr>
                  <w:tcW w:w="783" w:type="dxa"/>
                  <w:noWrap w:val="0"/>
                  <w:vAlign w:val="center"/>
                </w:tcPr>
                <w:p w14:paraId="27BB0B1E">
                  <w:pPr>
                    <w:pStyle w:val="53"/>
                    <w:bidi w:val="0"/>
                    <w:rPr>
                      <w:rFonts w:hint="eastAsia" w:ascii="宋体" w:hAnsi="宋体" w:eastAsia="宋体" w:cs="宋体"/>
                      <w:color w:val="auto"/>
                    </w:rPr>
                  </w:pPr>
                  <w:r>
                    <w:rPr>
                      <w:rFonts w:hint="eastAsia" w:ascii="宋体" w:hAnsi="宋体" w:eastAsia="宋体" w:cs="宋体"/>
                      <w:color w:val="auto"/>
                      <w:lang w:val="en-US" w:eastAsia="zh-CN"/>
                    </w:rPr>
                    <w:t>1.0</w:t>
                  </w:r>
                </w:p>
              </w:tc>
              <w:tc>
                <w:tcPr>
                  <w:tcW w:w="2000" w:type="dxa"/>
                  <w:noWrap w:val="0"/>
                  <w:vAlign w:val="center"/>
                </w:tcPr>
                <w:p w14:paraId="45E5381E">
                  <w:pPr>
                    <w:pStyle w:val="53"/>
                    <w:bidi w:val="0"/>
                    <w:rPr>
                      <w:rFonts w:hint="eastAsia" w:ascii="宋体" w:hAnsi="宋体" w:eastAsia="宋体" w:cs="宋体"/>
                      <w:color w:val="auto"/>
                    </w:rPr>
                  </w:pPr>
                  <w:r>
                    <w:rPr>
                      <w:rFonts w:hint="eastAsia" w:ascii="宋体" w:hAnsi="宋体" w:eastAsia="宋体" w:cs="宋体"/>
                      <w:color w:val="auto"/>
                    </w:rPr>
                    <w:t>《大气污染物综合排放标准》（GB16297-1996）</w:t>
                  </w:r>
                </w:p>
                <w:p w14:paraId="0A33F7F2">
                  <w:pPr>
                    <w:pStyle w:val="53"/>
                    <w:bidi w:val="0"/>
                    <w:rPr>
                      <w:rFonts w:hint="eastAsia" w:ascii="宋体" w:hAnsi="宋体" w:eastAsia="宋体" w:cs="宋体"/>
                      <w:color w:val="auto"/>
                    </w:rPr>
                  </w:pPr>
                  <w:r>
                    <w:rPr>
                      <w:rFonts w:hint="eastAsia" w:ascii="宋体" w:hAnsi="宋体" w:eastAsia="宋体" w:cs="宋体"/>
                      <w:color w:val="auto"/>
                    </w:rPr>
                    <w:t>二级标准</w:t>
                  </w:r>
                </w:p>
              </w:tc>
            </w:tr>
          </w:tbl>
          <w:p w14:paraId="4E06DDA2">
            <w:pPr>
              <w:adjustRightInd w:val="0"/>
              <w:spacing w:line="360" w:lineRule="auto"/>
              <w:ind w:firstLine="380" w:firstLineChars="200"/>
              <w:contextualSpacing/>
              <w:rPr>
                <w:rFonts w:hint="eastAsia" w:ascii="宋体" w:hAnsi="宋体" w:cs="宋体"/>
                <w:bCs/>
                <w:color w:val="FF0000"/>
                <w:spacing w:val="-10"/>
                <w:szCs w:val="21"/>
              </w:rPr>
            </w:pPr>
          </w:p>
        </w:tc>
      </w:tr>
    </w:tbl>
    <w:p w14:paraId="32BBF038">
      <w:pPr>
        <w:adjustRightInd w:val="0"/>
        <w:snapToGrid w:val="0"/>
        <w:spacing w:line="360" w:lineRule="auto"/>
        <w:rPr>
          <w:rFonts w:hint="eastAsia" w:ascii="宋体" w:cs="宋体"/>
          <w:b/>
          <w:color w:val="FF0000"/>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695B5C63">
      <w:pPr>
        <w:numPr>
          <w:ilvl w:val="0"/>
          <w:numId w:val="9"/>
        </w:numPr>
        <w:spacing w:line="360" w:lineRule="auto"/>
        <w:jc w:val="center"/>
        <w:outlineLvl w:val="0"/>
        <w:rPr>
          <w:rFonts w:hint="eastAsia"/>
          <w:b/>
          <w:bCs/>
          <w:color w:val="auto"/>
          <w:sz w:val="32"/>
          <w:szCs w:val="32"/>
        </w:rPr>
      </w:pPr>
      <w:bookmarkStart w:id="13" w:name="_Hlk54167917"/>
      <w:bookmarkStart w:id="14" w:name="_Toc11645"/>
      <w:bookmarkStart w:id="15" w:name="_Toc29984"/>
      <w:r>
        <w:rPr>
          <w:rFonts w:hint="eastAsia"/>
          <w:b/>
          <w:bCs/>
          <w:color w:val="auto"/>
          <w:sz w:val="32"/>
          <w:szCs w:val="32"/>
        </w:rPr>
        <w:t>环境保护措施监督检查清单</w:t>
      </w:r>
      <w:bookmarkEnd w:id="13"/>
      <w:bookmarkEnd w:id="14"/>
      <w:bookmarkEnd w:id="15"/>
    </w:p>
    <w:tbl>
      <w:tblPr>
        <w:tblStyle w:val="29"/>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52"/>
        <w:gridCol w:w="1431"/>
        <w:gridCol w:w="1624"/>
        <w:gridCol w:w="2347"/>
        <w:gridCol w:w="2434"/>
      </w:tblGrid>
      <w:tr w14:paraId="2429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tcBorders>
              <w:tl2br w:val="single" w:color="auto" w:sz="4" w:space="0"/>
            </w:tcBorders>
            <w:vAlign w:val="center"/>
          </w:tcPr>
          <w:p w14:paraId="026292EB">
            <w:pPr>
              <w:pStyle w:val="83"/>
              <w:spacing w:before="29"/>
              <w:ind w:left="737"/>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内容</w:t>
            </w:r>
          </w:p>
          <w:p w14:paraId="77B32180">
            <w:pPr>
              <w:pStyle w:val="83"/>
              <w:spacing w:before="2"/>
              <w:ind w:left="108" w:lef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要素</w:t>
            </w:r>
          </w:p>
        </w:tc>
        <w:tc>
          <w:tcPr>
            <w:tcW w:w="1431" w:type="dxa"/>
            <w:vAlign w:val="center"/>
          </w:tcPr>
          <w:p w14:paraId="2580BE80">
            <w:pPr>
              <w:pStyle w:val="83"/>
              <w:spacing w:before="29" w:line="242" w:lineRule="auto"/>
              <w:ind w:left="141" w:leftChars="0" w:right="123" w:rightChars="0" w:hanging="1"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排放口</w:t>
            </w:r>
            <w:r>
              <w:rPr>
                <w:rFonts w:hint="default" w:ascii="Times New Roman" w:hAnsi="Times New Roman" w:eastAsia="Times New Roman" w:cs="Times New Roman"/>
                <w:color w:val="auto"/>
                <w:sz w:val="24"/>
                <w:szCs w:val="24"/>
              </w:rPr>
              <w:t>(</w:t>
            </w:r>
            <w:r>
              <w:rPr>
                <w:rFonts w:hint="default" w:ascii="Times New Roman" w:hAnsi="Times New Roman" w:cs="Times New Roman"/>
                <w:color w:val="auto"/>
                <w:sz w:val="24"/>
                <w:szCs w:val="24"/>
              </w:rPr>
              <w:t>编号、名称</w:t>
            </w:r>
            <w:r>
              <w:rPr>
                <w:rFonts w:hint="default" w:ascii="Times New Roman" w:hAnsi="Times New Roman" w:eastAsia="Times New Roman" w:cs="Times New Roman"/>
                <w:color w:val="auto"/>
                <w:sz w:val="24"/>
                <w:szCs w:val="24"/>
              </w:rPr>
              <w:t>)/</w:t>
            </w:r>
            <w:r>
              <w:rPr>
                <w:rFonts w:hint="default" w:ascii="Times New Roman" w:hAnsi="Times New Roman" w:cs="Times New Roman"/>
                <w:color w:val="auto"/>
                <w:sz w:val="24"/>
                <w:szCs w:val="24"/>
              </w:rPr>
              <w:t>污染源</w:t>
            </w:r>
          </w:p>
        </w:tc>
        <w:tc>
          <w:tcPr>
            <w:tcW w:w="1624" w:type="dxa"/>
            <w:vAlign w:val="center"/>
          </w:tcPr>
          <w:p w14:paraId="097A4ED1">
            <w:pPr>
              <w:pStyle w:val="83"/>
              <w:ind w:left="99" w:leftChars="0" w:right="83"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污染物项目</w:t>
            </w:r>
          </w:p>
        </w:tc>
        <w:tc>
          <w:tcPr>
            <w:tcW w:w="2347" w:type="dxa"/>
            <w:vAlign w:val="center"/>
          </w:tcPr>
          <w:p w14:paraId="38F72648">
            <w:pPr>
              <w:pStyle w:val="83"/>
              <w:ind w:left="468" w:lef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环境保护措施</w:t>
            </w:r>
          </w:p>
        </w:tc>
        <w:tc>
          <w:tcPr>
            <w:tcW w:w="2434" w:type="dxa"/>
            <w:vAlign w:val="center"/>
          </w:tcPr>
          <w:p w14:paraId="607BBD9C">
            <w:pPr>
              <w:pStyle w:val="83"/>
              <w:ind w:left="76" w:leftChars="0" w:right="58"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执行标准</w:t>
            </w:r>
          </w:p>
        </w:tc>
      </w:tr>
      <w:tr w14:paraId="5A00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Merge w:val="restart"/>
            <w:vAlign w:val="center"/>
          </w:tcPr>
          <w:p w14:paraId="1875830B">
            <w:pPr>
              <w:pStyle w:val="83"/>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大气环境</w:t>
            </w:r>
          </w:p>
        </w:tc>
        <w:tc>
          <w:tcPr>
            <w:tcW w:w="1431" w:type="dxa"/>
            <w:vAlign w:val="center"/>
          </w:tcPr>
          <w:p w14:paraId="45DA10D8">
            <w:pPr>
              <w:bidi w:val="0"/>
              <w:jc w:val="center"/>
              <w:rPr>
                <w:rFonts w:hint="default" w:ascii="宋体" w:hAnsi="宋体" w:eastAsia="宋体" w:cs="宋体"/>
                <w:color w:val="auto"/>
                <w:kern w:val="2"/>
                <w:sz w:val="24"/>
                <w:szCs w:val="24"/>
                <w:u w:val="none"/>
                <w:lang w:val="en-US" w:eastAsia="zh-CN" w:bidi="ar-SA"/>
              </w:rPr>
            </w:pPr>
            <w:r>
              <w:rPr>
                <w:rFonts w:hint="eastAsia" w:ascii="宋体" w:hAnsi="宋体" w:cs="宋体"/>
                <w:color w:val="auto"/>
                <w:kern w:val="2"/>
                <w:sz w:val="24"/>
                <w:szCs w:val="24"/>
                <w:u w:val="none"/>
                <w:lang w:val="en-US" w:eastAsia="zh-CN" w:bidi="ar-SA"/>
              </w:rPr>
              <w:t>筛分、烘干、</w:t>
            </w:r>
            <w:r>
              <w:rPr>
                <w:rFonts w:hint="eastAsia" w:ascii="宋体" w:hAnsi="宋体" w:eastAsia="宋体" w:cs="宋体"/>
                <w:color w:val="auto"/>
                <w:kern w:val="2"/>
                <w:sz w:val="24"/>
                <w:szCs w:val="24"/>
                <w:u w:val="none"/>
                <w:lang w:val="en-US" w:eastAsia="zh-CN" w:bidi="ar-SA"/>
              </w:rPr>
              <w:t>热风炉废气（DA001）</w:t>
            </w:r>
          </w:p>
        </w:tc>
        <w:tc>
          <w:tcPr>
            <w:tcW w:w="1624" w:type="dxa"/>
            <w:vAlign w:val="center"/>
          </w:tcPr>
          <w:p w14:paraId="7D62CDEE">
            <w:pPr>
              <w:pStyle w:val="83"/>
              <w:spacing w:before="46"/>
              <w:ind w:left="99" w:right="83"/>
              <w:jc w:val="center"/>
              <w:rPr>
                <w:rFonts w:hint="default" w:ascii="宋体" w:hAnsi="宋体" w:eastAsia="宋体" w:cs="宋体"/>
                <w:color w:val="auto"/>
                <w:kern w:val="2"/>
                <w:sz w:val="24"/>
                <w:szCs w:val="24"/>
                <w:u w:val="none"/>
                <w:lang w:val="en-US" w:eastAsia="zh-CN" w:bidi="ar-SA"/>
              </w:rPr>
            </w:pPr>
            <w:r>
              <w:rPr>
                <w:rFonts w:hint="default" w:ascii="宋体" w:hAnsi="宋体" w:eastAsia="宋体" w:cs="宋体"/>
                <w:color w:val="auto"/>
                <w:kern w:val="2"/>
                <w:sz w:val="24"/>
                <w:szCs w:val="24"/>
                <w:u w:val="none"/>
                <w:lang w:val="en-US" w:eastAsia="zh-CN" w:bidi="ar-SA"/>
              </w:rPr>
              <w:t>颗粒物、SO</w:t>
            </w:r>
            <w:r>
              <w:rPr>
                <w:rFonts w:hint="default" w:ascii="宋体" w:hAnsi="宋体" w:eastAsia="宋体" w:cs="宋体"/>
                <w:color w:val="auto"/>
                <w:kern w:val="2"/>
                <w:sz w:val="24"/>
                <w:szCs w:val="24"/>
                <w:u w:val="none"/>
                <w:vertAlign w:val="subscript"/>
                <w:lang w:val="en-US" w:eastAsia="zh-CN" w:bidi="ar-SA"/>
              </w:rPr>
              <w:t>2</w:t>
            </w:r>
            <w:r>
              <w:rPr>
                <w:rFonts w:hint="default" w:ascii="宋体" w:hAnsi="宋体" w:eastAsia="宋体" w:cs="宋体"/>
                <w:color w:val="auto"/>
                <w:kern w:val="2"/>
                <w:sz w:val="24"/>
                <w:szCs w:val="24"/>
                <w:u w:val="none"/>
                <w:lang w:val="en-US" w:eastAsia="zh-CN" w:bidi="ar-SA"/>
              </w:rPr>
              <w:t>、</w:t>
            </w:r>
          </w:p>
          <w:p w14:paraId="683A4D15">
            <w:pPr>
              <w:pStyle w:val="83"/>
              <w:spacing w:before="50"/>
              <w:ind w:left="99" w:leftChars="0" w:right="80" w:rightChars="0"/>
              <w:jc w:val="center"/>
              <w:rPr>
                <w:rFonts w:hint="default" w:ascii="宋体" w:hAnsi="宋体" w:eastAsia="宋体" w:cs="宋体"/>
                <w:color w:val="auto"/>
                <w:kern w:val="2"/>
                <w:sz w:val="24"/>
                <w:szCs w:val="24"/>
                <w:u w:val="none"/>
                <w:lang w:val="en-US" w:eastAsia="zh-CN" w:bidi="ar-SA"/>
              </w:rPr>
            </w:pPr>
            <w:r>
              <w:rPr>
                <w:rFonts w:hint="default" w:ascii="宋体" w:hAnsi="宋体" w:eastAsia="宋体" w:cs="宋体"/>
                <w:color w:val="auto"/>
                <w:kern w:val="2"/>
                <w:sz w:val="24"/>
                <w:szCs w:val="24"/>
                <w:u w:val="none"/>
                <w:lang w:val="en-US" w:eastAsia="zh-CN" w:bidi="ar-SA"/>
              </w:rPr>
              <w:t>NO</w:t>
            </w:r>
            <w:r>
              <w:rPr>
                <w:rFonts w:hint="default" w:ascii="宋体" w:hAnsi="宋体" w:eastAsia="宋体" w:cs="宋体"/>
                <w:color w:val="auto"/>
                <w:kern w:val="2"/>
                <w:sz w:val="24"/>
                <w:szCs w:val="24"/>
                <w:u w:val="none"/>
                <w:vertAlign w:val="subscript"/>
                <w:lang w:val="en-US" w:eastAsia="zh-CN" w:bidi="ar-SA"/>
              </w:rPr>
              <w:t>X</w:t>
            </w:r>
          </w:p>
        </w:tc>
        <w:tc>
          <w:tcPr>
            <w:tcW w:w="2347" w:type="dxa"/>
            <w:vAlign w:val="center"/>
          </w:tcPr>
          <w:p w14:paraId="551B6F2F">
            <w:pPr>
              <w:pStyle w:val="83"/>
              <w:spacing w:before="1" w:line="244" w:lineRule="auto"/>
              <w:ind w:left="113" w:leftChars="0" w:right="25" w:rightChars="0" w:firstLine="107" w:firstLineChars="0"/>
              <w:jc w:val="center"/>
              <w:rPr>
                <w:rFonts w:hint="default" w:ascii="宋体" w:hAnsi="宋体" w:eastAsia="宋体" w:cs="宋体"/>
                <w:color w:val="auto"/>
                <w:kern w:val="2"/>
                <w:sz w:val="24"/>
                <w:szCs w:val="24"/>
                <w:u w:val="none"/>
                <w:lang w:val="en-US" w:eastAsia="zh-CN" w:bidi="ar-SA"/>
              </w:rPr>
            </w:pPr>
            <w:r>
              <w:rPr>
                <w:rFonts w:hint="default" w:ascii="宋体" w:hAnsi="宋体" w:eastAsia="宋体" w:cs="宋体"/>
                <w:color w:val="auto"/>
                <w:kern w:val="2"/>
                <w:sz w:val="24"/>
                <w:szCs w:val="24"/>
                <w:u w:val="none"/>
                <w:lang w:val="en-US" w:eastAsia="zh-CN" w:bidi="ar-SA"/>
              </w:rPr>
              <w:t>“</w:t>
            </w:r>
            <w:r>
              <w:rPr>
                <w:rFonts w:hint="eastAsia" w:ascii="宋体" w:hAnsi="宋体" w:eastAsia="宋体" w:cs="宋体"/>
                <w:color w:val="auto"/>
                <w:kern w:val="2"/>
                <w:sz w:val="24"/>
                <w:szCs w:val="24"/>
                <w:u w:val="none"/>
                <w:lang w:val="en-US" w:eastAsia="zh-CN" w:bidi="ar-SA"/>
              </w:rPr>
              <w:t>沙克隆+沉降室</w:t>
            </w:r>
            <w:r>
              <w:rPr>
                <w:rFonts w:hint="default" w:ascii="宋体" w:hAnsi="宋体" w:eastAsia="宋体" w:cs="宋体"/>
                <w:color w:val="auto"/>
                <w:kern w:val="2"/>
                <w:sz w:val="24"/>
                <w:szCs w:val="24"/>
                <w:u w:val="none"/>
                <w:lang w:val="en-US" w:eastAsia="zh-CN" w:bidi="ar-SA"/>
              </w:rPr>
              <w:t>+</w:t>
            </w:r>
            <w:r>
              <w:rPr>
                <w:rFonts w:hint="eastAsia" w:ascii="宋体" w:hAnsi="宋体" w:eastAsia="宋体" w:cs="宋体"/>
                <w:color w:val="auto"/>
                <w:kern w:val="2"/>
                <w:sz w:val="24"/>
                <w:szCs w:val="24"/>
                <w:u w:val="none"/>
                <w:lang w:val="en-US" w:eastAsia="zh-CN" w:bidi="ar-SA"/>
              </w:rPr>
              <w:t>布袋除尘器</w:t>
            </w:r>
            <w:r>
              <w:rPr>
                <w:rFonts w:hint="default" w:ascii="宋体" w:hAnsi="宋体" w:eastAsia="宋体" w:cs="宋体"/>
                <w:color w:val="auto"/>
                <w:kern w:val="2"/>
                <w:sz w:val="24"/>
                <w:szCs w:val="24"/>
                <w:u w:val="none"/>
                <w:lang w:val="en-US" w:eastAsia="zh-CN" w:bidi="ar-SA"/>
              </w:rPr>
              <w:t>+15m排气筒”</w:t>
            </w:r>
          </w:p>
        </w:tc>
        <w:tc>
          <w:tcPr>
            <w:tcW w:w="2434" w:type="dxa"/>
            <w:vAlign w:val="center"/>
          </w:tcPr>
          <w:p w14:paraId="70EFF435">
            <w:pPr>
              <w:pStyle w:val="83"/>
              <w:spacing w:before="2"/>
              <w:ind w:left="81" w:leftChars="0" w:right="58" w:rightChars="0"/>
              <w:jc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《锅炉大气污染物排放标准》（GB13271-2014）中表3燃气锅炉特别排放限值</w:t>
            </w:r>
          </w:p>
        </w:tc>
      </w:tr>
      <w:tr w14:paraId="601E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Merge w:val="continue"/>
            <w:vAlign w:val="center"/>
          </w:tcPr>
          <w:p w14:paraId="19F21C5A">
            <w:pPr>
              <w:pStyle w:val="83"/>
              <w:jc w:val="both"/>
              <w:rPr>
                <w:rFonts w:hint="default" w:ascii="Times New Roman" w:hAnsi="Times New Roman" w:eastAsia="宋体" w:cs="Times New Roman"/>
                <w:color w:val="auto"/>
                <w:sz w:val="24"/>
                <w:szCs w:val="24"/>
              </w:rPr>
            </w:pPr>
          </w:p>
        </w:tc>
        <w:tc>
          <w:tcPr>
            <w:tcW w:w="1431" w:type="dxa"/>
            <w:vAlign w:val="center"/>
          </w:tcPr>
          <w:p w14:paraId="2DEA28EF">
            <w:pPr>
              <w:bidi w:val="0"/>
              <w:jc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卸料</w:t>
            </w:r>
            <w:r>
              <w:rPr>
                <w:rFonts w:hint="eastAsia" w:ascii="宋体" w:hAnsi="宋体" w:cs="宋体"/>
                <w:color w:val="auto"/>
                <w:kern w:val="2"/>
                <w:sz w:val="24"/>
                <w:szCs w:val="24"/>
                <w:u w:val="none"/>
                <w:lang w:val="en-US" w:eastAsia="zh-CN" w:bidi="ar-SA"/>
              </w:rPr>
              <w:t>、出渣</w:t>
            </w:r>
            <w:r>
              <w:rPr>
                <w:rFonts w:hint="eastAsia" w:ascii="宋体" w:hAnsi="宋体" w:eastAsia="宋体" w:cs="宋体"/>
                <w:color w:val="auto"/>
                <w:kern w:val="2"/>
                <w:sz w:val="24"/>
                <w:szCs w:val="24"/>
                <w:u w:val="none"/>
                <w:lang w:val="en-US" w:eastAsia="zh-CN" w:bidi="ar-SA"/>
              </w:rPr>
              <w:t>废气</w:t>
            </w:r>
          </w:p>
        </w:tc>
        <w:tc>
          <w:tcPr>
            <w:tcW w:w="1624" w:type="dxa"/>
            <w:vAlign w:val="center"/>
          </w:tcPr>
          <w:p w14:paraId="4296AB62">
            <w:pPr>
              <w:pStyle w:val="83"/>
              <w:spacing w:before="50"/>
              <w:ind w:left="99" w:leftChars="0" w:right="80" w:rightChars="0"/>
              <w:jc w:val="center"/>
              <w:rPr>
                <w:rFonts w:hint="default" w:ascii="宋体" w:hAnsi="宋体" w:eastAsia="宋体" w:cs="宋体"/>
                <w:color w:val="auto"/>
                <w:kern w:val="2"/>
                <w:sz w:val="24"/>
                <w:szCs w:val="24"/>
                <w:u w:val="none"/>
                <w:lang w:val="en-US" w:eastAsia="zh-CN" w:bidi="ar-SA"/>
              </w:rPr>
            </w:pPr>
            <w:r>
              <w:rPr>
                <w:rFonts w:hint="default" w:ascii="宋体" w:hAnsi="宋体" w:eastAsia="宋体" w:cs="宋体"/>
                <w:color w:val="auto"/>
                <w:kern w:val="2"/>
                <w:sz w:val="24"/>
                <w:szCs w:val="24"/>
                <w:u w:val="none"/>
                <w:lang w:val="en-US" w:eastAsia="zh-CN" w:bidi="ar-SA"/>
              </w:rPr>
              <w:t>颗粒物</w:t>
            </w:r>
          </w:p>
        </w:tc>
        <w:tc>
          <w:tcPr>
            <w:tcW w:w="2347" w:type="dxa"/>
            <w:vAlign w:val="center"/>
          </w:tcPr>
          <w:p w14:paraId="523242E1">
            <w:pPr>
              <w:pStyle w:val="83"/>
              <w:spacing w:before="1" w:line="244" w:lineRule="auto"/>
              <w:ind w:left="113" w:leftChars="0" w:right="25" w:rightChars="0" w:firstLine="86" w:firstLineChars="0"/>
              <w:jc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厂房阻隔、自然沉降、定期吸尘清扫</w:t>
            </w:r>
          </w:p>
        </w:tc>
        <w:tc>
          <w:tcPr>
            <w:tcW w:w="2434" w:type="dxa"/>
            <w:vAlign w:val="center"/>
          </w:tcPr>
          <w:p w14:paraId="0F67F3E1">
            <w:pPr>
              <w:pStyle w:val="83"/>
              <w:spacing w:before="2"/>
              <w:ind w:left="81" w:leftChars="0" w:right="58" w:rightChars="0"/>
              <w:jc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《大气污染物综合排放标准》（GB16297-1996）</w:t>
            </w:r>
          </w:p>
        </w:tc>
      </w:tr>
      <w:tr w14:paraId="35DE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5378377E">
            <w:pPr>
              <w:pStyle w:val="83"/>
              <w:spacing w:before="163"/>
              <w:ind w:left="135" w:leftChars="0" w:right="125" w:right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地表水环境</w:t>
            </w:r>
          </w:p>
        </w:tc>
        <w:tc>
          <w:tcPr>
            <w:tcW w:w="1431" w:type="dxa"/>
            <w:vAlign w:val="center"/>
          </w:tcPr>
          <w:p w14:paraId="42E908B1">
            <w:pPr>
              <w:pStyle w:val="83"/>
              <w:spacing w:before="163"/>
              <w:ind w:left="75" w:leftChars="0" w:right="60" w:right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生活污水</w:t>
            </w:r>
          </w:p>
        </w:tc>
        <w:tc>
          <w:tcPr>
            <w:tcW w:w="1624" w:type="dxa"/>
            <w:vAlign w:val="center"/>
          </w:tcPr>
          <w:p w14:paraId="205606AC">
            <w:pPr>
              <w:pStyle w:val="83"/>
              <w:spacing w:before="29"/>
              <w:ind w:left="336" w:leftChars="0" w:right="152" w:rightChars="0" w:hanging="164"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COD、氨氮、</w:t>
            </w:r>
            <w:r>
              <w:rPr>
                <w:rFonts w:hint="eastAsia" w:ascii="宋体" w:hAnsi="宋体" w:eastAsia="宋体" w:cs="宋体"/>
                <w:color w:val="auto"/>
                <w:position w:val="2"/>
                <w:sz w:val="24"/>
                <w:szCs w:val="24"/>
              </w:rPr>
              <w:t>BOD</w:t>
            </w:r>
            <w:r>
              <w:rPr>
                <w:rFonts w:hint="eastAsia" w:ascii="宋体" w:hAnsi="宋体" w:eastAsia="宋体" w:cs="宋体"/>
                <w:color w:val="auto"/>
                <w:position w:val="2"/>
                <w:sz w:val="24"/>
                <w:szCs w:val="24"/>
                <w:vertAlign w:val="subscript"/>
              </w:rPr>
              <w:t>5</w:t>
            </w:r>
            <w:r>
              <w:rPr>
                <w:rFonts w:hint="eastAsia" w:ascii="宋体" w:hAnsi="宋体" w:eastAsia="宋体" w:cs="宋体"/>
                <w:color w:val="auto"/>
                <w:position w:val="2"/>
                <w:sz w:val="24"/>
                <w:szCs w:val="24"/>
                <w:vertAlign w:val="baseline"/>
              </w:rPr>
              <w:t>、SS</w:t>
            </w:r>
          </w:p>
        </w:tc>
        <w:tc>
          <w:tcPr>
            <w:tcW w:w="2347" w:type="dxa"/>
            <w:vAlign w:val="center"/>
          </w:tcPr>
          <w:p w14:paraId="06B5B230">
            <w:pPr>
              <w:pStyle w:val="83"/>
              <w:spacing w:before="29" w:line="242" w:lineRule="auto"/>
              <w:ind w:left="677" w:leftChars="0" w:right="132" w:rightChars="0" w:hanging="524" w:firstLineChars="0"/>
              <w:jc w:val="center"/>
              <w:rPr>
                <w:rFonts w:hint="default" w:ascii="Times New Roman" w:hAnsi="Times New Roman" w:eastAsia="宋体" w:cs="Times New Roman"/>
                <w:color w:val="auto"/>
                <w:kern w:val="0"/>
                <w:sz w:val="24"/>
                <w:szCs w:val="24"/>
                <w:u w:val="none"/>
                <w:lang w:val="en-US" w:eastAsia="zh-CN"/>
              </w:rPr>
            </w:pPr>
            <w:r>
              <w:rPr>
                <w:rFonts w:hint="default" w:ascii="Times New Roman" w:hAnsi="Times New Roman" w:eastAsia="宋体" w:cs="Times New Roman"/>
                <w:color w:val="auto"/>
                <w:sz w:val="24"/>
                <w:szCs w:val="24"/>
              </w:rPr>
              <w:t>化粪池收集，作农肥综合利用</w:t>
            </w:r>
          </w:p>
        </w:tc>
        <w:tc>
          <w:tcPr>
            <w:tcW w:w="2434" w:type="dxa"/>
            <w:vAlign w:val="center"/>
          </w:tcPr>
          <w:p w14:paraId="5B21AAA4">
            <w:pPr>
              <w:pStyle w:val="83"/>
              <w:spacing w:before="163"/>
              <w:ind w:left="78" w:leftChars="0" w:right="58" w:rightChars="0"/>
              <w:jc w:val="center"/>
              <w:rPr>
                <w:rFonts w:hint="default" w:ascii="Times New Roman" w:hAnsi="Times New Roman" w:eastAsia="宋体" w:cs="Times New Roman"/>
                <w:color w:val="auto"/>
                <w:sz w:val="24"/>
                <w:szCs w:val="24"/>
                <w:u w:val="single"/>
                <w:lang w:val="en-US" w:eastAsia="zh-CN"/>
              </w:rPr>
            </w:pPr>
            <w:r>
              <w:rPr>
                <w:rFonts w:hint="default" w:ascii="Times New Roman" w:hAnsi="Times New Roman" w:eastAsia="宋体" w:cs="Times New Roman"/>
                <w:color w:val="auto"/>
                <w:sz w:val="24"/>
                <w:szCs w:val="24"/>
              </w:rPr>
              <w:t>不外排</w:t>
            </w:r>
          </w:p>
        </w:tc>
      </w:tr>
      <w:tr w14:paraId="1B39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728494EA">
            <w:pPr>
              <w:pStyle w:val="83"/>
              <w:ind w:left="135" w:leftChars="0" w:right="122" w:right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声环境</w:t>
            </w:r>
          </w:p>
        </w:tc>
        <w:tc>
          <w:tcPr>
            <w:tcW w:w="1431" w:type="dxa"/>
            <w:vAlign w:val="center"/>
          </w:tcPr>
          <w:p w14:paraId="1687A4D4">
            <w:pPr>
              <w:pStyle w:val="83"/>
              <w:ind w:left="75" w:leftChars="0" w:right="60" w:right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厂界噪声</w:t>
            </w:r>
          </w:p>
        </w:tc>
        <w:tc>
          <w:tcPr>
            <w:tcW w:w="1624" w:type="dxa"/>
            <w:vAlign w:val="center"/>
          </w:tcPr>
          <w:p w14:paraId="6E37CAAA">
            <w:pPr>
              <w:pStyle w:val="83"/>
              <w:ind w:left="99" w:leftChars="0" w:right="82"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Leq</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eastAsia="zh-CN"/>
              </w:rPr>
              <w:t>）</w:t>
            </w:r>
          </w:p>
        </w:tc>
        <w:tc>
          <w:tcPr>
            <w:tcW w:w="2347" w:type="dxa"/>
            <w:vAlign w:val="center"/>
          </w:tcPr>
          <w:p w14:paraId="0AA385EA">
            <w:pPr>
              <w:bidi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建筑隔声；基础减振；合理布局等</w:t>
            </w:r>
          </w:p>
        </w:tc>
        <w:tc>
          <w:tcPr>
            <w:tcW w:w="2434" w:type="dxa"/>
            <w:vAlign w:val="center"/>
          </w:tcPr>
          <w:p w14:paraId="78707A9A">
            <w:pPr>
              <w:bidi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厂界噪声执行《工业企业厂界环境噪声排放标准》（GB12348-2008）2类标准</w:t>
            </w:r>
          </w:p>
        </w:tc>
      </w:tr>
      <w:tr w14:paraId="3123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12CBD39C">
            <w:pPr>
              <w:pStyle w:val="83"/>
              <w:ind w:left="135" w:leftChars="0" w:right="122"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u w:val="none"/>
              </w:rPr>
              <w:t>电磁辐射</w:t>
            </w:r>
          </w:p>
        </w:tc>
        <w:tc>
          <w:tcPr>
            <w:tcW w:w="1431" w:type="dxa"/>
            <w:vAlign w:val="center"/>
          </w:tcPr>
          <w:p w14:paraId="359CA512">
            <w:pPr>
              <w:pStyle w:val="83"/>
              <w:ind w:left="75" w:leftChars="0" w:right="60" w:right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c>
          <w:tcPr>
            <w:tcW w:w="1624" w:type="dxa"/>
            <w:vAlign w:val="center"/>
          </w:tcPr>
          <w:p w14:paraId="14076F26">
            <w:pPr>
              <w:pStyle w:val="83"/>
              <w:ind w:left="99" w:leftChars="0" w:right="82" w:right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c>
          <w:tcPr>
            <w:tcW w:w="2347" w:type="dxa"/>
            <w:vAlign w:val="center"/>
          </w:tcPr>
          <w:p w14:paraId="66DEB63E">
            <w:pPr>
              <w:pStyle w:val="83"/>
              <w:spacing w:before="164" w:line="242" w:lineRule="auto"/>
              <w:ind w:left="574" w:leftChars="0" w:right="-15" w:rightChars="0" w:hanging="461" w:firstLineChars="0"/>
              <w:jc w:val="center"/>
              <w:rPr>
                <w:rFonts w:hint="default" w:ascii="Times New Roman" w:hAnsi="Times New Roman" w:eastAsia="宋体" w:cs="Times New Roman"/>
                <w:color w:val="auto"/>
                <w:spacing w:val="-5"/>
                <w:sz w:val="24"/>
                <w:szCs w:val="24"/>
                <w:lang w:val="en-US" w:eastAsia="zh-CN"/>
              </w:rPr>
            </w:pPr>
            <w:r>
              <w:rPr>
                <w:rFonts w:hint="default" w:ascii="Times New Roman" w:hAnsi="Times New Roman" w:eastAsia="宋体" w:cs="Times New Roman"/>
                <w:color w:val="auto"/>
                <w:spacing w:val="-5"/>
                <w:sz w:val="24"/>
                <w:szCs w:val="24"/>
                <w:lang w:val="en-US" w:eastAsia="zh-CN"/>
              </w:rPr>
              <w:t>/</w:t>
            </w:r>
          </w:p>
        </w:tc>
        <w:tc>
          <w:tcPr>
            <w:tcW w:w="2434" w:type="dxa"/>
            <w:vAlign w:val="center"/>
          </w:tcPr>
          <w:p w14:paraId="65391BB9">
            <w:pPr>
              <w:pStyle w:val="83"/>
              <w:spacing w:line="265" w:lineRule="exact"/>
              <w:ind w:left="81" w:leftChars="0" w:right="58" w:right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r>
      <w:tr w14:paraId="58C1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1152" w:type="dxa"/>
            <w:vAlign w:val="center"/>
          </w:tcPr>
          <w:p w14:paraId="41C0BEC1">
            <w:pPr>
              <w:pStyle w:val="83"/>
              <w:jc w:val="center"/>
              <w:rPr>
                <w:rFonts w:hint="default" w:ascii="Times New Roman" w:hAnsi="Times New Roman" w:cs="Times New Roman"/>
                <w:b/>
                <w:color w:val="auto"/>
                <w:sz w:val="24"/>
                <w:szCs w:val="24"/>
              </w:rPr>
            </w:pPr>
          </w:p>
          <w:p w14:paraId="7E95E93C">
            <w:pPr>
              <w:pStyle w:val="83"/>
              <w:spacing w:before="8"/>
              <w:jc w:val="center"/>
              <w:rPr>
                <w:rFonts w:hint="default" w:ascii="Times New Roman" w:hAnsi="Times New Roman" w:cs="Times New Roman"/>
                <w:b/>
                <w:color w:val="auto"/>
                <w:sz w:val="24"/>
                <w:szCs w:val="24"/>
              </w:rPr>
            </w:pPr>
          </w:p>
          <w:p w14:paraId="6F2B30BE">
            <w:pPr>
              <w:pStyle w:val="83"/>
              <w:spacing w:before="1"/>
              <w:ind w:left="135" w:leftChars="0" w:right="125"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固体废物</w:t>
            </w:r>
          </w:p>
        </w:tc>
        <w:tc>
          <w:tcPr>
            <w:tcW w:w="7836" w:type="dxa"/>
            <w:gridSpan w:val="4"/>
            <w:vAlign w:val="center"/>
          </w:tcPr>
          <w:p w14:paraId="16060C51">
            <w:pPr>
              <w:bidi w:val="0"/>
              <w:spacing w:line="360" w:lineRule="auto"/>
              <w:ind w:firstLine="480" w:firstLineChars="200"/>
              <w:jc w:val="center"/>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生活垃圾分类收集设施，分类收集处置。</w:t>
            </w:r>
            <w:r>
              <w:rPr>
                <w:rFonts w:hint="eastAsia" w:ascii="Times New Roman" w:hAnsi="Times New Roman" w:eastAsia="宋体" w:cs="Times New Roman"/>
                <w:color w:val="auto"/>
                <w:sz w:val="24"/>
                <w:szCs w:val="24"/>
                <w:lang w:val="en-US" w:eastAsia="zh-CN"/>
              </w:rPr>
              <w:t>筛分杂质及布袋除尘器收集粉尘袋装收集后用于合作社堆沤农家肥</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炉渣</w:t>
            </w:r>
            <w:r>
              <w:rPr>
                <w:rFonts w:hint="default" w:ascii="Times New Roman" w:hAnsi="Times New Roman" w:eastAsia="宋体" w:cs="Times New Roman"/>
                <w:color w:val="auto"/>
                <w:sz w:val="24"/>
                <w:szCs w:val="24"/>
                <w:lang w:val="en-US" w:eastAsia="zh-CN"/>
              </w:rPr>
              <w:t>炉灰袋装外售做农肥综合利用。</w:t>
            </w:r>
          </w:p>
        </w:tc>
      </w:tr>
      <w:tr w14:paraId="0C7D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6F5A237F">
            <w:pPr>
              <w:jc w:val="center"/>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none"/>
              </w:rPr>
              <w:t>土壤及地下水污染防治措施</w:t>
            </w:r>
          </w:p>
        </w:tc>
        <w:tc>
          <w:tcPr>
            <w:tcW w:w="7836" w:type="dxa"/>
            <w:gridSpan w:val="4"/>
            <w:vAlign w:val="center"/>
          </w:tcPr>
          <w:p w14:paraId="774A0B78">
            <w:pPr>
              <w:jc w:val="center"/>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u w:val="single"/>
                <w:lang w:val="en-US" w:eastAsia="zh-CN"/>
              </w:rPr>
              <w:t>/</w:t>
            </w:r>
          </w:p>
        </w:tc>
      </w:tr>
      <w:tr w14:paraId="1C81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center"/>
          </w:tcPr>
          <w:p w14:paraId="58D557E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生态保护措施</w:t>
            </w:r>
          </w:p>
        </w:tc>
        <w:tc>
          <w:tcPr>
            <w:tcW w:w="7836" w:type="dxa"/>
            <w:gridSpan w:val="4"/>
            <w:vAlign w:val="center"/>
          </w:tcPr>
          <w:p w14:paraId="25342314">
            <w:pPr>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sz w:val="24"/>
                <w:szCs w:val="24"/>
                <w:lang w:val="en-US" w:eastAsia="zh-CN"/>
              </w:rPr>
              <w:t>/</w:t>
            </w:r>
          </w:p>
        </w:tc>
      </w:tr>
      <w:tr w14:paraId="618B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1152" w:type="dxa"/>
            <w:vAlign w:val="center"/>
          </w:tcPr>
          <w:p w14:paraId="4F6DAC3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环境风险防范措施</w:t>
            </w:r>
          </w:p>
        </w:tc>
        <w:tc>
          <w:tcPr>
            <w:tcW w:w="7836" w:type="dxa"/>
            <w:gridSpan w:val="4"/>
            <w:vAlign w:val="center"/>
          </w:tcPr>
          <w:p w14:paraId="6CA0579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①生产车间和仓库内严禁烟火，并张贴安全生产细则：</w:t>
            </w:r>
          </w:p>
          <w:p w14:paraId="77345D6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②生产车间保持良好的通风性：</w:t>
            </w:r>
          </w:p>
          <w:p w14:paraId="1DA6C5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③厂区必须配备有足够数量的灭火装置：</w:t>
            </w:r>
          </w:p>
          <w:p w14:paraId="2342AC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④组织职工学习用电安全知识和各用仪器设备的正确操作，提高职工的安全意识，规范职工的行为，做到人走断电。</w:t>
            </w:r>
          </w:p>
          <w:p w14:paraId="58A9EE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⑤组织学习正确使用灭火器和面对火灾发生正确的逃生方法</w:t>
            </w:r>
          </w:p>
          <w:p w14:paraId="5F6E18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⑥定期安排专业人员检修电路和生产设备，确保正常使用：</w:t>
            </w:r>
          </w:p>
          <w:p w14:paraId="1CBA767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⑦一旦事故发生后，建设单位应迅速采取有效措施，积极组织抢救，防止事故蔓延。并立即如实向当地安全生产监督管理部门和环保主管部门报告事故情况，以便为取有力措施，将污染和伤亡事故降到最低限度</w:t>
            </w:r>
          </w:p>
        </w:tc>
      </w:tr>
      <w:tr w14:paraId="4315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 w:hRule="atLeast"/>
        </w:trPr>
        <w:tc>
          <w:tcPr>
            <w:tcW w:w="1152" w:type="dxa"/>
            <w:vAlign w:val="top"/>
          </w:tcPr>
          <w:p w14:paraId="446862E5">
            <w:pPr>
              <w:pStyle w:val="83"/>
              <w:spacing w:line="242" w:lineRule="auto"/>
              <w:ind w:left="295" w:leftChars="0" w:right="199" w:right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其他环境管理要求</w:t>
            </w:r>
          </w:p>
        </w:tc>
        <w:tc>
          <w:tcPr>
            <w:tcW w:w="7836" w:type="dxa"/>
            <w:gridSpan w:val="4"/>
            <w:vAlign w:val="top"/>
          </w:tcPr>
          <w:p w14:paraId="4379D9BD">
            <w:pPr>
              <w:adjustRightInd w:val="0"/>
              <w:snapToGrid w:val="0"/>
              <w:spacing w:line="360" w:lineRule="auto"/>
              <w:jc w:val="both"/>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rPr>
              <w:t>1、排污许可管理制度</w:t>
            </w:r>
          </w:p>
          <w:p w14:paraId="432F25B3">
            <w:pPr>
              <w:adjustRightInd w:val="0"/>
              <w:snapToGrid w:val="0"/>
              <w:spacing w:line="360" w:lineRule="auto"/>
              <w:ind w:firstLine="420" w:firstLineChars="200"/>
              <w:jc w:val="both"/>
              <w:rPr>
                <w:rFonts w:hint="eastAsia" w:ascii="宋体" w:hAnsi="宋体" w:eastAsia="宋体" w:cs="宋体"/>
                <w:color w:val="auto"/>
                <w:sz w:val="24"/>
                <w:szCs w:val="24"/>
                <w:u w:val="none"/>
              </w:rPr>
            </w:pPr>
            <w:r>
              <w:rPr>
                <w:rFonts w:hint="eastAsia" w:ascii="宋体" w:hAnsi="宋体" w:eastAsia="宋体" w:cs="宋体"/>
                <w:color w:val="auto"/>
                <w:sz w:val="21"/>
                <w:szCs w:val="21"/>
                <w:u w:val="none"/>
              </w:rPr>
              <w:t>根</w:t>
            </w:r>
            <w:r>
              <w:rPr>
                <w:rFonts w:hint="eastAsia" w:ascii="宋体" w:hAnsi="宋体" w:eastAsia="宋体" w:cs="宋体"/>
                <w:color w:val="auto"/>
                <w:sz w:val="24"/>
                <w:szCs w:val="24"/>
                <w:u w:val="none"/>
              </w:rPr>
              <w:t>据《排污许可证申请与核发技术规范总则》（HJ942-2018）、《排污许可管理办法（试行）》（环保部令第48号）及《固定污染源排污许可分类管理名录（2019年版）》（第11号令）</w:t>
            </w:r>
            <w:r>
              <w:rPr>
                <w:rFonts w:hint="eastAsia" w:ascii="宋体" w:hAnsi="宋体" w:eastAsia="宋体" w:cs="宋体"/>
                <w:color w:val="auto"/>
                <w:sz w:val="24"/>
                <w:szCs w:val="24"/>
                <w:u w:val="none"/>
                <w:lang w:eastAsia="zh-CN"/>
              </w:rPr>
              <w:t>。本项目属于</w:t>
            </w:r>
            <w:r>
              <w:rPr>
                <w:rFonts w:hint="eastAsia" w:ascii="宋体" w:hAnsi="宋体" w:eastAsia="宋体" w:cs="宋体"/>
                <w:color w:val="auto"/>
                <w:sz w:val="24"/>
                <w:szCs w:val="24"/>
                <w:u w:val="none"/>
              </w:rPr>
              <w:t>C1399其他未列明农副食品加工/D4430热力生产和供应</w:t>
            </w:r>
            <w:r>
              <w:rPr>
                <w:rFonts w:hint="eastAsia" w:ascii="宋体" w:hAnsi="宋体" w:eastAsia="宋体" w:cs="宋体"/>
                <w:color w:val="auto"/>
                <w:sz w:val="24"/>
                <w:szCs w:val="24"/>
                <w:u w:val="none"/>
                <w:lang w:eastAsia="zh-CN"/>
              </w:rPr>
              <w:t>，“五十一、通用工序，</w:t>
            </w:r>
            <w:r>
              <w:rPr>
                <w:rFonts w:hint="eastAsia" w:ascii="宋体" w:hAnsi="宋体" w:eastAsia="宋体" w:cs="宋体"/>
                <w:color w:val="auto"/>
                <w:sz w:val="24"/>
                <w:szCs w:val="24"/>
                <w:u w:val="none"/>
                <w:lang w:val="en-US" w:eastAsia="zh-CN"/>
              </w:rPr>
              <w:t>109锅炉-除纳入重点排污单位名录的，单台且合计出力20吨/小时（14兆瓦）以下的锅炉（不含电热锅炉）</w:t>
            </w:r>
            <w:r>
              <w:rPr>
                <w:rFonts w:hint="eastAsia" w:ascii="宋体" w:hAnsi="宋体" w:eastAsia="宋体" w:cs="宋体"/>
                <w:color w:val="auto"/>
                <w:sz w:val="24"/>
                <w:szCs w:val="24"/>
                <w:u w:val="none"/>
                <w:lang w:eastAsia="zh-CN"/>
              </w:rPr>
              <w:t>，管理类别为</w:t>
            </w:r>
            <w:r>
              <w:rPr>
                <w:rFonts w:hint="eastAsia" w:ascii="宋体" w:hAnsi="宋体" w:eastAsia="宋体" w:cs="宋体"/>
                <w:color w:val="auto"/>
                <w:sz w:val="24"/>
                <w:szCs w:val="24"/>
                <w:u w:val="none"/>
                <w:lang w:val="en-US" w:eastAsia="zh-CN"/>
              </w:rPr>
              <w:t>登记</w:t>
            </w:r>
            <w:r>
              <w:rPr>
                <w:rFonts w:hint="eastAsia" w:ascii="宋体" w:hAnsi="宋体" w:eastAsia="宋体" w:cs="宋体"/>
                <w:color w:val="auto"/>
                <w:sz w:val="24"/>
                <w:szCs w:val="24"/>
                <w:u w:val="none"/>
                <w:lang w:eastAsia="zh-CN"/>
              </w:rPr>
              <w:t>管理。企业后续需进行排污许可</w:t>
            </w:r>
            <w:r>
              <w:rPr>
                <w:rFonts w:hint="eastAsia" w:ascii="宋体" w:hAnsi="宋体" w:eastAsia="宋体" w:cs="宋体"/>
                <w:color w:val="auto"/>
                <w:sz w:val="24"/>
                <w:szCs w:val="24"/>
                <w:u w:val="none"/>
                <w:lang w:val="en-US" w:eastAsia="zh-CN"/>
              </w:rPr>
              <w:t>证申领</w:t>
            </w:r>
            <w:r>
              <w:rPr>
                <w:rFonts w:hint="eastAsia" w:ascii="宋体" w:hAnsi="宋体" w:eastAsia="宋体" w:cs="宋体"/>
                <w:color w:val="auto"/>
                <w:sz w:val="24"/>
                <w:szCs w:val="24"/>
                <w:u w:val="none"/>
                <w:lang w:eastAsia="zh-CN"/>
              </w:rPr>
              <w:t>。</w:t>
            </w:r>
          </w:p>
          <w:p w14:paraId="0510D3FF">
            <w:pPr>
              <w:numPr>
                <w:ilvl w:val="0"/>
                <w:numId w:val="0"/>
              </w:numPr>
              <w:adjustRightInd w:val="0"/>
              <w:snapToGrid w:val="0"/>
              <w:spacing w:line="360" w:lineRule="auto"/>
              <w:ind w:leftChars="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排污口规范化建设</w:t>
            </w:r>
          </w:p>
          <w:p w14:paraId="3BB9F6B7">
            <w:pPr>
              <w:pStyle w:val="108"/>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）排污口规范化管理</w:t>
            </w:r>
          </w:p>
          <w:p w14:paraId="45F3B005">
            <w:pPr>
              <w:pStyle w:val="108"/>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排污口是企业排放污染物进入环境的通道，强化排污口的管理是实施污染物总量控制的基础工作之一，也是区域环境管理逐步实现污染物排放科学化、定量化的重要手段。</w:t>
            </w:r>
          </w:p>
          <w:p w14:paraId="37D0527E">
            <w:pPr>
              <w:pStyle w:val="108"/>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①向环境排放污染物的排放口必须规范化。</w:t>
            </w:r>
          </w:p>
          <w:p w14:paraId="15FB05FF">
            <w:pPr>
              <w:pStyle w:val="108"/>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②根据工程的特点和国家列入的总量控制指标，排放污染物的排放口和生产区和辅助生产区产尘点作为管理的重点。</w:t>
            </w:r>
          </w:p>
          <w:p w14:paraId="7E73B342">
            <w:pPr>
              <w:pStyle w:val="108"/>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③排污口设置应便于采集样品、便于计量监测、便于日常现场监督检查。</w:t>
            </w:r>
          </w:p>
          <w:p w14:paraId="79527EBB">
            <w:pPr>
              <w:pStyle w:val="108"/>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）排污口</w:t>
            </w:r>
            <w:r>
              <w:rPr>
                <w:rFonts w:hint="eastAsia" w:ascii="宋体" w:hAnsi="宋体" w:eastAsia="宋体" w:cs="宋体"/>
                <w:color w:val="auto"/>
                <w:sz w:val="24"/>
                <w:szCs w:val="24"/>
                <w:lang w:val="en-US" w:eastAsia="zh-CN"/>
              </w:rPr>
              <w:t>标志设置的基本要求</w:t>
            </w:r>
          </w:p>
          <w:p w14:paraId="12428DBD">
            <w:pPr>
              <w:pStyle w:val="108"/>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①企业污染物排放口的标志，应按国家《环境保护图形标志》（GB15562.1-1995）以及《国家环保总局办公厅关于印发排放口标志牌技术规格的通知》（环办[2003]95号）的有关规定，设置国家环保部统一要求的环境保护图形标志牌。</w:t>
            </w:r>
          </w:p>
          <w:p w14:paraId="3DDBBF03">
            <w:pPr>
              <w:pStyle w:val="108"/>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②污染物排放口的环保图形标志牌应设置在靠近采样点的醒目处，标志牌设置高度为其上边缘距地面2m。</w:t>
            </w:r>
          </w:p>
          <w:tbl>
            <w:tblPr>
              <w:tblStyle w:val="30"/>
              <w:tblW w:w="3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3"/>
            </w:tblGrid>
            <w:tr w14:paraId="4D20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5000" w:type="pct"/>
                </w:tcPr>
                <w:p w14:paraId="483C74C5">
                  <w:pPr>
                    <w:pStyle w:val="108"/>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drawing>
                      <wp:inline distT="0" distB="0" distL="114300" distR="114300">
                        <wp:extent cx="933450" cy="1676400"/>
                        <wp:effectExtent l="0" t="0" r="0" b="0"/>
                        <wp:docPr id="8" name="图片 8" descr="9cd75c6a6f099189bcf89fdcf486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cd75c6a6f099189bcf89fdcf4869b5"/>
                                <pic:cNvPicPr>
                                  <a:picLocks noChangeAspect="1"/>
                                </pic:cNvPicPr>
                              </pic:nvPicPr>
                              <pic:blipFill>
                                <a:blip r:embed="rId16"/>
                                <a:stretch>
                                  <a:fillRect/>
                                </a:stretch>
                              </pic:blipFill>
                              <pic:spPr>
                                <a:xfrm>
                                  <a:off x="0" y="0"/>
                                  <a:ext cx="933450" cy="1676400"/>
                                </a:xfrm>
                                <a:prstGeom prst="rect">
                                  <a:avLst/>
                                </a:prstGeom>
                              </pic:spPr>
                            </pic:pic>
                          </a:graphicData>
                        </a:graphic>
                      </wp:inline>
                    </w:drawing>
                  </w:r>
                  <w:r>
                    <w:rPr>
                      <w:rFonts w:hint="eastAsia" w:ascii="宋体" w:hAnsi="宋体" w:eastAsia="宋体" w:cs="宋体"/>
                      <w:color w:val="auto"/>
                      <w:sz w:val="24"/>
                      <w:szCs w:val="24"/>
                      <w:vertAlign w:val="baseline"/>
                      <w:lang w:eastAsia="zh-CN"/>
                    </w:rPr>
                    <w:drawing>
                      <wp:inline distT="0" distB="0" distL="114300" distR="114300">
                        <wp:extent cx="2390775" cy="1657350"/>
                        <wp:effectExtent l="0" t="0" r="9525" b="0"/>
                        <wp:docPr id="9" name="图片 9" descr="eb8188fc986b5ea22c0a2b8a39dea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b8188fc986b5ea22c0a2b8a39dea9e"/>
                                <pic:cNvPicPr>
                                  <a:picLocks noChangeAspect="1"/>
                                </pic:cNvPicPr>
                              </pic:nvPicPr>
                              <pic:blipFill>
                                <a:blip r:embed="rId17"/>
                                <a:stretch>
                                  <a:fillRect/>
                                </a:stretch>
                              </pic:blipFill>
                              <pic:spPr>
                                <a:xfrm>
                                  <a:off x="0" y="0"/>
                                  <a:ext cx="2390775" cy="1657350"/>
                                </a:xfrm>
                                <a:prstGeom prst="rect">
                                  <a:avLst/>
                                </a:prstGeom>
                              </pic:spPr>
                            </pic:pic>
                          </a:graphicData>
                        </a:graphic>
                      </wp:inline>
                    </w:drawing>
                  </w:r>
                </w:p>
              </w:tc>
            </w:tr>
          </w:tbl>
          <w:p w14:paraId="796E2EA5">
            <w:pPr>
              <w:pStyle w:val="108"/>
              <w:ind w:firstLine="422" w:firstLineChars="200"/>
              <w:jc w:val="center"/>
              <w:rPr>
                <w:rFonts w:hint="eastAsia" w:ascii="宋体" w:hAnsi="宋体" w:eastAsia="宋体" w:cs="宋体"/>
                <w:color w:val="auto"/>
                <w:sz w:val="24"/>
                <w:szCs w:val="24"/>
              </w:rPr>
            </w:pPr>
            <w:r>
              <w:rPr>
                <w:rFonts w:hint="eastAsia" w:ascii="宋体" w:hAnsi="宋体" w:eastAsia="宋体" w:cs="宋体"/>
                <w:b/>
                <w:bCs/>
                <w:color w:val="auto"/>
                <w:sz w:val="21"/>
                <w:szCs w:val="21"/>
              </w:rPr>
              <w:t>图5-1环保图形标志牌示意图</w:t>
            </w:r>
          </w:p>
          <w:p w14:paraId="1D3B2E9A">
            <w:pPr>
              <w:pStyle w:val="108"/>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）排污口建档管理</w:t>
            </w:r>
          </w:p>
          <w:p w14:paraId="3F7C90D1">
            <w:pPr>
              <w:pStyle w:val="108"/>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①要求使用国家环保局统一印刷的《中华人民共和国规范化排污口标志登记证》，并按要求填写有关内容。</w:t>
            </w:r>
          </w:p>
          <w:p w14:paraId="6198805D">
            <w:pPr>
              <w:pStyle w:val="108"/>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②根据排污口管理档案内容要求，项目建成后，应将主要污染物种类、数量、浓度、排放去向、达标情况及设施运行情况记录于档案。</w:t>
            </w:r>
          </w:p>
          <w:p w14:paraId="1C3C5A18">
            <w:pPr>
              <w:numPr>
                <w:ilvl w:val="0"/>
                <w:numId w:val="10"/>
              </w:numPr>
              <w:adjustRightInd w:val="0"/>
              <w:snapToGrid w:val="0"/>
              <w:spacing w:line="360" w:lineRule="auto"/>
              <w:ind w:left="0" w:leftChars="0" w:firstLine="0" w:firstLineChars="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项目竣工环境保护验收</w:t>
            </w:r>
          </w:p>
          <w:p w14:paraId="471DA475">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w:t>
            </w:r>
          </w:p>
          <w:p w14:paraId="497A848A">
            <w:pPr>
              <w:pStyle w:val="83"/>
              <w:spacing w:before="2"/>
              <w:ind w:left="113" w:leftChars="0"/>
              <w:rPr>
                <w:rFonts w:hint="default" w:ascii="Times New Roman" w:hAnsi="Times New Roman" w:eastAsia="宋体" w:cs="Times New Roman"/>
                <w:color w:val="auto"/>
                <w:sz w:val="24"/>
                <w:szCs w:val="24"/>
                <w:lang w:val="en-US" w:eastAsia="zh-CN"/>
              </w:rPr>
            </w:pPr>
          </w:p>
        </w:tc>
      </w:tr>
    </w:tbl>
    <w:p w14:paraId="510CDC2E">
      <w:pPr>
        <w:bidi w:val="0"/>
        <w:rPr>
          <w:rFonts w:hint="eastAsia"/>
          <w:color w:val="FF0000"/>
        </w:rPr>
      </w:pPr>
    </w:p>
    <w:p w14:paraId="35DEE2B1">
      <w:pPr>
        <w:pStyle w:val="26"/>
        <w:jc w:val="center"/>
        <w:outlineLvl w:val="0"/>
        <w:rPr>
          <w:rFonts w:ascii="黑体" w:hAnsi="黑体" w:eastAsia="黑体"/>
          <w:snapToGrid w:val="0"/>
          <w:color w:val="auto"/>
          <w:sz w:val="30"/>
          <w:szCs w:val="30"/>
        </w:rPr>
      </w:pPr>
      <w:r>
        <w:rPr>
          <w:snapToGrid w:val="0"/>
          <w:color w:val="FF0000"/>
        </w:rPr>
        <w:br w:type="page"/>
      </w:r>
      <w:bookmarkStart w:id="16" w:name="_Toc25071"/>
      <w:bookmarkStart w:id="17" w:name="_Toc17131"/>
      <w:r>
        <w:rPr>
          <w:rFonts w:hint="eastAsia" w:ascii="Times New Roman" w:hAnsi="Times New Roman"/>
          <w:b/>
          <w:bCs/>
          <w:color w:val="auto"/>
          <w:kern w:val="2"/>
          <w:sz w:val="32"/>
          <w:szCs w:val="32"/>
        </w:rPr>
        <w:t>六、结论</w:t>
      </w:r>
      <w:bookmarkEnd w:id="16"/>
      <w:bookmarkEnd w:id="17"/>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6567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3F14A2E5">
            <w:pPr>
              <w:autoSpaceDE w:val="0"/>
              <w:autoSpaceDN w:val="0"/>
              <w:adjustRightInd w:val="0"/>
              <w:snapToGrid w:val="0"/>
              <w:spacing w:line="360" w:lineRule="auto"/>
              <w:ind w:firstLine="480" w:firstLineChars="200"/>
              <w:rPr>
                <w:rFonts w:hint="eastAsia"/>
                <w:color w:val="auto"/>
                <w:sz w:val="24"/>
              </w:rPr>
            </w:pPr>
            <w:r>
              <w:rPr>
                <w:color w:val="auto"/>
                <w:sz w:val="24"/>
              </w:rPr>
              <w:t>综上，本项目符合国家和地方产业政策。</w:t>
            </w:r>
            <w:r>
              <w:rPr>
                <w:rFonts w:hint="eastAsia"/>
                <w:color w:val="auto"/>
                <w:sz w:val="24"/>
              </w:rPr>
              <w:t>且项目建设满足《常德市“三线一单”生态环境管控基本要求暨环境管控单元生态环境准入清单》要求。</w:t>
            </w:r>
          </w:p>
          <w:p w14:paraId="370CC853">
            <w:pPr>
              <w:autoSpaceDE w:val="0"/>
              <w:autoSpaceDN w:val="0"/>
              <w:adjustRightInd w:val="0"/>
              <w:snapToGrid w:val="0"/>
              <w:spacing w:line="360" w:lineRule="auto"/>
              <w:ind w:firstLine="480" w:firstLineChars="200"/>
              <w:rPr>
                <w:rFonts w:hint="eastAsia" w:ascii="宋体" w:hAnsi="宋体" w:cs="宋体"/>
                <w:color w:val="auto"/>
                <w:kern w:val="0"/>
                <w:sz w:val="24"/>
              </w:rPr>
            </w:pPr>
            <w:r>
              <w:rPr>
                <w:rFonts w:hint="eastAsia"/>
                <w:color w:val="auto"/>
                <w:sz w:val="24"/>
              </w:rPr>
              <w:t>通过对该项目的工程分析、环境影响分析，在采取本报告提出的污染控制措施的基础上，本项目对环境的影响较小。本项目的建设和实施从环境保护的角度分析是可行的。建设单位应严格按照本报告提出的要求，切实落实相应的污染防治对策，严格执行“三同时”制度，并加强环保设施管理和维护，确保环保设施的正常高效运行，减缓项目建设对环境带来的不利影响，使工程建设与环境保护协调发展。项目的建设整体上符合环境保护和社会可持续发展的要求，从环境保护角度分析，本项目是可行的。</w:t>
            </w:r>
          </w:p>
          <w:p w14:paraId="01BB35A0">
            <w:pPr>
              <w:spacing w:line="360" w:lineRule="auto"/>
              <w:rPr>
                <w:rFonts w:ascii="宋体" w:cs="宋体"/>
                <w:color w:val="auto"/>
                <w:sz w:val="24"/>
              </w:rPr>
            </w:pPr>
          </w:p>
        </w:tc>
      </w:tr>
    </w:tbl>
    <w:p w14:paraId="08D89165">
      <w:pPr>
        <w:rPr>
          <w:rFonts w:ascii="宋体"/>
          <w:color w:val="FF000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1BED70F9">
      <w:pPr>
        <w:pStyle w:val="26"/>
        <w:adjustRightInd w:val="0"/>
        <w:snapToGrid w:val="0"/>
        <w:spacing w:before="0" w:beforeAutospacing="0" w:after="0" w:afterAutospacing="0"/>
        <w:outlineLvl w:val="0"/>
        <w:rPr>
          <w:rFonts w:ascii="黑体" w:hAnsi="黑体" w:eastAsia="黑体"/>
          <w:snapToGrid w:val="0"/>
          <w:color w:val="000000" w:themeColor="text1"/>
          <w:sz w:val="32"/>
          <w:szCs w:val="32"/>
          <w14:textFill>
            <w14:solidFill>
              <w14:schemeClr w14:val="tx1"/>
            </w14:solidFill>
          </w14:textFill>
        </w:rPr>
      </w:pPr>
      <w:bookmarkStart w:id="18" w:name="_Toc17587"/>
      <w:bookmarkStart w:id="19" w:name="_Toc28633"/>
      <w:r>
        <w:rPr>
          <w:rFonts w:hint="eastAsia" w:ascii="黑体" w:hAnsi="黑体" w:eastAsia="黑体"/>
          <w:snapToGrid w:val="0"/>
          <w:color w:val="000000" w:themeColor="text1"/>
          <w:sz w:val="32"/>
          <w:szCs w:val="32"/>
          <w14:textFill>
            <w14:solidFill>
              <w14:schemeClr w14:val="tx1"/>
            </w14:solidFill>
          </w14:textFill>
        </w:rPr>
        <w:t>附表</w:t>
      </w:r>
      <w:bookmarkEnd w:id="18"/>
      <w:bookmarkEnd w:id="19"/>
    </w:p>
    <w:p w14:paraId="74656EC0">
      <w:pPr>
        <w:pStyle w:val="26"/>
        <w:adjustRightInd w:val="0"/>
        <w:snapToGrid w:val="0"/>
        <w:spacing w:before="0" w:beforeAutospacing="0" w:after="0" w:afterAutospacing="0"/>
        <w:jc w:val="center"/>
        <w:outlineLvl w:val="1"/>
        <w:rPr>
          <w:rFonts w:hint="eastAsia" w:ascii="方正小标宋_GBK" w:hAnsi="黑体" w:eastAsia="方正小标宋_GBK"/>
          <w:snapToGrid w:val="0"/>
          <w:color w:val="000000" w:themeColor="text1"/>
          <w:sz w:val="38"/>
          <w:szCs w:val="38"/>
          <w14:textFill>
            <w14:solidFill>
              <w14:schemeClr w14:val="tx1"/>
            </w14:solidFill>
          </w14:textFill>
        </w:rPr>
      </w:pPr>
      <w:bookmarkStart w:id="20" w:name="_Toc20113"/>
      <w:bookmarkStart w:id="21" w:name="_Toc7051"/>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bookmarkEnd w:id="20"/>
      <w:bookmarkEnd w:id="21"/>
    </w:p>
    <w:tbl>
      <w:tblPr>
        <w:tblStyle w:val="29"/>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625"/>
        <w:gridCol w:w="1822"/>
        <w:gridCol w:w="1247"/>
        <w:gridCol w:w="1666"/>
        <w:gridCol w:w="1525"/>
        <w:gridCol w:w="1722"/>
        <w:gridCol w:w="1504"/>
        <w:gridCol w:w="1221"/>
      </w:tblGrid>
      <w:tr w14:paraId="78F5F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28" w:type="pct"/>
            <w:tcBorders>
              <w:tl2br w:val="single" w:color="auto" w:sz="4" w:space="0"/>
            </w:tcBorders>
            <w:tcMar>
              <w:left w:w="28" w:type="dxa"/>
              <w:right w:w="28" w:type="dxa"/>
            </w:tcMar>
            <w:vAlign w:val="center"/>
          </w:tcPr>
          <w:p w14:paraId="2037149F">
            <w:pPr>
              <w:pStyle w:val="53"/>
              <w:spacing w:beforeLines="0" w:afterLines="0" w:line="240" w:lineRule="auto"/>
              <w:jc w:val="right"/>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项目</w:t>
            </w:r>
          </w:p>
          <w:p w14:paraId="6A5847C0">
            <w:pPr>
              <w:pStyle w:val="53"/>
              <w:spacing w:beforeLines="0" w:afterLines="0" w:line="240" w:lineRule="auto"/>
              <w:jc w:val="left"/>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分类</w:t>
            </w:r>
          </w:p>
        </w:tc>
        <w:tc>
          <w:tcPr>
            <w:tcW w:w="602" w:type="pct"/>
            <w:tcMar>
              <w:left w:w="28" w:type="dxa"/>
              <w:right w:w="28" w:type="dxa"/>
            </w:tcMar>
            <w:vAlign w:val="center"/>
          </w:tcPr>
          <w:p w14:paraId="588F7781">
            <w:pPr>
              <w:pStyle w:val="53"/>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污染物名称</w:t>
            </w:r>
          </w:p>
        </w:tc>
        <w:tc>
          <w:tcPr>
            <w:tcW w:w="675" w:type="pct"/>
            <w:tcMar>
              <w:left w:w="28" w:type="dxa"/>
              <w:right w:w="28" w:type="dxa"/>
            </w:tcMar>
            <w:vAlign w:val="center"/>
          </w:tcPr>
          <w:p w14:paraId="0BC86E88">
            <w:pPr>
              <w:pStyle w:val="53"/>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现有工程</w:t>
            </w:r>
          </w:p>
          <w:p w14:paraId="09681323">
            <w:pPr>
              <w:pStyle w:val="53"/>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排放量（固体废物产生量）</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6"/>
                <w:kern w:val="21"/>
                <w:szCs w:val="21"/>
                <w14:textFill>
                  <w14:solidFill>
                    <w14:schemeClr w14:val="tx1"/>
                  </w14:solidFill>
                </w14:textFill>
              </w:rPr>
              <w:instrText xml:space="preserve"> = 1 \* GB3 \* MERGEFORMAT </w:instrTex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①</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end"/>
            </w:r>
          </w:p>
        </w:tc>
        <w:tc>
          <w:tcPr>
            <w:tcW w:w="462" w:type="pct"/>
            <w:tcMar>
              <w:left w:w="28" w:type="dxa"/>
              <w:right w:w="28" w:type="dxa"/>
            </w:tcMar>
            <w:vAlign w:val="center"/>
          </w:tcPr>
          <w:p w14:paraId="65EDD4D5">
            <w:pPr>
              <w:pStyle w:val="53"/>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现有工程</w:t>
            </w:r>
          </w:p>
          <w:p w14:paraId="4AF81938">
            <w:pPr>
              <w:pStyle w:val="53"/>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许可排放量</w:t>
            </w:r>
          </w:p>
          <w:p w14:paraId="59FAEA0B">
            <w:pPr>
              <w:pStyle w:val="53"/>
              <w:spacing w:beforeLines="0" w:afterLines="0"/>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6"/>
                <w:kern w:val="21"/>
                <w:szCs w:val="21"/>
                <w14:textFill>
                  <w14:solidFill>
                    <w14:schemeClr w14:val="tx1"/>
                  </w14:solidFill>
                </w14:textFill>
              </w:rPr>
              <w:instrText xml:space="preserve"> = 2 \* GB3 \* MERGEFORMAT </w:instrTex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separate"/>
            </w:r>
            <w:r>
              <w:rPr>
                <w:rFonts w:hint="eastAsia" w:ascii="宋体" w:hAnsi="宋体" w:eastAsia="宋体" w:cs="宋体"/>
                <w:snapToGrid w:val="0"/>
                <w:color w:val="000000" w:themeColor="text1"/>
                <w:spacing w:val="-6"/>
                <w:kern w:val="21"/>
                <w:szCs w:val="21"/>
                <w14:textFill>
                  <w14:solidFill>
                    <w14:schemeClr w14:val="tx1"/>
                  </w14:solidFill>
                </w14:textFill>
              </w:rPr>
              <w:t>②</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end"/>
            </w:r>
          </w:p>
        </w:tc>
        <w:tc>
          <w:tcPr>
            <w:tcW w:w="617" w:type="pct"/>
            <w:tcMar>
              <w:left w:w="28" w:type="dxa"/>
              <w:right w:w="28" w:type="dxa"/>
            </w:tcMar>
            <w:vAlign w:val="center"/>
          </w:tcPr>
          <w:p w14:paraId="0AF46088">
            <w:pPr>
              <w:pStyle w:val="53"/>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在建工程</w:t>
            </w:r>
          </w:p>
          <w:p w14:paraId="42EF2F42">
            <w:pPr>
              <w:pStyle w:val="53"/>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排放量（固体废物产生量）</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6"/>
                <w:kern w:val="21"/>
                <w:szCs w:val="21"/>
                <w14:textFill>
                  <w14:solidFill>
                    <w14:schemeClr w14:val="tx1"/>
                  </w14:solidFill>
                </w14:textFill>
              </w:rPr>
              <w:instrText xml:space="preserve"> = 3 \* GB3 \* MERGEFORMAT </w:instrTex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③</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end"/>
            </w:r>
          </w:p>
        </w:tc>
        <w:tc>
          <w:tcPr>
            <w:tcW w:w="565" w:type="pct"/>
            <w:tcMar>
              <w:left w:w="28" w:type="dxa"/>
              <w:right w:w="28" w:type="dxa"/>
            </w:tcMar>
            <w:vAlign w:val="center"/>
          </w:tcPr>
          <w:p w14:paraId="23C24841">
            <w:pPr>
              <w:pStyle w:val="53"/>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本项目</w:t>
            </w:r>
          </w:p>
          <w:p w14:paraId="57CC527C">
            <w:pPr>
              <w:pStyle w:val="53"/>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排放量（固体废物产生量）</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6"/>
                <w:kern w:val="21"/>
                <w:szCs w:val="21"/>
                <w14:textFill>
                  <w14:solidFill>
                    <w14:schemeClr w14:val="tx1"/>
                  </w14:solidFill>
                </w14:textFill>
              </w:rPr>
              <w:instrText xml:space="preserve"> = 4 \* GB3 \* MERGEFORMAT </w:instrTex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④</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end"/>
            </w:r>
          </w:p>
        </w:tc>
        <w:tc>
          <w:tcPr>
            <w:tcW w:w="638" w:type="pct"/>
            <w:tcMar>
              <w:left w:w="28" w:type="dxa"/>
              <w:right w:w="28" w:type="dxa"/>
            </w:tcMar>
            <w:vAlign w:val="center"/>
          </w:tcPr>
          <w:p w14:paraId="6742DCF8">
            <w:pPr>
              <w:pStyle w:val="53"/>
              <w:spacing w:beforeLines="0" w:afterLines="0" w:line="240" w:lineRule="auto"/>
              <w:rPr>
                <w:rFonts w:hint="eastAsia" w:ascii="宋体" w:hAnsi="宋体" w:eastAsia="宋体" w:cs="宋体"/>
                <w:snapToGrid w:val="0"/>
                <w:color w:val="000000" w:themeColor="text1"/>
                <w:spacing w:val="-16"/>
                <w:kern w:val="21"/>
                <w:szCs w:val="21"/>
                <w14:textFill>
                  <w14:solidFill>
                    <w14:schemeClr w14:val="tx1"/>
                  </w14:solidFill>
                </w14:textFill>
              </w:rPr>
            </w:pPr>
            <w:r>
              <w:rPr>
                <w:rFonts w:hint="eastAsia" w:ascii="宋体" w:hAnsi="宋体" w:eastAsia="宋体" w:cs="宋体"/>
                <w:snapToGrid w:val="0"/>
                <w:color w:val="000000" w:themeColor="text1"/>
                <w:spacing w:val="-16"/>
                <w:kern w:val="21"/>
                <w:szCs w:val="21"/>
                <w14:textFill>
                  <w14:solidFill>
                    <w14:schemeClr w14:val="tx1"/>
                  </w14:solidFill>
                </w14:textFill>
              </w:rPr>
              <w:t>以新带老削减量</w:t>
            </w:r>
          </w:p>
          <w:p w14:paraId="33DB0FCA">
            <w:pPr>
              <w:pStyle w:val="53"/>
              <w:spacing w:beforeLines="0" w:afterLines="0" w:line="240" w:lineRule="auto"/>
              <w:rPr>
                <w:rFonts w:hint="eastAsia" w:ascii="宋体" w:hAnsi="宋体" w:eastAsia="宋体" w:cs="宋体"/>
                <w:snapToGrid w:val="0"/>
                <w:color w:val="000000" w:themeColor="text1"/>
                <w:spacing w:val="-16"/>
                <w:kern w:val="21"/>
                <w:szCs w:val="21"/>
                <w14:textFill>
                  <w14:solidFill>
                    <w14:schemeClr w14:val="tx1"/>
                  </w14:solidFill>
                </w14:textFill>
              </w:rPr>
            </w:pPr>
            <w:r>
              <w:rPr>
                <w:rFonts w:hint="eastAsia" w:ascii="宋体" w:hAnsi="宋体" w:eastAsia="宋体" w:cs="宋体"/>
                <w:snapToGrid w:val="0"/>
                <w:color w:val="000000" w:themeColor="text1"/>
                <w:spacing w:val="-16"/>
                <w:kern w:val="21"/>
                <w:szCs w:val="21"/>
                <w14:textFill>
                  <w14:solidFill>
                    <w14:schemeClr w14:val="tx1"/>
                  </w14:solidFill>
                </w14:textFill>
              </w:rPr>
              <w:t>（新建项目不填）</w: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16"/>
                <w:kern w:val="21"/>
                <w:szCs w:val="21"/>
                <w14:textFill>
                  <w14:solidFill>
                    <w14:schemeClr w14:val="tx1"/>
                  </w14:solidFill>
                </w14:textFill>
              </w:rPr>
              <w:instrText xml:space="preserve"> = 5 \* GB3 \* MERGEFORMAT </w:instrTex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⑤</w: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end"/>
            </w:r>
          </w:p>
        </w:tc>
        <w:tc>
          <w:tcPr>
            <w:tcW w:w="557" w:type="pct"/>
            <w:tcMar>
              <w:left w:w="28" w:type="dxa"/>
              <w:right w:w="28" w:type="dxa"/>
            </w:tcMar>
            <w:vAlign w:val="center"/>
          </w:tcPr>
          <w:p w14:paraId="18D182DE">
            <w:pPr>
              <w:pStyle w:val="53"/>
              <w:spacing w:beforeLines="0" w:afterLines="0" w:line="240" w:lineRule="auto"/>
              <w:rPr>
                <w:rFonts w:hint="eastAsia" w:ascii="宋体" w:hAnsi="宋体" w:eastAsia="宋体" w:cs="宋体"/>
                <w:snapToGrid w:val="0"/>
                <w:color w:val="000000" w:themeColor="text1"/>
                <w:spacing w:val="-16"/>
                <w:kern w:val="21"/>
                <w:szCs w:val="21"/>
                <w14:textFill>
                  <w14:solidFill>
                    <w14:schemeClr w14:val="tx1"/>
                  </w14:solidFill>
                </w14:textFill>
              </w:rPr>
            </w:pPr>
            <w:r>
              <w:rPr>
                <w:rFonts w:hint="eastAsia" w:ascii="宋体" w:hAnsi="宋体" w:eastAsia="宋体" w:cs="宋体"/>
                <w:snapToGrid w:val="0"/>
                <w:color w:val="000000" w:themeColor="text1"/>
                <w:spacing w:val="-16"/>
                <w:kern w:val="21"/>
                <w:szCs w:val="21"/>
                <w14:textFill>
                  <w14:solidFill>
                    <w14:schemeClr w14:val="tx1"/>
                  </w14:solidFill>
                </w14:textFill>
              </w:rPr>
              <w:t>本项目建成后</w:t>
            </w:r>
          </w:p>
          <w:p w14:paraId="5D139BD7">
            <w:pPr>
              <w:pStyle w:val="53"/>
              <w:spacing w:beforeLines="0" w:afterLines="0" w:line="240" w:lineRule="auto"/>
              <w:rPr>
                <w:rFonts w:hint="eastAsia" w:ascii="宋体" w:hAnsi="宋体" w:eastAsia="宋体" w:cs="宋体"/>
                <w:snapToGrid w:val="0"/>
                <w:color w:val="000000" w:themeColor="text1"/>
                <w:spacing w:val="-16"/>
                <w:kern w:val="21"/>
                <w:szCs w:val="21"/>
                <w14:textFill>
                  <w14:solidFill>
                    <w14:schemeClr w14:val="tx1"/>
                  </w14:solidFill>
                </w14:textFill>
              </w:rPr>
            </w:pPr>
            <w:r>
              <w:rPr>
                <w:rFonts w:hint="eastAsia" w:ascii="宋体" w:hAnsi="宋体" w:eastAsia="宋体" w:cs="宋体"/>
                <w:snapToGrid w:val="0"/>
                <w:color w:val="000000" w:themeColor="text1"/>
                <w:spacing w:val="-16"/>
                <w:kern w:val="21"/>
                <w:szCs w:val="21"/>
                <w14:textFill>
                  <w14:solidFill>
                    <w14:schemeClr w14:val="tx1"/>
                  </w14:solidFill>
                </w14:textFill>
              </w:rPr>
              <w:t>全厂排放量（固体废物产生量）</w: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16"/>
                <w:kern w:val="21"/>
                <w:szCs w:val="21"/>
                <w14:textFill>
                  <w14:solidFill>
                    <w14:schemeClr w14:val="tx1"/>
                  </w14:solidFill>
                </w14:textFill>
              </w:rPr>
              <w:instrText xml:space="preserve"> = 6 \* GB3 \* MERGEFORMAT </w:instrTex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⑥</w:t>
            </w:r>
            <w:r>
              <w:rPr>
                <w:rFonts w:hint="eastAsia" w:ascii="宋体" w:hAnsi="宋体" w:eastAsia="宋体" w:cs="宋体"/>
                <w:snapToGrid w:val="0"/>
                <w:color w:val="000000" w:themeColor="text1"/>
                <w:spacing w:val="-16"/>
                <w:kern w:val="21"/>
                <w:szCs w:val="21"/>
                <w14:textFill>
                  <w14:solidFill>
                    <w14:schemeClr w14:val="tx1"/>
                  </w14:solidFill>
                </w14:textFill>
              </w:rPr>
              <w:fldChar w:fldCharType="end"/>
            </w:r>
          </w:p>
        </w:tc>
        <w:tc>
          <w:tcPr>
            <w:tcW w:w="452" w:type="pct"/>
            <w:tcMar>
              <w:left w:w="28" w:type="dxa"/>
              <w:right w:w="28" w:type="dxa"/>
            </w:tcMar>
            <w:vAlign w:val="center"/>
          </w:tcPr>
          <w:p w14:paraId="49F26BCA">
            <w:pPr>
              <w:pStyle w:val="53"/>
              <w:spacing w:beforeLines="0" w:afterLines="0" w:line="240" w:lineRule="auto"/>
              <w:rPr>
                <w:rFonts w:hint="eastAsia" w:ascii="宋体" w:hAnsi="宋体" w:eastAsia="宋体" w:cs="宋体"/>
                <w:snapToGrid w:val="0"/>
                <w:color w:val="000000" w:themeColor="text1"/>
                <w:spacing w:val="-6"/>
                <w:kern w:val="21"/>
                <w:szCs w:val="21"/>
                <w14:textFill>
                  <w14:solidFill>
                    <w14:schemeClr w14:val="tx1"/>
                  </w14:solidFill>
                </w14:textFill>
              </w:rPr>
            </w:pPr>
            <w:r>
              <w:rPr>
                <w:rFonts w:hint="eastAsia" w:ascii="宋体" w:hAnsi="宋体" w:eastAsia="宋体" w:cs="宋体"/>
                <w:snapToGrid w:val="0"/>
                <w:color w:val="000000" w:themeColor="text1"/>
                <w:spacing w:val="-6"/>
                <w:kern w:val="21"/>
                <w:szCs w:val="21"/>
                <w14:textFill>
                  <w14:solidFill>
                    <w14:schemeClr w14:val="tx1"/>
                  </w14:solidFill>
                </w14:textFill>
              </w:rPr>
              <w:t>变化量</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begin"/>
            </w:r>
            <w:r>
              <w:rPr>
                <w:rFonts w:hint="eastAsia" w:ascii="宋体" w:hAnsi="宋体" w:eastAsia="宋体" w:cs="宋体"/>
                <w:snapToGrid w:val="0"/>
                <w:color w:val="000000" w:themeColor="text1"/>
                <w:spacing w:val="-6"/>
                <w:kern w:val="21"/>
                <w:szCs w:val="21"/>
                <w14:textFill>
                  <w14:solidFill>
                    <w14:schemeClr w14:val="tx1"/>
                  </w14:solidFill>
                </w14:textFill>
              </w:rPr>
              <w:instrText xml:space="preserve"> = 7 \* GB3 \* MERGEFORMAT </w:instrTex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separate"/>
            </w:r>
            <w:r>
              <w:rPr>
                <w:rFonts w:hint="eastAsia" w:ascii="宋体" w:hAnsi="宋体" w:eastAsia="宋体" w:cs="宋体"/>
                <w:color w:val="000000" w:themeColor="text1"/>
                <w:kern w:val="2"/>
                <w:szCs w:val="21"/>
                <w14:textFill>
                  <w14:solidFill>
                    <w14:schemeClr w14:val="tx1"/>
                  </w14:solidFill>
                </w14:textFill>
              </w:rPr>
              <w:t>⑦</w:t>
            </w:r>
            <w:r>
              <w:rPr>
                <w:rFonts w:hint="eastAsia" w:ascii="宋体" w:hAnsi="宋体" w:eastAsia="宋体" w:cs="宋体"/>
                <w:snapToGrid w:val="0"/>
                <w:color w:val="000000" w:themeColor="text1"/>
                <w:spacing w:val="-6"/>
                <w:kern w:val="21"/>
                <w:szCs w:val="21"/>
                <w14:textFill>
                  <w14:solidFill>
                    <w14:schemeClr w14:val="tx1"/>
                  </w14:solidFill>
                </w14:textFill>
              </w:rPr>
              <w:fldChar w:fldCharType="end"/>
            </w:r>
          </w:p>
        </w:tc>
      </w:tr>
      <w:tr w14:paraId="66364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Merge w:val="restart"/>
            <w:vAlign w:val="center"/>
          </w:tcPr>
          <w:p w14:paraId="6490855B">
            <w:pPr>
              <w:pStyle w:val="53"/>
              <w:spacing w:beforeLines="0" w:afterLines="0" w:line="240" w:lineRule="auto"/>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废气</w:t>
            </w:r>
          </w:p>
        </w:tc>
        <w:tc>
          <w:tcPr>
            <w:tcW w:w="602" w:type="pct"/>
            <w:vAlign w:val="center"/>
          </w:tcPr>
          <w:p w14:paraId="65A0C0F1">
            <w:pPr>
              <w:jc w:val="center"/>
              <w:rPr>
                <w:rFonts w:hint="eastAsia" w:ascii="宋体" w:hAnsi="宋体" w:eastAsia="宋体" w:cs="宋体"/>
                <w:snapToGrid w:val="0"/>
                <w:color w:val="000000" w:themeColor="text1"/>
                <w:kern w:val="21"/>
                <w:szCs w:val="21"/>
                <w:lang w:val="en-US"/>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颗粒物</w:t>
            </w:r>
          </w:p>
        </w:tc>
        <w:tc>
          <w:tcPr>
            <w:tcW w:w="675" w:type="pct"/>
            <w:vAlign w:val="center"/>
          </w:tcPr>
          <w:p w14:paraId="52CC0E90">
            <w:pPr>
              <w:widowControl/>
              <w:jc w:val="center"/>
              <w:textAlignment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462" w:type="pct"/>
            <w:vAlign w:val="center"/>
          </w:tcPr>
          <w:p w14:paraId="0AD49F99">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617" w:type="pct"/>
            <w:vAlign w:val="center"/>
          </w:tcPr>
          <w:p w14:paraId="7CF91F68">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65" w:type="pct"/>
            <w:vAlign w:val="center"/>
          </w:tcPr>
          <w:p w14:paraId="6825974B">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2.9049</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7BE75652">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1504" w:type="dxa"/>
            <w:vAlign w:val="center"/>
          </w:tcPr>
          <w:p w14:paraId="747C5913">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2.9049</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35FB1C3D">
            <w:pPr>
              <w:widowControl/>
              <w:jc w:val="center"/>
              <w:textAlignment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59B4C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Merge w:val="continue"/>
            <w:vAlign w:val="center"/>
          </w:tcPr>
          <w:p w14:paraId="543A89D8">
            <w:pPr>
              <w:pStyle w:val="53"/>
              <w:spacing w:beforeLines="0" w:afterLines="0" w:line="240" w:lineRule="auto"/>
              <w:rPr>
                <w:rFonts w:hint="eastAsia" w:ascii="宋体" w:hAnsi="宋体" w:eastAsia="宋体" w:cs="宋体"/>
                <w:snapToGrid w:val="0"/>
                <w:color w:val="000000" w:themeColor="text1"/>
                <w:kern w:val="21"/>
                <w:szCs w:val="21"/>
                <w14:textFill>
                  <w14:solidFill>
                    <w14:schemeClr w14:val="tx1"/>
                  </w14:solidFill>
                </w14:textFill>
              </w:rPr>
            </w:pPr>
          </w:p>
        </w:tc>
        <w:tc>
          <w:tcPr>
            <w:tcW w:w="602" w:type="pct"/>
            <w:vAlign w:val="center"/>
          </w:tcPr>
          <w:p w14:paraId="533D4F02">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NO</w:t>
            </w:r>
            <w:r>
              <w:rPr>
                <w:rFonts w:hint="eastAsia" w:ascii="宋体" w:hAnsi="宋体" w:eastAsia="宋体" w:cs="宋体"/>
                <w:snapToGrid w:val="0"/>
                <w:color w:val="000000" w:themeColor="text1"/>
                <w:kern w:val="21"/>
                <w:szCs w:val="21"/>
                <w:vertAlign w:val="subscript"/>
                <w:lang w:val="en-US" w:eastAsia="zh-CN"/>
                <w14:textFill>
                  <w14:solidFill>
                    <w14:schemeClr w14:val="tx1"/>
                  </w14:solidFill>
                </w14:textFill>
              </w:rPr>
              <w:t>X</w:t>
            </w:r>
          </w:p>
        </w:tc>
        <w:tc>
          <w:tcPr>
            <w:tcW w:w="675" w:type="pct"/>
            <w:vAlign w:val="center"/>
          </w:tcPr>
          <w:p w14:paraId="36AACBE9">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462" w:type="pct"/>
            <w:vAlign w:val="center"/>
          </w:tcPr>
          <w:p w14:paraId="37EFF540">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617" w:type="pct"/>
            <w:vAlign w:val="center"/>
          </w:tcPr>
          <w:p w14:paraId="6CE9C988">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65" w:type="pct"/>
            <w:vAlign w:val="center"/>
          </w:tcPr>
          <w:p w14:paraId="651EC78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1.24</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04465F8A">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1504" w:type="dxa"/>
            <w:vAlign w:val="center"/>
          </w:tcPr>
          <w:p w14:paraId="47D43792">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1.24</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0416A73B">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7CEC3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Merge w:val="continue"/>
            <w:vAlign w:val="center"/>
          </w:tcPr>
          <w:p w14:paraId="280298EA">
            <w:pPr>
              <w:pStyle w:val="53"/>
              <w:spacing w:beforeLines="0" w:afterLines="0" w:line="240" w:lineRule="auto"/>
              <w:rPr>
                <w:rFonts w:hint="eastAsia" w:ascii="宋体" w:hAnsi="宋体" w:eastAsia="宋体" w:cs="宋体"/>
                <w:snapToGrid w:val="0"/>
                <w:color w:val="000000" w:themeColor="text1"/>
                <w:kern w:val="21"/>
                <w:szCs w:val="21"/>
                <w:lang w:val="en-US" w:eastAsia="zh-CN"/>
                <w14:textFill>
                  <w14:solidFill>
                    <w14:schemeClr w14:val="tx1"/>
                  </w14:solidFill>
                </w14:textFill>
              </w:rPr>
            </w:pPr>
          </w:p>
        </w:tc>
        <w:tc>
          <w:tcPr>
            <w:tcW w:w="602" w:type="pct"/>
            <w:vAlign w:val="center"/>
          </w:tcPr>
          <w:p w14:paraId="70CF61CA">
            <w:pPr>
              <w:pStyle w:val="53"/>
              <w:spacing w:beforeLines="0" w:afterLines="0" w:line="24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SO</w:t>
            </w:r>
            <w:r>
              <w:rPr>
                <w:rFonts w:hint="eastAsia" w:ascii="宋体" w:hAnsi="宋体" w:eastAsia="宋体" w:cs="宋体"/>
                <w:color w:val="000000" w:themeColor="text1"/>
                <w:szCs w:val="21"/>
                <w:vertAlign w:val="subscript"/>
                <w:lang w:val="en-US" w:eastAsia="zh-CN"/>
                <w14:textFill>
                  <w14:solidFill>
                    <w14:schemeClr w14:val="tx1"/>
                  </w14:solidFill>
                </w14:textFill>
              </w:rPr>
              <w:t>2</w:t>
            </w:r>
          </w:p>
        </w:tc>
        <w:tc>
          <w:tcPr>
            <w:tcW w:w="675" w:type="pct"/>
            <w:vAlign w:val="center"/>
          </w:tcPr>
          <w:p w14:paraId="1D5BE7A2">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462" w:type="pct"/>
            <w:vAlign w:val="center"/>
          </w:tcPr>
          <w:p w14:paraId="7A8B2896">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617" w:type="pct"/>
            <w:vAlign w:val="center"/>
          </w:tcPr>
          <w:p w14:paraId="09457417">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65" w:type="pct"/>
            <w:vAlign w:val="center"/>
          </w:tcPr>
          <w:p w14:paraId="21529386">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0.85</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380A597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1504" w:type="dxa"/>
            <w:vAlign w:val="center"/>
          </w:tcPr>
          <w:p w14:paraId="368DEA83">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0.85</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5A207D63">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73339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Align w:val="center"/>
          </w:tcPr>
          <w:p w14:paraId="16C7F1B6">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废水</w:t>
            </w:r>
          </w:p>
        </w:tc>
        <w:tc>
          <w:tcPr>
            <w:tcW w:w="602" w:type="pct"/>
            <w:vAlign w:val="center"/>
          </w:tcPr>
          <w:p w14:paraId="3A2B6FA1">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napToGrid w:val="0"/>
                <w:color w:val="000000" w:themeColor="text1"/>
                <w:kern w:val="21"/>
                <w:sz w:val="21"/>
                <w:szCs w:val="21"/>
                <w:lang w:val="en-US" w:eastAsia="zh-CN"/>
                <w14:textFill>
                  <w14:solidFill>
                    <w14:schemeClr w14:val="tx1"/>
                  </w14:solidFill>
                </w14:textFill>
              </w:rPr>
              <w:t>/</w:t>
            </w:r>
          </w:p>
        </w:tc>
        <w:tc>
          <w:tcPr>
            <w:tcW w:w="675" w:type="pct"/>
            <w:vAlign w:val="center"/>
          </w:tcPr>
          <w:p w14:paraId="6CF84D06">
            <w:pPr>
              <w:widowControl/>
              <w:jc w:val="center"/>
              <w:textAlignment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462" w:type="pct"/>
            <w:vAlign w:val="center"/>
          </w:tcPr>
          <w:p w14:paraId="4AA6C338">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617" w:type="pct"/>
            <w:vAlign w:val="center"/>
          </w:tcPr>
          <w:p w14:paraId="548725D6">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65" w:type="pct"/>
            <w:vAlign w:val="center"/>
          </w:tcPr>
          <w:p w14:paraId="6BF79A27">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638" w:type="pct"/>
            <w:vAlign w:val="center"/>
          </w:tcPr>
          <w:p w14:paraId="4DDFD35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57" w:type="pct"/>
            <w:vAlign w:val="center"/>
          </w:tcPr>
          <w:p w14:paraId="3B21B85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452" w:type="pct"/>
            <w:vAlign w:val="center"/>
          </w:tcPr>
          <w:p w14:paraId="65663D88">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18C13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Merge w:val="restart"/>
            <w:vAlign w:val="center"/>
          </w:tcPr>
          <w:p w14:paraId="10F4B418">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一般工业固体废物</w:t>
            </w:r>
          </w:p>
        </w:tc>
        <w:tc>
          <w:tcPr>
            <w:tcW w:w="602" w:type="pct"/>
            <w:vAlign w:val="center"/>
          </w:tcPr>
          <w:p w14:paraId="36B6666B">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谷壳</w:t>
            </w:r>
            <w:r>
              <w:rPr>
                <w:rFonts w:hint="eastAsia" w:ascii="宋体" w:hAnsi="宋体" w:eastAsia="宋体" w:cs="宋体"/>
                <w:color w:val="000000" w:themeColor="text1"/>
                <w:lang w:val="en-US" w:eastAsia="zh-CN"/>
                <w14:textFill>
                  <w14:solidFill>
                    <w14:schemeClr w14:val="tx1"/>
                  </w14:solidFill>
                </w14:textFill>
              </w:rPr>
              <w:t>等杂质</w:t>
            </w:r>
          </w:p>
        </w:tc>
        <w:tc>
          <w:tcPr>
            <w:tcW w:w="675" w:type="pct"/>
            <w:vAlign w:val="center"/>
          </w:tcPr>
          <w:p w14:paraId="3B1B1AF4">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462" w:type="pct"/>
            <w:vAlign w:val="center"/>
          </w:tcPr>
          <w:p w14:paraId="1AA0F67A">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617" w:type="pct"/>
            <w:vAlign w:val="center"/>
          </w:tcPr>
          <w:p w14:paraId="7336BD77">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65" w:type="pct"/>
            <w:vAlign w:val="center"/>
          </w:tcPr>
          <w:p w14:paraId="1C3349AF">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31.452</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073F3899">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57" w:type="pct"/>
            <w:vAlign w:val="center"/>
          </w:tcPr>
          <w:p w14:paraId="7E90844E">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31.452</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6F38E843">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69650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8" w:type="pct"/>
            <w:vMerge w:val="continue"/>
            <w:vAlign w:val="center"/>
          </w:tcPr>
          <w:p w14:paraId="54660BD6">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p>
        </w:tc>
        <w:tc>
          <w:tcPr>
            <w:tcW w:w="602" w:type="pct"/>
            <w:vAlign w:val="center"/>
          </w:tcPr>
          <w:p w14:paraId="4BB52A14">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炉渣</w:t>
            </w:r>
            <w:r>
              <w:rPr>
                <w:rFonts w:hint="eastAsia" w:ascii="宋体" w:hAnsi="宋体" w:eastAsia="宋体" w:cs="宋体"/>
                <w:color w:val="000000" w:themeColor="text1"/>
                <w14:textFill>
                  <w14:solidFill>
                    <w14:schemeClr w14:val="tx1"/>
                  </w14:solidFill>
                </w14:textFill>
              </w:rPr>
              <w:t>炉灰</w:t>
            </w:r>
          </w:p>
        </w:tc>
        <w:tc>
          <w:tcPr>
            <w:tcW w:w="675" w:type="pct"/>
            <w:vAlign w:val="center"/>
          </w:tcPr>
          <w:p w14:paraId="6349959D">
            <w:pPr>
              <w:widowControl/>
              <w:jc w:val="center"/>
              <w:textAlignment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462" w:type="pct"/>
            <w:vAlign w:val="center"/>
          </w:tcPr>
          <w:p w14:paraId="39115200">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617" w:type="pct"/>
            <w:vAlign w:val="center"/>
          </w:tcPr>
          <w:p w14:paraId="4CBBB1F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65" w:type="pct"/>
            <w:vAlign w:val="center"/>
          </w:tcPr>
          <w:p w14:paraId="57DB00A6">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17.37</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1508981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57" w:type="pct"/>
            <w:vAlign w:val="center"/>
          </w:tcPr>
          <w:p w14:paraId="075395E3">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17.37</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293F7B41">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r>
      <w:tr w14:paraId="46976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8" w:type="pct"/>
            <w:vMerge w:val="continue"/>
            <w:vAlign w:val="center"/>
          </w:tcPr>
          <w:p w14:paraId="3D87262A">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p>
        </w:tc>
        <w:tc>
          <w:tcPr>
            <w:tcW w:w="602" w:type="pct"/>
            <w:vAlign w:val="center"/>
          </w:tcPr>
          <w:p w14:paraId="28A67FC1">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生活垃圾</w:t>
            </w:r>
          </w:p>
        </w:tc>
        <w:tc>
          <w:tcPr>
            <w:tcW w:w="675" w:type="pct"/>
            <w:vAlign w:val="center"/>
          </w:tcPr>
          <w:p w14:paraId="71D9BE7F">
            <w:pPr>
              <w:widowControl/>
              <w:jc w:val="center"/>
              <w:textAlignment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462" w:type="pct"/>
            <w:vAlign w:val="center"/>
          </w:tcPr>
          <w:p w14:paraId="5E4D6E20">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617" w:type="pct"/>
            <w:vAlign w:val="center"/>
          </w:tcPr>
          <w:p w14:paraId="715DFBB5">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65" w:type="pct"/>
            <w:vAlign w:val="center"/>
          </w:tcPr>
          <w:p w14:paraId="097C67C4">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0.192</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638" w:type="pct"/>
            <w:vAlign w:val="center"/>
          </w:tcPr>
          <w:p w14:paraId="497CC46F">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r>
              <w:rPr>
                <w:rFonts w:hint="eastAsia" w:ascii="宋体" w:hAnsi="宋体" w:eastAsia="宋体" w:cs="宋体"/>
                <w:snapToGrid w:val="0"/>
                <w:color w:val="000000" w:themeColor="text1"/>
                <w:kern w:val="21"/>
                <w:szCs w:val="21"/>
                <w:lang w:val="en-US" w:eastAsia="zh-CN"/>
                <w14:textFill>
                  <w14:solidFill>
                    <w14:schemeClr w14:val="tx1"/>
                  </w14:solidFill>
                </w14:textFill>
              </w:rPr>
              <w:t>/</w:t>
            </w:r>
          </w:p>
        </w:tc>
        <w:tc>
          <w:tcPr>
            <w:tcW w:w="557" w:type="pct"/>
            <w:vAlign w:val="center"/>
          </w:tcPr>
          <w:p w14:paraId="14EE3AAA">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0.192</w:t>
            </w:r>
            <w:r>
              <w:rPr>
                <w:rFonts w:hint="eastAsia" w:ascii="宋体" w:hAnsi="宋体" w:eastAsia="宋体" w:cs="宋体"/>
                <w:color w:val="000000" w:themeColor="text1"/>
                <w:kern w:val="0"/>
                <w:szCs w:val="21"/>
                <w:lang w:val="en-US" w:eastAsia="zh-CN" w:bidi="ar"/>
                <w14:textFill>
                  <w14:solidFill>
                    <w14:schemeClr w14:val="tx1"/>
                  </w14:solidFill>
                </w14:textFill>
              </w:rPr>
              <w:t>t/a</w:t>
            </w:r>
          </w:p>
        </w:tc>
        <w:tc>
          <w:tcPr>
            <w:tcW w:w="452" w:type="pct"/>
            <w:vAlign w:val="center"/>
          </w:tcPr>
          <w:p w14:paraId="396E7154">
            <w:pPr>
              <w:jc w:val="center"/>
              <w:rPr>
                <w:rFonts w:hint="eastAsia" w:ascii="宋体" w:hAnsi="宋体" w:eastAsia="宋体" w:cs="宋体"/>
                <w:snapToGrid w:val="0"/>
                <w:color w:val="000000" w:themeColor="text1"/>
                <w:kern w:val="21"/>
                <w:szCs w:val="21"/>
                <w:lang w:val="en-US" w:eastAsia="zh-CN"/>
                <w14:textFill>
                  <w14:solidFill>
                    <w14:schemeClr w14:val="tx1"/>
                  </w14:solidFill>
                </w14:textFill>
              </w:rPr>
            </w:pPr>
          </w:p>
        </w:tc>
      </w:tr>
      <w:tr w14:paraId="352E4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8" w:type="pct"/>
            <w:vAlign w:val="center"/>
          </w:tcPr>
          <w:p w14:paraId="06516550">
            <w:pPr>
              <w:pStyle w:val="53"/>
              <w:spacing w:beforeLines="0" w:afterLines="0" w:line="240" w:lineRule="auto"/>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危险废物</w:t>
            </w:r>
          </w:p>
        </w:tc>
        <w:tc>
          <w:tcPr>
            <w:tcW w:w="602" w:type="pct"/>
            <w:vAlign w:val="center"/>
          </w:tcPr>
          <w:p w14:paraId="704B85FB">
            <w:pPr>
              <w:widowControl/>
              <w:adjustRightInd w:val="0"/>
              <w:snapToGrid w:val="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tc>
        <w:tc>
          <w:tcPr>
            <w:tcW w:w="675" w:type="pct"/>
            <w:vAlign w:val="center"/>
          </w:tcPr>
          <w:p w14:paraId="1CCB35B1">
            <w:pPr>
              <w:widowControl/>
              <w:jc w:val="center"/>
              <w:textAlignment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462" w:type="pct"/>
            <w:vAlign w:val="center"/>
          </w:tcPr>
          <w:p w14:paraId="0C88454B">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617" w:type="pct"/>
            <w:vAlign w:val="center"/>
          </w:tcPr>
          <w:p w14:paraId="42EE523F">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65" w:type="pct"/>
            <w:vAlign w:val="center"/>
          </w:tcPr>
          <w:p w14:paraId="2E6F4A3F">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w:t>
            </w:r>
          </w:p>
        </w:tc>
        <w:tc>
          <w:tcPr>
            <w:tcW w:w="638" w:type="pct"/>
            <w:vAlign w:val="center"/>
          </w:tcPr>
          <w:p w14:paraId="4A1DE3E6">
            <w:pPr>
              <w:jc w:val="center"/>
              <w:rPr>
                <w:rFonts w:hint="eastAsia" w:ascii="宋体" w:hAnsi="宋体" w:eastAsia="宋体" w:cs="宋体"/>
                <w:snapToGrid w:val="0"/>
                <w:color w:val="000000" w:themeColor="text1"/>
                <w:kern w:val="21"/>
                <w:szCs w:val="21"/>
                <w14:textFill>
                  <w14:solidFill>
                    <w14:schemeClr w14:val="tx1"/>
                  </w14:solidFill>
                </w14:textFill>
              </w:rPr>
            </w:pPr>
            <w:r>
              <w:rPr>
                <w:rFonts w:hint="eastAsia" w:ascii="宋体" w:hAnsi="宋体" w:eastAsia="宋体" w:cs="宋体"/>
                <w:snapToGrid w:val="0"/>
                <w:color w:val="000000" w:themeColor="text1"/>
                <w:kern w:val="21"/>
                <w:szCs w:val="21"/>
                <w14:textFill>
                  <w14:solidFill>
                    <w14:schemeClr w14:val="tx1"/>
                  </w14:solidFill>
                </w14:textFill>
              </w:rPr>
              <w:t>/</w:t>
            </w:r>
          </w:p>
        </w:tc>
        <w:tc>
          <w:tcPr>
            <w:tcW w:w="557" w:type="pct"/>
            <w:vAlign w:val="center"/>
          </w:tcPr>
          <w:p w14:paraId="0598A743">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w:t>
            </w:r>
          </w:p>
        </w:tc>
        <w:tc>
          <w:tcPr>
            <w:tcW w:w="452" w:type="pct"/>
            <w:vAlign w:val="center"/>
          </w:tcPr>
          <w:p w14:paraId="131FDE8B">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w:t>
            </w:r>
          </w:p>
        </w:tc>
      </w:tr>
    </w:tbl>
    <w:p w14:paraId="719C74D3">
      <w:pPr>
        <w:pStyle w:val="53"/>
        <w:spacing w:before="192" w:beforeLines="80" w:after="24"/>
        <w:jc w:val="left"/>
        <w:rPr>
          <w:rFonts w:hAnsi="宋体"/>
          <w:snapToGrid w:val="0"/>
          <w:color w:val="FF0000"/>
          <w:spacing w:val="-6"/>
          <w:kern w:val="21"/>
          <w:szCs w:val="21"/>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14:paraId="5F401E24">
      <w:pPr>
        <w:rPr>
          <w:rFonts w:hint="eastAsia" w:eastAsia="宋体"/>
          <w:color w:val="FF0000"/>
          <w:lang w:eastAsia="zh-CN"/>
        </w:rPr>
      </w:pPr>
    </w:p>
    <w:sectPr>
      <w:footerReference r:id="rId7" w:type="default"/>
      <w:pgSz w:w="16838" w:h="11906" w:orient="landscape"/>
      <w:pgMar w:top="1531" w:right="1701" w:bottom="1531" w:left="1701"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6CD86">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CD22">
    <w:pPr>
      <w:pStyle w:val="18"/>
      <w:framePr w:wrap="around" w:vAnchor="text" w:hAnchor="margin" w:xAlign="center" w:y="1"/>
      <w:rPr>
        <w:rStyle w:val="33"/>
      </w:rPr>
    </w:pPr>
    <w:r>
      <w:fldChar w:fldCharType="begin"/>
    </w:r>
    <w:r>
      <w:rPr>
        <w:rStyle w:val="33"/>
      </w:rPr>
      <w:instrText xml:space="preserve">PAGE  </w:instrText>
    </w:r>
    <w:r>
      <w:fldChar w:fldCharType="end"/>
    </w:r>
  </w:p>
  <w:p w14:paraId="17B22803">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6BB6">
    <w:pPr>
      <w:pStyle w:val="1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-245745</wp:posOffset>
              </wp:positionV>
              <wp:extent cx="775335" cy="230505"/>
              <wp:effectExtent l="2540" t="3175" r="3175" b="4445"/>
              <wp:wrapNone/>
              <wp:docPr id="1"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775335" cy="230505"/>
                      </a:xfrm>
                      <a:prstGeom prst="rect">
                        <a:avLst/>
                      </a:prstGeom>
                      <a:noFill/>
                      <a:ln>
                        <a:noFill/>
                      </a:ln>
                    </wps:spPr>
                    <wps:txbx>
                      <w:txbxContent>
                        <w:p w14:paraId="477D54D0">
                          <w:pPr>
                            <w:pStyle w:val="18"/>
                            <w:rPr>
                              <w:rStyle w:val="33"/>
                              <w:rFonts w:ascii="宋体" w:hAnsi="宋体"/>
                              <w:sz w:val="28"/>
                              <w:szCs w:val="28"/>
                            </w:rPr>
                          </w:pPr>
                          <w:r>
                            <w:rPr>
                              <w:rStyle w:val="33"/>
                              <w:rFonts w:hint="eastAsia" w:ascii="宋体" w:hAnsi="宋体"/>
                              <w:sz w:val="28"/>
                              <w:szCs w:val="28"/>
                            </w:rPr>
                            <w:t>—</w:t>
                          </w:r>
                          <w:r>
                            <w:rPr>
                              <w:rFonts w:ascii="宋体" w:hAnsi="宋体"/>
                              <w:sz w:val="26"/>
                              <w:szCs w:val="26"/>
                            </w:rPr>
                            <w:fldChar w:fldCharType="begin"/>
                          </w:r>
                          <w:r>
                            <w:rPr>
                              <w:rStyle w:val="33"/>
                              <w:rFonts w:ascii="宋体" w:hAnsi="宋体"/>
                              <w:sz w:val="26"/>
                              <w:szCs w:val="26"/>
                            </w:rPr>
                            <w:instrText xml:space="preserve">PAGE  </w:instrText>
                          </w:r>
                          <w:r>
                            <w:rPr>
                              <w:rFonts w:ascii="宋体" w:hAnsi="宋体"/>
                              <w:sz w:val="26"/>
                              <w:szCs w:val="26"/>
                            </w:rPr>
                            <w:fldChar w:fldCharType="separate"/>
                          </w:r>
                          <w:r>
                            <w:rPr>
                              <w:rStyle w:val="33"/>
                              <w:rFonts w:ascii="宋体" w:hAnsi="宋体"/>
                              <w:sz w:val="26"/>
                              <w:szCs w:val="26"/>
                            </w:rPr>
                            <w:t>25</w:t>
                          </w:r>
                          <w:r>
                            <w:rPr>
                              <w:rFonts w:ascii="宋体" w:hAnsi="宋体"/>
                              <w:sz w:val="26"/>
                              <w:szCs w:val="26"/>
                            </w:rPr>
                            <w:fldChar w:fldCharType="end"/>
                          </w:r>
                          <w:r>
                            <w:rPr>
                              <w:rStyle w:val="33"/>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19.35pt;height:18.15pt;width:61.05pt;mso-position-horizontal:center;mso-position-horizontal-relative:margin;mso-wrap-style:none;z-index:251659264;mso-width-relative:page;mso-height-relative:page;" filled="f" stroked="f" coordsize="21600,21600" o:gfxdata="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nYWADUAAAABwEAAA8AAAAAAAAAAQAgAAAAIgAA&#10;AGRycy9kb3ducmV2LnhtbFBLAQIUABQAAAAIAIdO4kAehDaTDAIAAAUEAAAOAAAAAAAAAAEAIAAA&#10;ACMBAABkcnMvZTJvRG9jLnhtbFBLBQYAAAAABgAGAFkBAAChBQAAAAA=&#10;">
              <v:fill on="f" focussize="0,0"/>
              <v:stroke on="f"/>
              <v:imagedata o:title=""/>
              <o:lock v:ext="edit" aspectratio="f"/>
              <v:textbox inset="0mm,0mm,0mm,0mm" style="mso-fit-shape-to-text:t;">
                <w:txbxContent>
                  <w:p w14:paraId="477D54D0">
                    <w:pPr>
                      <w:pStyle w:val="18"/>
                      <w:rPr>
                        <w:rStyle w:val="33"/>
                        <w:rFonts w:ascii="宋体" w:hAnsi="宋体"/>
                        <w:sz w:val="28"/>
                        <w:szCs w:val="28"/>
                      </w:rPr>
                    </w:pPr>
                    <w:r>
                      <w:rPr>
                        <w:rStyle w:val="33"/>
                        <w:rFonts w:hint="eastAsia" w:ascii="宋体" w:hAnsi="宋体"/>
                        <w:sz w:val="28"/>
                        <w:szCs w:val="28"/>
                      </w:rPr>
                      <w:t>—</w:t>
                    </w:r>
                    <w:r>
                      <w:rPr>
                        <w:rFonts w:ascii="宋体" w:hAnsi="宋体"/>
                        <w:sz w:val="26"/>
                        <w:szCs w:val="26"/>
                      </w:rPr>
                      <w:fldChar w:fldCharType="begin"/>
                    </w:r>
                    <w:r>
                      <w:rPr>
                        <w:rStyle w:val="33"/>
                        <w:rFonts w:ascii="宋体" w:hAnsi="宋体"/>
                        <w:sz w:val="26"/>
                        <w:szCs w:val="26"/>
                      </w:rPr>
                      <w:instrText xml:space="preserve">PAGE  </w:instrText>
                    </w:r>
                    <w:r>
                      <w:rPr>
                        <w:rFonts w:ascii="宋体" w:hAnsi="宋体"/>
                        <w:sz w:val="26"/>
                        <w:szCs w:val="26"/>
                      </w:rPr>
                      <w:fldChar w:fldCharType="separate"/>
                    </w:r>
                    <w:r>
                      <w:rPr>
                        <w:rStyle w:val="33"/>
                        <w:rFonts w:ascii="宋体" w:hAnsi="宋体"/>
                        <w:sz w:val="26"/>
                        <w:szCs w:val="26"/>
                      </w:rPr>
                      <w:t>25</w:t>
                    </w:r>
                    <w:r>
                      <w:rPr>
                        <w:rFonts w:ascii="宋体" w:hAnsi="宋体"/>
                        <w:sz w:val="26"/>
                        <w:szCs w:val="26"/>
                      </w:rPr>
                      <w:fldChar w:fldCharType="end"/>
                    </w:r>
                    <w:r>
                      <w:rPr>
                        <w:rStyle w:val="33"/>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0BC6">
    <w:pPr>
      <w:pStyle w:val="18"/>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5960">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D8961"/>
    <w:multiLevelType w:val="singleLevel"/>
    <w:tmpl w:val="8CFD8961"/>
    <w:lvl w:ilvl="0" w:tentative="0">
      <w:start w:val="2"/>
      <w:numFmt w:val="decimal"/>
      <w:suff w:val="nothing"/>
      <w:lvlText w:val="（%1）"/>
      <w:lvlJc w:val="left"/>
      <w:pPr>
        <w:ind w:left="42"/>
      </w:pPr>
      <w:rPr>
        <w:rFonts w:hint="default" w:ascii="宋体" w:hAnsi="宋体" w:eastAsia="宋体" w:cs="宋体"/>
      </w:rPr>
    </w:lvl>
  </w:abstractNum>
  <w:abstractNum w:abstractNumId="1">
    <w:nsid w:val="A8856039"/>
    <w:multiLevelType w:val="singleLevel"/>
    <w:tmpl w:val="A8856039"/>
    <w:lvl w:ilvl="0" w:tentative="0">
      <w:start w:val="5"/>
      <w:numFmt w:val="decimal"/>
      <w:suff w:val="nothing"/>
      <w:lvlText w:val="%1、"/>
      <w:lvlJc w:val="left"/>
    </w:lvl>
  </w:abstractNum>
  <w:abstractNum w:abstractNumId="2">
    <w:nsid w:val="C63F0D98"/>
    <w:multiLevelType w:val="singleLevel"/>
    <w:tmpl w:val="C63F0D98"/>
    <w:lvl w:ilvl="0" w:tentative="0">
      <w:start w:val="2"/>
      <w:numFmt w:val="decimal"/>
      <w:lvlText w:val="%1."/>
      <w:lvlJc w:val="left"/>
      <w:pPr>
        <w:tabs>
          <w:tab w:val="left" w:pos="312"/>
        </w:tabs>
      </w:pPr>
    </w:lvl>
  </w:abstractNum>
  <w:abstractNum w:abstractNumId="3">
    <w:nsid w:val="DE1936B5"/>
    <w:multiLevelType w:val="singleLevel"/>
    <w:tmpl w:val="DE1936B5"/>
    <w:lvl w:ilvl="0" w:tentative="0">
      <w:start w:val="5"/>
      <w:numFmt w:val="chineseCounting"/>
      <w:suff w:val="nothing"/>
      <w:lvlText w:val="%1、"/>
      <w:lvlJc w:val="left"/>
      <w:rPr>
        <w:rFonts w:hint="eastAsia"/>
      </w:rPr>
    </w:lvl>
  </w:abstractNum>
  <w:abstractNum w:abstractNumId="4">
    <w:nsid w:val="F0722D75"/>
    <w:multiLevelType w:val="singleLevel"/>
    <w:tmpl w:val="F0722D75"/>
    <w:lvl w:ilvl="0" w:tentative="0">
      <w:start w:val="8"/>
      <w:numFmt w:val="chineseCounting"/>
      <w:suff w:val="nothing"/>
      <w:lvlText w:val="（%1）"/>
      <w:lvlJc w:val="left"/>
      <w:rPr>
        <w:rFonts w:hint="eastAsia"/>
      </w:rPr>
    </w:lvl>
  </w:abstractNum>
  <w:abstractNum w:abstractNumId="5">
    <w:nsid w:val="FB1DDEC5"/>
    <w:multiLevelType w:val="singleLevel"/>
    <w:tmpl w:val="FB1DDEC5"/>
    <w:lvl w:ilvl="0" w:tentative="0">
      <w:start w:val="5"/>
      <w:numFmt w:val="chineseCounting"/>
      <w:suff w:val="nothing"/>
      <w:lvlText w:val="（%1）"/>
      <w:lvlJc w:val="left"/>
      <w:rPr>
        <w:rFonts w:hint="eastAsia"/>
      </w:rPr>
    </w:lvl>
  </w:abstractNum>
  <w:abstractNum w:abstractNumId="6">
    <w:nsid w:val="FF2D2BE1"/>
    <w:multiLevelType w:val="singleLevel"/>
    <w:tmpl w:val="FF2D2BE1"/>
    <w:lvl w:ilvl="0" w:tentative="0">
      <w:start w:val="1"/>
      <w:numFmt w:val="decimal"/>
      <w:suff w:val="nothing"/>
      <w:lvlText w:val="%1、"/>
      <w:lvlJc w:val="left"/>
    </w:lvl>
  </w:abstractNum>
  <w:abstractNum w:abstractNumId="7">
    <w:nsid w:val="1B661514"/>
    <w:multiLevelType w:val="singleLevel"/>
    <w:tmpl w:val="1B661514"/>
    <w:lvl w:ilvl="0" w:tentative="0">
      <w:start w:val="1"/>
      <w:numFmt w:val="decimal"/>
      <w:suff w:val="nothing"/>
      <w:lvlText w:val="%1、"/>
      <w:lvlJc w:val="left"/>
    </w:lvl>
  </w:abstractNum>
  <w:abstractNum w:abstractNumId="8">
    <w:nsid w:val="2F669E7E"/>
    <w:multiLevelType w:val="singleLevel"/>
    <w:tmpl w:val="2F669E7E"/>
    <w:lvl w:ilvl="0" w:tentative="0">
      <w:start w:val="1"/>
      <w:numFmt w:val="decimal"/>
      <w:suff w:val="nothing"/>
      <w:lvlText w:val="%1、"/>
      <w:lvlJc w:val="left"/>
      <w:pPr>
        <w:ind w:left="-60"/>
      </w:pPr>
      <w:rPr>
        <w:rFonts w:hint="default"/>
        <w:b/>
        <w:bCs/>
      </w:rPr>
    </w:lvl>
  </w:abstractNum>
  <w:abstractNum w:abstractNumId="9">
    <w:nsid w:val="55455C82"/>
    <w:multiLevelType w:val="singleLevel"/>
    <w:tmpl w:val="55455C82"/>
    <w:lvl w:ilvl="0" w:tentative="0">
      <w:start w:val="1"/>
      <w:numFmt w:val="decimal"/>
      <w:suff w:val="nothing"/>
      <w:lvlText w:val="%1、"/>
      <w:lvlJc w:val="left"/>
    </w:lvl>
  </w:abstractNum>
  <w:num w:numId="1">
    <w:abstractNumId w:val="6"/>
  </w:num>
  <w:num w:numId="2">
    <w:abstractNumId w:val="1"/>
  </w:num>
  <w:num w:numId="3">
    <w:abstractNumId w:val="8"/>
  </w:num>
  <w:num w:numId="4">
    <w:abstractNumId w:val="2"/>
  </w:num>
  <w:num w:numId="5">
    <w:abstractNumId w:val="9"/>
  </w:num>
  <w:num w:numId="6">
    <w:abstractNumId w:val="0"/>
  </w:num>
  <w:num w:numId="7">
    <w:abstractNumId w:val="5"/>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0YzlkYWM0MDRhZDY0Mzg2ODJhN2I4NDg4NDQ2YWMifQ=="/>
    <w:docVar w:name="KSO_WPS_MARK_KEY" w:val="7103de1a-9524-46b4-930a-3dbf8fedd141"/>
  </w:docVars>
  <w:rsids>
    <w:rsidRoot w:val="00A14947"/>
    <w:rsid w:val="000060B3"/>
    <w:rsid w:val="0004364B"/>
    <w:rsid w:val="00045A91"/>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63CE3"/>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3572"/>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3B62"/>
    <w:rsid w:val="00545424"/>
    <w:rsid w:val="00554A7B"/>
    <w:rsid w:val="0055572C"/>
    <w:rsid w:val="0056106A"/>
    <w:rsid w:val="005720AE"/>
    <w:rsid w:val="00594D77"/>
    <w:rsid w:val="005969E4"/>
    <w:rsid w:val="005A06B7"/>
    <w:rsid w:val="005A1759"/>
    <w:rsid w:val="005A68A7"/>
    <w:rsid w:val="005D36AB"/>
    <w:rsid w:val="005D3CB0"/>
    <w:rsid w:val="005F645D"/>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333D"/>
    <w:rsid w:val="008E5D6B"/>
    <w:rsid w:val="008E76F0"/>
    <w:rsid w:val="008F15FE"/>
    <w:rsid w:val="008F2D29"/>
    <w:rsid w:val="008F5187"/>
    <w:rsid w:val="008F60D8"/>
    <w:rsid w:val="00902727"/>
    <w:rsid w:val="0090312B"/>
    <w:rsid w:val="0091736D"/>
    <w:rsid w:val="0093037A"/>
    <w:rsid w:val="0094154D"/>
    <w:rsid w:val="0095155F"/>
    <w:rsid w:val="0095315B"/>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E640C"/>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21E3D"/>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2FD6"/>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0283C"/>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411C5"/>
    <w:rsid w:val="015D1E09"/>
    <w:rsid w:val="016A6FD7"/>
    <w:rsid w:val="01C457A6"/>
    <w:rsid w:val="02075A49"/>
    <w:rsid w:val="02697903"/>
    <w:rsid w:val="027E3C21"/>
    <w:rsid w:val="02843289"/>
    <w:rsid w:val="02F96569"/>
    <w:rsid w:val="03031491"/>
    <w:rsid w:val="030E0E5C"/>
    <w:rsid w:val="03AF33C7"/>
    <w:rsid w:val="03D010A3"/>
    <w:rsid w:val="03EA7B21"/>
    <w:rsid w:val="04126BC7"/>
    <w:rsid w:val="04237DFA"/>
    <w:rsid w:val="04672D57"/>
    <w:rsid w:val="04AA373F"/>
    <w:rsid w:val="04B1607C"/>
    <w:rsid w:val="04CA6527"/>
    <w:rsid w:val="05167156"/>
    <w:rsid w:val="051D4D50"/>
    <w:rsid w:val="05B16D71"/>
    <w:rsid w:val="05F83EAE"/>
    <w:rsid w:val="063E7D85"/>
    <w:rsid w:val="067A44AE"/>
    <w:rsid w:val="06906489"/>
    <w:rsid w:val="06F8525B"/>
    <w:rsid w:val="06FA2795"/>
    <w:rsid w:val="07293586"/>
    <w:rsid w:val="07295285"/>
    <w:rsid w:val="07473E4A"/>
    <w:rsid w:val="07636392"/>
    <w:rsid w:val="07770C56"/>
    <w:rsid w:val="079F59DC"/>
    <w:rsid w:val="08002443"/>
    <w:rsid w:val="08337EE0"/>
    <w:rsid w:val="08A0750E"/>
    <w:rsid w:val="08C47915"/>
    <w:rsid w:val="08CC75B7"/>
    <w:rsid w:val="091A390B"/>
    <w:rsid w:val="092217DD"/>
    <w:rsid w:val="093A7294"/>
    <w:rsid w:val="093F18FC"/>
    <w:rsid w:val="0941698B"/>
    <w:rsid w:val="0946657C"/>
    <w:rsid w:val="09585CA9"/>
    <w:rsid w:val="098552F6"/>
    <w:rsid w:val="099850AA"/>
    <w:rsid w:val="09A34935"/>
    <w:rsid w:val="09EB6A51"/>
    <w:rsid w:val="09F323A6"/>
    <w:rsid w:val="0A1E7BA8"/>
    <w:rsid w:val="0A263993"/>
    <w:rsid w:val="0A2D3AC2"/>
    <w:rsid w:val="0A472E60"/>
    <w:rsid w:val="0A4F5AF7"/>
    <w:rsid w:val="0A665900"/>
    <w:rsid w:val="0A737F99"/>
    <w:rsid w:val="0A806DFC"/>
    <w:rsid w:val="0AA755DF"/>
    <w:rsid w:val="0ADD5B52"/>
    <w:rsid w:val="0B120D44"/>
    <w:rsid w:val="0B462863"/>
    <w:rsid w:val="0BB145BB"/>
    <w:rsid w:val="0BD27BF6"/>
    <w:rsid w:val="0C051C23"/>
    <w:rsid w:val="0C3B3C7D"/>
    <w:rsid w:val="0C570D18"/>
    <w:rsid w:val="0C8A2C23"/>
    <w:rsid w:val="0C8C24F7"/>
    <w:rsid w:val="0C8D1555"/>
    <w:rsid w:val="0CA44139"/>
    <w:rsid w:val="0CAB2EAE"/>
    <w:rsid w:val="0CD72B89"/>
    <w:rsid w:val="0D020A0B"/>
    <w:rsid w:val="0D3F701D"/>
    <w:rsid w:val="0D4D6BF7"/>
    <w:rsid w:val="0D4F0725"/>
    <w:rsid w:val="0D621C7D"/>
    <w:rsid w:val="0D7718CD"/>
    <w:rsid w:val="0DC94396"/>
    <w:rsid w:val="0DCB34F3"/>
    <w:rsid w:val="0DE257C7"/>
    <w:rsid w:val="0DE32D9D"/>
    <w:rsid w:val="0DE94AD7"/>
    <w:rsid w:val="0DED19C1"/>
    <w:rsid w:val="0DFB70BD"/>
    <w:rsid w:val="0E145CAB"/>
    <w:rsid w:val="0E260323"/>
    <w:rsid w:val="0E656279"/>
    <w:rsid w:val="0E73034D"/>
    <w:rsid w:val="0E740BEB"/>
    <w:rsid w:val="0F115C70"/>
    <w:rsid w:val="0F13775A"/>
    <w:rsid w:val="0F353F51"/>
    <w:rsid w:val="0F356CB1"/>
    <w:rsid w:val="0F3A26DF"/>
    <w:rsid w:val="0F5A4B2F"/>
    <w:rsid w:val="0F5F45FE"/>
    <w:rsid w:val="0F8E758F"/>
    <w:rsid w:val="0F9A112B"/>
    <w:rsid w:val="10185198"/>
    <w:rsid w:val="10596B94"/>
    <w:rsid w:val="105F77AF"/>
    <w:rsid w:val="106D2F64"/>
    <w:rsid w:val="10B63710"/>
    <w:rsid w:val="10F10820"/>
    <w:rsid w:val="10F6678D"/>
    <w:rsid w:val="10FE4C80"/>
    <w:rsid w:val="111C2F7A"/>
    <w:rsid w:val="11665CA1"/>
    <w:rsid w:val="11B0055C"/>
    <w:rsid w:val="124B54C7"/>
    <w:rsid w:val="124B643A"/>
    <w:rsid w:val="12953187"/>
    <w:rsid w:val="129553F1"/>
    <w:rsid w:val="1342288C"/>
    <w:rsid w:val="13951726"/>
    <w:rsid w:val="13B97CAE"/>
    <w:rsid w:val="13CB7DA9"/>
    <w:rsid w:val="13E24EE4"/>
    <w:rsid w:val="140A100E"/>
    <w:rsid w:val="141F46DF"/>
    <w:rsid w:val="14396509"/>
    <w:rsid w:val="14432C2C"/>
    <w:rsid w:val="144D7F39"/>
    <w:rsid w:val="14737576"/>
    <w:rsid w:val="14D62EA9"/>
    <w:rsid w:val="14DD2C3C"/>
    <w:rsid w:val="15332CF5"/>
    <w:rsid w:val="154D2390"/>
    <w:rsid w:val="15787ABD"/>
    <w:rsid w:val="15AE77CC"/>
    <w:rsid w:val="15BF25AC"/>
    <w:rsid w:val="16087E1D"/>
    <w:rsid w:val="1647208B"/>
    <w:rsid w:val="16B871E4"/>
    <w:rsid w:val="16C136E5"/>
    <w:rsid w:val="16DA54DE"/>
    <w:rsid w:val="16E813F8"/>
    <w:rsid w:val="17104B63"/>
    <w:rsid w:val="176F6B9A"/>
    <w:rsid w:val="17701672"/>
    <w:rsid w:val="17701D14"/>
    <w:rsid w:val="17735226"/>
    <w:rsid w:val="177F5F55"/>
    <w:rsid w:val="17946761"/>
    <w:rsid w:val="179D0863"/>
    <w:rsid w:val="17B97E34"/>
    <w:rsid w:val="17F94A53"/>
    <w:rsid w:val="18291542"/>
    <w:rsid w:val="1845486A"/>
    <w:rsid w:val="18576C7B"/>
    <w:rsid w:val="189F624C"/>
    <w:rsid w:val="18F002B2"/>
    <w:rsid w:val="191D72FB"/>
    <w:rsid w:val="192A17E3"/>
    <w:rsid w:val="195D4659"/>
    <w:rsid w:val="199C0024"/>
    <w:rsid w:val="1A085187"/>
    <w:rsid w:val="1A1C66C0"/>
    <w:rsid w:val="1A42393B"/>
    <w:rsid w:val="1A425F4D"/>
    <w:rsid w:val="1A432DD4"/>
    <w:rsid w:val="1A5364B4"/>
    <w:rsid w:val="1A5A518B"/>
    <w:rsid w:val="1A843941"/>
    <w:rsid w:val="1A947711"/>
    <w:rsid w:val="1AA003D2"/>
    <w:rsid w:val="1AAD45DE"/>
    <w:rsid w:val="1AB245E7"/>
    <w:rsid w:val="1AF11EF8"/>
    <w:rsid w:val="1AF432EF"/>
    <w:rsid w:val="1B046F80"/>
    <w:rsid w:val="1B0F4FB4"/>
    <w:rsid w:val="1B132036"/>
    <w:rsid w:val="1B250ECA"/>
    <w:rsid w:val="1B3267B5"/>
    <w:rsid w:val="1B373F76"/>
    <w:rsid w:val="1B40161D"/>
    <w:rsid w:val="1B441859"/>
    <w:rsid w:val="1B6606B1"/>
    <w:rsid w:val="1BC11CA7"/>
    <w:rsid w:val="1BFF49E5"/>
    <w:rsid w:val="1C063664"/>
    <w:rsid w:val="1C2877DD"/>
    <w:rsid w:val="1C4A1103"/>
    <w:rsid w:val="1C536B8E"/>
    <w:rsid w:val="1C5E7925"/>
    <w:rsid w:val="1C9D0E16"/>
    <w:rsid w:val="1CA44783"/>
    <w:rsid w:val="1CBD687F"/>
    <w:rsid w:val="1CCC67A6"/>
    <w:rsid w:val="1CDA6800"/>
    <w:rsid w:val="1CFD070F"/>
    <w:rsid w:val="1D2A7705"/>
    <w:rsid w:val="1D4F1A4B"/>
    <w:rsid w:val="1D5F6196"/>
    <w:rsid w:val="1D6132A5"/>
    <w:rsid w:val="1D7A22FD"/>
    <w:rsid w:val="1D871B87"/>
    <w:rsid w:val="1D8E56D5"/>
    <w:rsid w:val="1DC26EAB"/>
    <w:rsid w:val="1E1876BB"/>
    <w:rsid w:val="1E7A43DA"/>
    <w:rsid w:val="1E965325"/>
    <w:rsid w:val="1EA8110C"/>
    <w:rsid w:val="1EE208C3"/>
    <w:rsid w:val="1EF715BC"/>
    <w:rsid w:val="1F13455C"/>
    <w:rsid w:val="1F234F3D"/>
    <w:rsid w:val="1F61406A"/>
    <w:rsid w:val="1F645877"/>
    <w:rsid w:val="1F6B41EE"/>
    <w:rsid w:val="1FAF034E"/>
    <w:rsid w:val="1FE7539E"/>
    <w:rsid w:val="1FEB540F"/>
    <w:rsid w:val="20671BE0"/>
    <w:rsid w:val="207C0C13"/>
    <w:rsid w:val="20937974"/>
    <w:rsid w:val="20963CB8"/>
    <w:rsid w:val="20A215C4"/>
    <w:rsid w:val="20A81A1B"/>
    <w:rsid w:val="20B07FB6"/>
    <w:rsid w:val="20B646FB"/>
    <w:rsid w:val="20BA52B3"/>
    <w:rsid w:val="210E200E"/>
    <w:rsid w:val="21332BF6"/>
    <w:rsid w:val="213B74B1"/>
    <w:rsid w:val="215A2310"/>
    <w:rsid w:val="21613511"/>
    <w:rsid w:val="21783FAE"/>
    <w:rsid w:val="217A7AAC"/>
    <w:rsid w:val="21A2641D"/>
    <w:rsid w:val="21DE318A"/>
    <w:rsid w:val="21E8421C"/>
    <w:rsid w:val="21EF5B80"/>
    <w:rsid w:val="220262FC"/>
    <w:rsid w:val="22392E23"/>
    <w:rsid w:val="224712D3"/>
    <w:rsid w:val="22576990"/>
    <w:rsid w:val="227B0BEC"/>
    <w:rsid w:val="22BF24D6"/>
    <w:rsid w:val="22CD2B36"/>
    <w:rsid w:val="22F47480"/>
    <w:rsid w:val="22FA54CB"/>
    <w:rsid w:val="23101ECA"/>
    <w:rsid w:val="23137077"/>
    <w:rsid w:val="231A50FC"/>
    <w:rsid w:val="233A2855"/>
    <w:rsid w:val="237607F8"/>
    <w:rsid w:val="23811BA5"/>
    <w:rsid w:val="23AA0ABB"/>
    <w:rsid w:val="23DE1C48"/>
    <w:rsid w:val="23E96148"/>
    <w:rsid w:val="23EA29D1"/>
    <w:rsid w:val="240210CD"/>
    <w:rsid w:val="240E0C39"/>
    <w:rsid w:val="24B20F4A"/>
    <w:rsid w:val="24BF09F7"/>
    <w:rsid w:val="24D55F89"/>
    <w:rsid w:val="24DE5F7F"/>
    <w:rsid w:val="2500285A"/>
    <w:rsid w:val="250C2937"/>
    <w:rsid w:val="252D53FE"/>
    <w:rsid w:val="25637B57"/>
    <w:rsid w:val="256A3E9F"/>
    <w:rsid w:val="258A45EF"/>
    <w:rsid w:val="25BC1581"/>
    <w:rsid w:val="25EC2D81"/>
    <w:rsid w:val="26342436"/>
    <w:rsid w:val="26577CF6"/>
    <w:rsid w:val="266B2BBF"/>
    <w:rsid w:val="26C61A12"/>
    <w:rsid w:val="26CA5DFF"/>
    <w:rsid w:val="26CE55DE"/>
    <w:rsid w:val="26DE582F"/>
    <w:rsid w:val="26E04A92"/>
    <w:rsid w:val="271214CC"/>
    <w:rsid w:val="27420208"/>
    <w:rsid w:val="277057A2"/>
    <w:rsid w:val="277705DD"/>
    <w:rsid w:val="278256CC"/>
    <w:rsid w:val="27A02608"/>
    <w:rsid w:val="27BD6D7E"/>
    <w:rsid w:val="27DC7107"/>
    <w:rsid w:val="27E53959"/>
    <w:rsid w:val="282D003A"/>
    <w:rsid w:val="286E6A8B"/>
    <w:rsid w:val="287A768B"/>
    <w:rsid w:val="28870697"/>
    <w:rsid w:val="2891187E"/>
    <w:rsid w:val="28B22E8E"/>
    <w:rsid w:val="28EB30FF"/>
    <w:rsid w:val="29206EB8"/>
    <w:rsid w:val="29595666"/>
    <w:rsid w:val="296F1BD7"/>
    <w:rsid w:val="29874881"/>
    <w:rsid w:val="299869CD"/>
    <w:rsid w:val="29C63095"/>
    <w:rsid w:val="29E325E0"/>
    <w:rsid w:val="2A060A31"/>
    <w:rsid w:val="2A452503"/>
    <w:rsid w:val="2A481CFC"/>
    <w:rsid w:val="2A6401B8"/>
    <w:rsid w:val="2AD403F1"/>
    <w:rsid w:val="2B0B3F69"/>
    <w:rsid w:val="2B4A5600"/>
    <w:rsid w:val="2B5C32EC"/>
    <w:rsid w:val="2B9E5234"/>
    <w:rsid w:val="2BA936A8"/>
    <w:rsid w:val="2BD73412"/>
    <w:rsid w:val="2C1F4644"/>
    <w:rsid w:val="2C315A5A"/>
    <w:rsid w:val="2C4B1C25"/>
    <w:rsid w:val="2CB31A8B"/>
    <w:rsid w:val="2CBF1D70"/>
    <w:rsid w:val="2CC62922"/>
    <w:rsid w:val="2CF77A09"/>
    <w:rsid w:val="2CFF6BEE"/>
    <w:rsid w:val="2D1A41C9"/>
    <w:rsid w:val="2D2B1461"/>
    <w:rsid w:val="2D4F0933"/>
    <w:rsid w:val="2D57322C"/>
    <w:rsid w:val="2D725C22"/>
    <w:rsid w:val="2D9E56F5"/>
    <w:rsid w:val="2E02522F"/>
    <w:rsid w:val="2E0B0BD7"/>
    <w:rsid w:val="2E0E2301"/>
    <w:rsid w:val="2E667F96"/>
    <w:rsid w:val="2E8226AB"/>
    <w:rsid w:val="2E9A064C"/>
    <w:rsid w:val="2EA64AD7"/>
    <w:rsid w:val="2F001019"/>
    <w:rsid w:val="2F231F0B"/>
    <w:rsid w:val="2F391C13"/>
    <w:rsid w:val="2F6D6AB7"/>
    <w:rsid w:val="2F793A1F"/>
    <w:rsid w:val="2F9F1DA1"/>
    <w:rsid w:val="2FD065E6"/>
    <w:rsid w:val="2FD96870"/>
    <w:rsid w:val="2FEA5400"/>
    <w:rsid w:val="2FF146A8"/>
    <w:rsid w:val="2FF55101"/>
    <w:rsid w:val="30024C38"/>
    <w:rsid w:val="303915D3"/>
    <w:rsid w:val="30580BC9"/>
    <w:rsid w:val="30677767"/>
    <w:rsid w:val="30907F59"/>
    <w:rsid w:val="30996FAD"/>
    <w:rsid w:val="30E84CA0"/>
    <w:rsid w:val="30EB5514"/>
    <w:rsid w:val="311E2ED7"/>
    <w:rsid w:val="3150173C"/>
    <w:rsid w:val="315619EE"/>
    <w:rsid w:val="315C449C"/>
    <w:rsid w:val="31653193"/>
    <w:rsid w:val="31B45FC6"/>
    <w:rsid w:val="31B82709"/>
    <w:rsid w:val="31CA1B5A"/>
    <w:rsid w:val="31D05482"/>
    <w:rsid w:val="3219799F"/>
    <w:rsid w:val="321D5170"/>
    <w:rsid w:val="32235BD5"/>
    <w:rsid w:val="32400B34"/>
    <w:rsid w:val="325859E5"/>
    <w:rsid w:val="3289182B"/>
    <w:rsid w:val="329530EF"/>
    <w:rsid w:val="329E6876"/>
    <w:rsid w:val="32B81B73"/>
    <w:rsid w:val="32BF4784"/>
    <w:rsid w:val="32D677C7"/>
    <w:rsid w:val="32DB0069"/>
    <w:rsid w:val="32F3716F"/>
    <w:rsid w:val="333015F2"/>
    <w:rsid w:val="334156CB"/>
    <w:rsid w:val="334405A0"/>
    <w:rsid w:val="334B6320"/>
    <w:rsid w:val="338418CB"/>
    <w:rsid w:val="33C57F19"/>
    <w:rsid w:val="33CF32E9"/>
    <w:rsid w:val="33D934D4"/>
    <w:rsid w:val="33F16F60"/>
    <w:rsid w:val="33FE2F6A"/>
    <w:rsid w:val="340E07E5"/>
    <w:rsid w:val="34235BF7"/>
    <w:rsid w:val="34790086"/>
    <w:rsid w:val="347F0F65"/>
    <w:rsid w:val="34EA6A1B"/>
    <w:rsid w:val="35397636"/>
    <w:rsid w:val="35586EC5"/>
    <w:rsid w:val="356A06B7"/>
    <w:rsid w:val="358C5FA8"/>
    <w:rsid w:val="35C15DF1"/>
    <w:rsid w:val="35D5640E"/>
    <w:rsid w:val="36074A7F"/>
    <w:rsid w:val="3627310D"/>
    <w:rsid w:val="36447ED5"/>
    <w:rsid w:val="36590DED"/>
    <w:rsid w:val="365A371D"/>
    <w:rsid w:val="367220CD"/>
    <w:rsid w:val="367F656F"/>
    <w:rsid w:val="36923549"/>
    <w:rsid w:val="36932551"/>
    <w:rsid w:val="36B75FBF"/>
    <w:rsid w:val="36BB164F"/>
    <w:rsid w:val="36BD0C45"/>
    <w:rsid w:val="36FC55DB"/>
    <w:rsid w:val="3728528F"/>
    <w:rsid w:val="37515F68"/>
    <w:rsid w:val="376143FD"/>
    <w:rsid w:val="37725820"/>
    <w:rsid w:val="378E4AC6"/>
    <w:rsid w:val="37E00298"/>
    <w:rsid w:val="3868006C"/>
    <w:rsid w:val="389023ED"/>
    <w:rsid w:val="38951272"/>
    <w:rsid w:val="38A6176F"/>
    <w:rsid w:val="38B302F9"/>
    <w:rsid w:val="38F12CD3"/>
    <w:rsid w:val="38F94775"/>
    <w:rsid w:val="391E63E2"/>
    <w:rsid w:val="392971ED"/>
    <w:rsid w:val="39325651"/>
    <w:rsid w:val="393E60ED"/>
    <w:rsid w:val="39AE4A1B"/>
    <w:rsid w:val="39B72F8C"/>
    <w:rsid w:val="3A241712"/>
    <w:rsid w:val="3A2B081A"/>
    <w:rsid w:val="3A504FB5"/>
    <w:rsid w:val="3A5926C8"/>
    <w:rsid w:val="3A872856"/>
    <w:rsid w:val="3A9F32B2"/>
    <w:rsid w:val="3AAF53B2"/>
    <w:rsid w:val="3B060D85"/>
    <w:rsid w:val="3B3763D1"/>
    <w:rsid w:val="3B481A4E"/>
    <w:rsid w:val="3B597AED"/>
    <w:rsid w:val="3B5F0C53"/>
    <w:rsid w:val="3B9357D4"/>
    <w:rsid w:val="3BAF7879"/>
    <w:rsid w:val="3BEA2CE9"/>
    <w:rsid w:val="3C2F6E1E"/>
    <w:rsid w:val="3C434B4A"/>
    <w:rsid w:val="3C46305D"/>
    <w:rsid w:val="3C4F64BA"/>
    <w:rsid w:val="3C6A45E7"/>
    <w:rsid w:val="3C7B6637"/>
    <w:rsid w:val="3CDA245A"/>
    <w:rsid w:val="3CE31410"/>
    <w:rsid w:val="3CFD3A75"/>
    <w:rsid w:val="3D054D16"/>
    <w:rsid w:val="3D1E06B7"/>
    <w:rsid w:val="3D3659E4"/>
    <w:rsid w:val="3D4E1502"/>
    <w:rsid w:val="3D6959BC"/>
    <w:rsid w:val="3D76518D"/>
    <w:rsid w:val="3D950EB6"/>
    <w:rsid w:val="3E614131"/>
    <w:rsid w:val="3EA77702"/>
    <w:rsid w:val="3EDA0523"/>
    <w:rsid w:val="3F407734"/>
    <w:rsid w:val="40167D4F"/>
    <w:rsid w:val="406638CE"/>
    <w:rsid w:val="407A6407"/>
    <w:rsid w:val="40D43E92"/>
    <w:rsid w:val="40FE492F"/>
    <w:rsid w:val="410A7999"/>
    <w:rsid w:val="414F176A"/>
    <w:rsid w:val="4200449D"/>
    <w:rsid w:val="421D510F"/>
    <w:rsid w:val="423A3BCC"/>
    <w:rsid w:val="423D69FF"/>
    <w:rsid w:val="424E57D2"/>
    <w:rsid w:val="42753891"/>
    <w:rsid w:val="42B26C49"/>
    <w:rsid w:val="42B86B0D"/>
    <w:rsid w:val="42BB5123"/>
    <w:rsid w:val="42D35D90"/>
    <w:rsid w:val="433A6FE6"/>
    <w:rsid w:val="43480868"/>
    <w:rsid w:val="4350713C"/>
    <w:rsid w:val="436653E0"/>
    <w:rsid w:val="438F4B21"/>
    <w:rsid w:val="439E7CC3"/>
    <w:rsid w:val="43C4431A"/>
    <w:rsid w:val="43D33F38"/>
    <w:rsid w:val="44251134"/>
    <w:rsid w:val="44427364"/>
    <w:rsid w:val="449623F4"/>
    <w:rsid w:val="44B951CC"/>
    <w:rsid w:val="44CD14E0"/>
    <w:rsid w:val="44F20B0B"/>
    <w:rsid w:val="452E5F4C"/>
    <w:rsid w:val="45350982"/>
    <w:rsid w:val="45350C77"/>
    <w:rsid w:val="45612018"/>
    <w:rsid w:val="458946E9"/>
    <w:rsid w:val="45951BB1"/>
    <w:rsid w:val="45A47C0E"/>
    <w:rsid w:val="46032B23"/>
    <w:rsid w:val="46186893"/>
    <w:rsid w:val="46294B40"/>
    <w:rsid w:val="46577FD6"/>
    <w:rsid w:val="46D231A3"/>
    <w:rsid w:val="46D955A7"/>
    <w:rsid w:val="46EB3CE3"/>
    <w:rsid w:val="47133957"/>
    <w:rsid w:val="473D564F"/>
    <w:rsid w:val="47A07E0C"/>
    <w:rsid w:val="47AE7B30"/>
    <w:rsid w:val="47EA0445"/>
    <w:rsid w:val="48141018"/>
    <w:rsid w:val="48343BC0"/>
    <w:rsid w:val="4870272E"/>
    <w:rsid w:val="488E4D0B"/>
    <w:rsid w:val="48C339FA"/>
    <w:rsid w:val="48FE0AAE"/>
    <w:rsid w:val="492E7A46"/>
    <w:rsid w:val="4957740E"/>
    <w:rsid w:val="496E6505"/>
    <w:rsid w:val="496E6EB5"/>
    <w:rsid w:val="499B3E27"/>
    <w:rsid w:val="499C7517"/>
    <w:rsid w:val="49AD4EE6"/>
    <w:rsid w:val="49AE2E73"/>
    <w:rsid w:val="49B0678B"/>
    <w:rsid w:val="49DC7715"/>
    <w:rsid w:val="4A023139"/>
    <w:rsid w:val="4A1470AD"/>
    <w:rsid w:val="4A6B76DF"/>
    <w:rsid w:val="4A7B576F"/>
    <w:rsid w:val="4A7C59F6"/>
    <w:rsid w:val="4A852FFB"/>
    <w:rsid w:val="4AEC39B8"/>
    <w:rsid w:val="4AF561A9"/>
    <w:rsid w:val="4B9E3B34"/>
    <w:rsid w:val="4BA861F3"/>
    <w:rsid w:val="4BBB79AE"/>
    <w:rsid w:val="4BBC79FC"/>
    <w:rsid w:val="4BCA636B"/>
    <w:rsid w:val="4BF52F0E"/>
    <w:rsid w:val="4C1D1A13"/>
    <w:rsid w:val="4C3916F3"/>
    <w:rsid w:val="4C4A0649"/>
    <w:rsid w:val="4C7E5ECA"/>
    <w:rsid w:val="4C876AA5"/>
    <w:rsid w:val="4C901339"/>
    <w:rsid w:val="4C950675"/>
    <w:rsid w:val="4CAA5AA7"/>
    <w:rsid w:val="4CBA252C"/>
    <w:rsid w:val="4CCE4B31"/>
    <w:rsid w:val="4CE8363B"/>
    <w:rsid w:val="4D027A90"/>
    <w:rsid w:val="4D082A85"/>
    <w:rsid w:val="4D0E00FB"/>
    <w:rsid w:val="4D176606"/>
    <w:rsid w:val="4D2D0256"/>
    <w:rsid w:val="4D730580"/>
    <w:rsid w:val="4D896B40"/>
    <w:rsid w:val="4DEC4FB0"/>
    <w:rsid w:val="4E021A0E"/>
    <w:rsid w:val="4E075D8A"/>
    <w:rsid w:val="4E3114E3"/>
    <w:rsid w:val="4E612ADD"/>
    <w:rsid w:val="4EC00FAD"/>
    <w:rsid w:val="4F784367"/>
    <w:rsid w:val="4F8B0D4F"/>
    <w:rsid w:val="4F9843DC"/>
    <w:rsid w:val="4FAF7F20"/>
    <w:rsid w:val="4FC62A8C"/>
    <w:rsid w:val="4FE20F0D"/>
    <w:rsid w:val="4FE51552"/>
    <w:rsid w:val="503B276F"/>
    <w:rsid w:val="503E1024"/>
    <w:rsid w:val="50504C4B"/>
    <w:rsid w:val="506A23CA"/>
    <w:rsid w:val="50913DD5"/>
    <w:rsid w:val="509C6E7C"/>
    <w:rsid w:val="50A8777E"/>
    <w:rsid w:val="50AD5A59"/>
    <w:rsid w:val="50C000D6"/>
    <w:rsid w:val="50F727E1"/>
    <w:rsid w:val="51295A50"/>
    <w:rsid w:val="512E165F"/>
    <w:rsid w:val="5162104E"/>
    <w:rsid w:val="5166577A"/>
    <w:rsid w:val="518B31D2"/>
    <w:rsid w:val="51BC034C"/>
    <w:rsid w:val="52163B1E"/>
    <w:rsid w:val="52976ACD"/>
    <w:rsid w:val="52AD7EAB"/>
    <w:rsid w:val="52F201A7"/>
    <w:rsid w:val="52FD5AF6"/>
    <w:rsid w:val="53033532"/>
    <w:rsid w:val="530A0C54"/>
    <w:rsid w:val="532B6BB0"/>
    <w:rsid w:val="53A039CC"/>
    <w:rsid w:val="53A1505A"/>
    <w:rsid w:val="53CD1F97"/>
    <w:rsid w:val="54063E08"/>
    <w:rsid w:val="541E0B5F"/>
    <w:rsid w:val="543437E8"/>
    <w:rsid w:val="546A280A"/>
    <w:rsid w:val="547B3686"/>
    <w:rsid w:val="54807E9A"/>
    <w:rsid w:val="54977258"/>
    <w:rsid w:val="54AE739C"/>
    <w:rsid w:val="54E57FC4"/>
    <w:rsid w:val="54F73313"/>
    <w:rsid w:val="54F80955"/>
    <w:rsid w:val="552A715D"/>
    <w:rsid w:val="55480552"/>
    <w:rsid w:val="555170A7"/>
    <w:rsid w:val="55732724"/>
    <w:rsid w:val="5587536D"/>
    <w:rsid w:val="559B174B"/>
    <w:rsid w:val="55B4717A"/>
    <w:rsid w:val="55CB0A7A"/>
    <w:rsid w:val="55CE0CF4"/>
    <w:rsid w:val="55D902DC"/>
    <w:rsid w:val="56292132"/>
    <w:rsid w:val="564B167D"/>
    <w:rsid w:val="564B654C"/>
    <w:rsid w:val="567817B1"/>
    <w:rsid w:val="568267E1"/>
    <w:rsid w:val="56B22A9C"/>
    <w:rsid w:val="56D71B8E"/>
    <w:rsid w:val="571A1831"/>
    <w:rsid w:val="572F6B95"/>
    <w:rsid w:val="57337211"/>
    <w:rsid w:val="573C198C"/>
    <w:rsid w:val="57470D47"/>
    <w:rsid w:val="57AA2C95"/>
    <w:rsid w:val="57B72A76"/>
    <w:rsid w:val="57C3426C"/>
    <w:rsid w:val="57CE1F93"/>
    <w:rsid w:val="57DF5F8B"/>
    <w:rsid w:val="57E40CDA"/>
    <w:rsid w:val="5812712F"/>
    <w:rsid w:val="5814594F"/>
    <w:rsid w:val="58167A80"/>
    <w:rsid w:val="586B2BE2"/>
    <w:rsid w:val="588743D1"/>
    <w:rsid w:val="5887701A"/>
    <w:rsid w:val="58A54C29"/>
    <w:rsid w:val="591C5F7E"/>
    <w:rsid w:val="59C0439F"/>
    <w:rsid w:val="5A257397"/>
    <w:rsid w:val="5A2C3352"/>
    <w:rsid w:val="5ABE2233"/>
    <w:rsid w:val="5AEF6D32"/>
    <w:rsid w:val="5B557525"/>
    <w:rsid w:val="5B8F6EDB"/>
    <w:rsid w:val="5B934045"/>
    <w:rsid w:val="5BAB5397"/>
    <w:rsid w:val="5BB115FA"/>
    <w:rsid w:val="5BDF5D95"/>
    <w:rsid w:val="5BFE7528"/>
    <w:rsid w:val="5C2B55F1"/>
    <w:rsid w:val="5C33444A"/>
    <w:rsid w:val="5C5F33C6"/>
    <w:rsid w:val="5C8E73CE"/>
    <w:rsid w:val="5CC30BD3"/>
    <w:rsid w:val="5CD026FB"/>
    <w:rsid w:val="5CD81F25"/>
    <w:rsid w:val="5D4E638A"/>
    <w:rsid w:val="5D585668"/>
    <w:rsid w:val="5D720862"/>
    <w:rsid w:val="5D743B24"/>
    <w:rsid w:val="5D942587"/>
    <w:rsid w:val="5DA1674A"/>
    <w:rsid w:val="5E00626E"/>
    <w:rsid w:val="5E2467F1"/>
    <w:rsid w:val="5E435563"/>
    <w:rsid w:val="5E8C7702"/>
    <w:rsid w:val="5E96251B"/>
    <w:rsid w:val="5EC7446D"/>
    <w:rsid w:val="5ECA3D86"/>
    <w:rsid w:val="5F1300A0"/>
    <w:rsid w:val="5F1A2B43"/>
    <w:rsid w:val="5F6220C4"/>
    <w:rsid w:val="5F743D6D"/>
    <w:rsid w:val="5F903222"/>
    <w:rsid w:val="5FB837BB"/>
    <w:rsid w:val="5FE750CA"/>
    <w:rsid w:val="601E1DA0"/>
    <w:rsid w:val="604858AA"/>
    <w:rsid w:val="605C7A83"/>
    <w:rsid w:val="606B480C"/>
    <w:rsid w:val="60884A27"/>
    <w:rsid w:val="60B311A4"/>
    <w:rsid w:val="60CC3401"/>
    <w:rsid w:val="60CC405A"/>
    <w:rsid w:val="60D30461"/>
    <w:rsid w:val="60E27AAD"/>
    <w:rsid w:val="61031439"/>
    <w:rsid w:val="614D2984"/>
    <w:rsid w:val="61655DD2"/>
    <w:rsid w:val="616719B2"/>
    <w:rsid w:val="6198016C"/>
    <w:rsid w:val="61A62C1D"/>
    <w:rsid w:val="61E215D8"/>
    <w:rsid w:val="621B3775"/>
    <w:rsid w:val="62364782"/>
    <w:rsid w:val="628E66AF"/>
    <w:rsid w:val="62AA63A9"/>
    <w:rsid w:val="62CF50BD"/>
    <w:rsid w:val="62E73159"/>
    <w:rsid w:val="62F2456D"/>
    <w:rsid w:val="63555678"/>
    <w:rsid w:val="636522D0"/>
    <w:rsid w:val="6394356A"/>
    <w:rsid w:val="63C61B2C"/>
    <w:rsid w:val="63D40BE9"/>
    <w:rsid w:val="64102431"/>
    <w:rsid w:val="64A5243A"/>
    <w:rsid w:val="64AA18BB"/>
    <w:rsid w:val="64B86E4F"/>
    <w:rsid w:val="64EE305D"/>
    <w:rsid w:val="64F531DE"/>
    <w:rsid w:val="65373578"/>
    <w:rsid w:val="653A2A98"/>
    <w:rsid w:val="657D3408"/>
    <w:rsid w:val="65FF1B05"/>
    <w:rsid w:val="66400D90"/>
    <w:rsid w:val="667759A4"/>
    <w:rsid w:val="66E66A33"/>
    <w:rsid w:val="66F7101E"/>
    <w:rsid w:val="671F124A"/>
    <w:rsid w:val="672F3320"/>
    <w:rsid w:val="673F3F58"/>
    <w:rsid w:val="67502FE0"/>
    <w:rsid w:val="676A190E"/>
    <w:rsid w:val="677A33C6"/>
    <w:rsid w:val="67A65317"/>
    <w:rsid w:val="67E1286C"/>
    <w:rsid w:val="67E208E5"/>
    <w:rsid w:val="681F6961"/>
    <w:rsid w:val="68376930"/>
    <w:rsid w:val="68610A2F"/>
    <w:rsid w:val="68805514"/>
    <w:rsid w:val="69095BBD"/>
    <w:rsid w:val="69316E2F"/>
    <w:rsid w:val="693E773E"/>
    <w:rsid w:val="694E2071"/>
    <w:rsid w:val="69766163"/>
    <w:rsid w:val="697A3B33"/>
    <w:rsid w:val="699F25AB"/>
    <w:rsid w:val="69CF3CE6"/>
    <w:rsid w:val="69D44760"/>
    <w:rsid w:val="69D81A4D"/>
    <w:rsid w:val="6A146C3C"/>
    <w:rsid w:val="6A164324"/>
    <w:rsid w:val="6A4C7B67"/>
    <w:rsid w:val="6A520EC7"/>
    <w:rsid w:val="6A6714D0"/>
    <w:rsid w:val="6A726F3F"/>
    <w:rsid w:val="6A740072"/>
    <w:rsid w:val="6A740DF7"/>
    <w:rsid w:val="6A790518"/>
    <w:rsid w:val="6A865E42"/>
    <w:rsid w:val="6A8C097A"/>
    <w:rsid w:val="6A8E56B3"/>
    <w:rsid w:val="6AA7670A"/>
    <w:rsid w:val="6AF87E20"/>
    <w:rsid w:val="6B237C16"/>
    <w:rsid w:val="6B322639"/>
    <w:rsid w:val="6B336FB6"/>
    <w:rsid w:val="6B5B2936"/>
    <w:rsid w:val="6BC91CC2"/>
    <w:rsid w:val="6BD11F8E"/>
    <w:rsid w:val="6C133E6F"/>
    <w:rsid w:val="6C2F1F19"/>
    <w:rsid w:val="6C5F1F43"/>
    <w:rsid w:val="6C636C38"/>
    <w:rsid w:val="6C832718"/>
    <w:rsid w:val="6CAC7696"/>
    <w:rsid w:val="6CB77752"/>
    <w:rsid w:val="6CBE50C4"/>
    <w:rsid w:val="6CCE4A51"/>
    <w:rsid w:val="6CF626FE"/>
    <w:rsid w:val="6D0B568B"/>
    <w:rsid w:val="6D13182D"/>
    <w:rsid w:val="6DB34098"/>
    <w:rsid w:val="6DB545B6"/>
    <w:rsid w:val="6DC24EEE"/>
    <w:rsid w:val="6DDE74D0"/>
    <w:rsid w:val="6DE02FB4"/>
    <w:rsid w:val="6E105A2A"/>
    <w:rsid w:val="6E250FD9"/>
    <w:rsid w:val="6E4C6685"/>
    <w:rsid w:val="6E514CED"/>
    <w:rsid w:val="6E5876FD"/>
    <w:rsid w:val="6E7418F8"/>
    <w:rsid w:val="6E8977BA"/>
    <w:rsid w:val="6EB563D5"/>
    <w:rsid w:val="6EBF5EBB"/>
    <w:rsid w:val="6ED92677"/>
    <w:rsid w:val="6F1A78C6"/>
    <w:rsid w:val="6F225983"/>
    <w:rsid w:val="6F264C97"/>
    <w:rsid w:val="6F2B248F"/>
    <w:rsid w:val="6F343EE3"/>
    <w:rsid w:val="6F4F630E"/>
    <w:rsid w:val="6F5742F2"/>
    <w:rsid w:val="6F5B4349"/>
    <w:rsid w:val="6F81563C"/>
    <w:rsid w:val="6F8A67FC"/>
    <w:rsid w:val="6FCD51D3"/>
    <w:rsid w:val="6FF471F4"/>
    <w:rsid w:val="6FFC5590"/>
    <w:rsid w:val="70036BA4"/>
    <w:rsid w:val="706D1DD0"/>
    <w:rsid w:val="70856B87"/>
    <w:rsid w:val="70907D80"/>
    <w:rsid w:val="70C35F1C"/>
    <w:rsid w:val="70D527EE"/>
    <w:rsid w:val="715B5300"/>
    <w:rsid w:val="71684BD5"/>
    <w:rsid w:val="71A56347"/>
    <w:rsid w:val="71C91244"/>
    <w:rsid w:val="71D27F8A"/>
    <w:rsid w:val="71E511AB"/>
    <w:rsid w:val="722A6C78"/>
    <w:rsid w:val="72553024"/>
    <w:rsid w:val="72712A3F"/>
    <w:rsid w:val="72814508"/>
    <w:rsid w:val="72C824F6"/>
    <w:rsid w:val="72FD42D3"/>
    <w:rsid w:val="73122968"/>
    <w:rsid w:val="731F5D5E"/>
    <w:rsid w:val="73340A0A"/>
    <w:rsid w:val="733A421E"/>
    <w:rsid w:val="734D6ECA"/>
    <w:rsid w:val="73740825"/>
    <w:rsid w:val="73785B63"/>
    <w:rsid w:val="739509AF"/>
    <w:rsid w:val="73C51AD5"/>
    <w:rsid w:val="73C86E07"/>
    <w:rsid w:val="73E13F2E"/>
    <w:rsid w:val="740833C7"/>
    <w:rsid w:val="741E793C"/>
    <w:rsid w:val="7425135D"/>
    <w:rsid w:val="745E3944"/>
    <w:rsid w:val="74A9055C"/>
    <w:rsid w:val="74C62370"/>
    <w:rsid w:val="74E514C2"/>
    <w:rsid w:val="75656DE5"/>
    <w:rsid w:val="756D36D6"/>
    <w:rsid w:val="75D3234F"/>
    <w:rsid w:val="75D75229"/>
    <w:rsid w:val="75FE00A6"/>
    <w:rsid w:val="761369E3"/>
    <w:rsid w:val="761958C7"/>
    <w:rsid w:val="76297253"/>
    <w:rsid w:val="7635099D"/>
    <w:rsid w:val="76A56F8F"/>
    <w:rsid w:val="77324E93"/>
    <w:rsid w:val="77762421"/>
    <w:rsid w:val="77963D45"/>
    <w:rsid w:val="77AB4A1A"/>
    <w:rsid w:val="77B56B1F"/>
    <w:rsid w:val="77B72E96"/>
    <w:rsid w:val="780F09F4"/>
    <w:rsid w:val="781607B3"/>
    <w:rsid w:val="781C5DE2"/>
    <w:rsid w:val="783B448C"/>
    <w:rsid w:val="789E5895"/>
    <w:rsid w:val="78A90480"/>
    <w:rsid w:val="78D828C3"/>
    <w:rsid w:val="78F77331"/>
    <w:rsid w:val="78FB613C"/>
    <w:rsid w:val="78FE53E8"/>
    <w:rsid w:val="790D4048"/>
    <w:rsid w:val="791365FE"/>
    <w:rsid w:val="79E02936"/>
    <w:rsid w:val="7A364017"/>
    <w:rsid w:val="7A7A445B"/>
    <w:rsid w:val="7A8265E1"/>
    <w:rsid w:val="7A9A6892"/>
    <w:rsid w:val="7AB16558"/>
    <w:rsid w:val="7AB91B59"/>
    <w:rsid w:val="7B2E58E0"/>
    <w:rsid w:val="7B5F7C2A"/>
    <w:rsid w:val="7B686D42"/>
    <w:rsid w:val="7B841746"/>
    <w:rsid w:val="7B914152"/>
    <w:rsid w:val="7BA774D1"/>
    <w:rsid w:val="7BB929D2"/>
    <w:rsid w:val="7BBE1FD6"/>
    <w:rsid w:val="7C6C5AC7"/>
    <w:rsid w:val="7CC6544B"/>
    <w:rsid w:val="7D0239FF"/>
    <w:rsid w:val="7D513857"/>
    <w:rsid w:val="7D5C37B8"/>
    <w:rsid w:val="7D5E40CD"/>
    <w:rsid w:val="7D621902"/>
    <w:rsid w:val="7D6A4138"/>
    <w:rsid w:val="7DCD56F2"/>
    <w:rsid w:val="7DF70B2C"/>
    <w:rsid w:val="7E5A32D6"/>
    <w:rsid w:val="7E631FF1"/>
    <w:rsid w:val="7E9173A8"/>
    <w:rsid w:val="7EC43B4C"/>
    <w:rsid w:val="7EE33248"/>
    <w:rsid w:val="7F001CE7"/>
    <w:rsid w:val="7F0B7EFF"/>
    <w:rsid w:val="7F0D3635"/>
    <w:rsid w:val="7F5931D8"/>
    <w:rsid w:val="7F615C18"/>
    <w:rsid w:val="7F845DE2"/>
    <w:rsid w:val="7F9E0BEB"/>
    <w:rsid w:val="7FA35E19"/>
    <w:rsid w:val="7FAD32E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qFormat="1"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99"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99"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qFormat="1"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44"/>
    <w:qFormat/>
    <w:locked/>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qFormat/>
    <w:locked/>
    <w:uiPriority w:val="0"/>
    <w:pPr>
      <w:keepNext/>
      <w:keepLines/>
      <w:spacing w:before="260" w:after="260" w:line="413" w:lineRule="auto"/>
      <w:outlineLvl w:val="2"/>
    </w:pPr>
    <w:rPr>
      <w:rFonts w:hint="eastAsia" w:ascii="仿宋_GB2312" w:eastAsia="仿宋_GB2312" w:cs="仿宋_GB2312"/>
      <w:spacing w:val="-22"/>
      <w:sz w:val="30"/>
    </w:rPr>
  </w:style>
  <w:style w:type="paragraph" w:styleId="6">
    <w:name w:val="heading 4"/>
    <w:basedOn w:val="1"/>
    <w:next w:val="7"/>
    <w:unhideWhenUsed/>
    <w:qFormat/>
    <w:locked/>
    <w:uiPriority w:val="0"/>
    <w:pPr>
      <w:keepNext/>
      <w:keepLines/>
      <w:spacing w:before="60" w:beforeLines="0" w:beforeAutospacing="0" w:after="60" w:afterLines="0" w:afterAutospacing="0" w:line="360" w:lineRule="auto"/>
      <w:ind w:firstLine="0" w:firstLineChars="0"/>
      <w:outlineLvl w:val="3"/>
    </w:pPr>
    <w:rPr>
      <w:rFonts w:ascii="Times New Roman" w:hAnsi="Times New Roman" w:eastAsia="宋体"/>
      <w:b/>
      <w:sz w:val="24"/>
    </w:rPr>
  </w:style>
  <w:style w:type="paragraph" w:styleId="8">
    <w:name w:val="heading 5"/>
    <w:basedOn w:val="1"/>
    <w:next w:val="1"/>
    <w:qFormat/>
    <w:locked/>
    <w:uiPriority w:val="1"/>
    <w:pPr>
      <w:ind w:left="698"/>
      <w:outlineLvl w:val="4"/>
    </w:pPr>
    <w:rPr>
      <w:rFonts w:ascii="宋体" w:hAnsi="宋体"/>
      <w:b/>
      <w:bCs/>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w:basedOn w:val="1"/>
    <w:link w:val="59"/>
    <w:qFormat/>
    <w:uiPriority w:val="0"/>
    <w:pPr>
      <w:widowControl/>
      <w:snapToGrid w:val="0"/>
      <w:spacing w:before="60" w:after="160" w:line="259" w:lineRule="auto"/>
      <w:ind w:right="113"/>
    </w:pPr>
    <w:rPr>
      <w:kern w:val="0"/>
      <w:sz w:val="18"/>
      <w:szCs w:val="20"/>
    </w:rPr>
  </w:style>
  <w:style w:type="paragraph" w:styleId="7">
    <w:name w:val="Body Text First Indent"/>
    <w:basedOn w:val="2"/>
    <w:next w:val="1"/>
    <w:qFormat/>
    <w:locked/>
    <w:uiPriority w:val="0"/>
    <w:pPr>
      <w:spacing w:after="120"/>
      <w:ind w:firstLine="420" w:firstLineChars="100"/>
    </w:pPr>
    <w:rPr>
      <w:sz w:val="24"/>
      <w:szCs w:val="24"/>
    </w:rPr>
  </w:style>
  <w:style w:type="paragraph" w:styleId="9">
    <w:name w:val="Normal Indent"/>
    <w:basedOn w:val="1"/>
    <w:next w:val="1"/>
    <w:qFormat/>
    <w:locked/>
    <w:uiPriority w:val="0"/>
    <w:pPr>
      <w:ind w:firstLine="420"/>
    </w:pPr>
    <w:rPr>
      <w:rFonts w:ascii="Calibri" w:hAnsi="Calibri"/>
      <w:szCs w:val="20"/>
    </w:rPr>
  </w:style>
  <w:style w:type="paragraph" w:styleId="10">
    <w:name w:val="caption"/>
    <w:basedOn w:val="1"/>
    <w:next w:val="1"/>
    <w:qFormat/>
    <w:locked/>
    <w:uiPriority w:val="0"/>
    <w:pPr>
      <w:snapToGrid w:val="0"/>
      <w:spacing w:before="6" w:after="6" w:line="0" w:lineRule="atLeast"/>
    </w:pPr>
    <w:rPr>
      <w:rFonts w:ascii="Arial" w:hAnsi="Arial"/>
      <w:snapToGrid w:val="0"/>
      <w:kern w:val="24"/>
      <w:sz w:val="24"/>
      <w:szCs w:val="28"/>
    </w:rPr>
  </w:style>
  <w:style w:type="paragraph" w:styleId="11">
    <w:name w:val="annotation text"/>
    <w:basedOn w:val="1"/>
    <w:link w:val="54"/>
    <w:semiHidden/>
    <w:qFormat/>
    <w:uiPriority w:val="0"/>
    <w:pPr>
      <w:jc w:val="left"/>
    </w:pPr>
    <w:rPr>
      <w:kern w:val="0"/>
      <w:sz w:val="24"/>
      <w:szCs w:val="20"/>
    </w:rPr>
  </w:style>
  <w:style w:type="paragraph" w:styleId="12">
    <w:name w:val="Body Text Indent"/>
    <w:basedOn w:val="1"/>
    <w:next w:val="13"/>
    <w:link w:val="48"/>
    <w:qFormat/>
    <w:uiPriority w:val="0"/>
    <w:pPr>
      <w:spacing w:after="120"/>
      <w:ind w:left="420" w:leftChars="200"/>
    </w:pPr>
    <w:rPr>
      <w:kern w:val="0"/>
      <w:sz w:val="24"/>
      <w:szCs w:val="20"/>
    </w:rPr>
  </w:style>
  <w:style w:type="paragraph" w:styleId="13">
    <w:name w:val="envelope return"/>
    <w:basedOn w:val="1"/>
    <w:qFormat/>
    <w:locked/>
    <w:uiPriority w:val="0"/>
    <w:pPr>
      <w:snapToGrid w:val="0"/>
    </w:pPr>
    <w:rPr>
      <w:rFonts w:ascii="Arial" w:hAnsi="Arial" w:cs="Arial"/>
      <w:szCs w:val="20"/>
    </w:rPr>
  </w:style>
  <w:style w:type="paragraph" w:styleId="14">
    <w:name w:val="Plain Text"/>
    <w:basedOn w:val="1"/>
    <w:qFormat/>
    <w:locked/>
    <w:uiPriority w:val="0"/>
    <w:rPr>
      <w:rFonts w:ascii="宋体" w:hAnsi="Courier New" w:cs="Courier New"/>
      <w:szCs w:val="21"/>
    </w:rPr>
  </w:style>
  <w:style w:type="paragraph" w:styleId="15">
    <w:name w:val="Date"/>
    <w:basedOn w:val="1"/>
    <w:next w:val="1"/>
    <w:link w:val="45"/>
    <w:qFormat/>
    <w:uiPriority w:val="0"/>
    <w:pPr>
      <w:ind w:left="100" w:leftChars="2500"/>
    </w:pPr>
    <w:rPr>
      <w:kern w:val="0"/>
      <w:sz w:val="24"/>
      <w:szCs w:val="20"/>
    </w:rPr>
  </w:style>
  <w:style w:type="paragraph" w:styleId="16">
    <w:name w:val="Body Text Indent 2"/>
    <w:basedOn w:val="1"/>
    <w:qFormat/>
    <w:locked/>
    <w:uiPriority w:val="0"/>
    <w:pPr>
      <w:spacing w:line="360" w:lineRule="auto"/>
      <w:ind w:firstLine="480" w:firstLineChars="200"/>
    </w:pPr>
    <w:rPr>
      <w:sz w:val="24"/>
    </w:rPr>
  </w:style>
  <w:style w:type="paragraph" w:styleId="17">
    <w:name w:val="Balloon Text"/>
    <w:basedOn w:val="1"/>
    <w:link w:val="61"/>
    <w:semiHidden/>
    <w:qFormat/>
    <w:uiPriority w:val="0"/>
    <w:rPr>
      <w:kern w:val="0"/>
      <w:sz w:val="18"/>
      <w:szCs w:val="20"/>
    </w:rPr>
  </w:style>
  <w:style w:type="paragraph" w:styleId="18">
    <w:name w:val="footer"/>
    <w:basedOn w:val="1"/>
    <w:link w:val="63"/>
    <w:qFormat/>
    <w:uiPriority w:val="99"/>
    <w:pPr>
      <w:tabs>
        <w:tab w:val="center" w:pos="4153"/>
        <w:tab w:val="right" w:pos="8306"/>
      </w:tabs>
      <w:snapToGrid w:val="0"/>
      <w:jc w:val="left"/>
    </w:pPr>
    <w:rPr>
      <w:kern w:val="0"/>
      <w:sz w:val="18"/>
      <w:szCs w:val="20"/>
    </w:rPr>
  </w:style>
  <w:style w:type="paragraph" w:styleId="19">
    <w:name w:val="header"/>
    <w:basedOn w:val="1"/>
    <w:link w:val="62"/>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index heading"/>
    <w:basedOn w:val="1"/>
    <w:next w:val="21"/>
    <w:qFormat/>
    <w:locked/>
    <w:uiPriority w:val="99"/>
    <w:rPr>
      <w:szCs w:val="20"/>
    </w:rPr>
  </w:style>
  <w:style w:type="paragraph" w:styleId="21">
    <w:name w:val="index 1"/>
    <w:basedOn w:val="1"/>
    <w:next w:val="1"/>
    <w:semiHidden/>
    <w:qFormat/>
    <w:locked/>
    <w:uiPriority w:val="99"/>
    <w:pPr>
      <w:tabs>
        <w:tab w:val="left" w:pos="5580"/>
      </w:tabs>
      <w:spacing w:line="280" w:lineRule="exact"/>
    </w:pPr>
    <w:rPr>
      <w:rFonts w:ascii="宋体" w:hAnsi="宋体" w:cs="宋体"/>
      <w:spacing w:val="10"/>
      <w:szCs w:val="21"/>
    </w:rPr>
  </w:style>
  <w:style w:type="paragraph" w:styleId="22">
    <w:name w:val="Body Text Indent 3"/>
    <w:basedOn w:val="1"/>
    <w:link w:val="60"/>
    <w:qFormat/>
    <w:locked/>
    <w:uiPriority w:val="99"/>
    <w:pPr>
      <w:widowControl/>
      <w:ind w:firstLine="552" w:firstLineChars="200"/>
    </w:pPr>
    <w:rPr>
      <w:spacing w:val="-2"/>
      <w:kern w:val="0"/>
      <w:sz w:val="20"/>
      <w:szCs w:val="20"/>
    </w:rPr>
  </w:style>
  <w:style w:type="paragraph" w:styleId="23">
    <w:name w:val="table of figures"/>
    <w:basedOn w:val="1"/>
    <w:next w:val="1"/>
    <w:qFormat/>
    <w:locked/>
    <w:uiPriority w:val="0"/>
    <w:pPr>
      <w:ind w:left="200" w:leftChars="200" w:hanging="200" w:hangingChars="200"/>
    </w:pPr>
  </w:style>
  <w:style w:type="paragraph" w:styleId="24">
    <w:name w:val="toc 9"/>
    <w:basedOn w:val="1"/>
    <w:next w:val="1"/>
    <w:qFormat/>
    <w:locked/>
    <w:uiPriority w:val="0"/>
    <w:pPr>
      <w:widowControl/>
      <w:wordWrap w:val="0"/>
      <w:ind w:left="2975"/>
    </w:pPr>
    <w:rPr>
      <w:sz w:val="21"/>
      <w:szCs w:val="22"/>
    </w:rPr>
  </w:style>
  <w:style w:type="paragraph" w:styleId="25">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link w:val="58"/>
    <w:qFormat/>
    <w:uiPriority w:val="0"/>
    <w:pPr>
      <w:widowControl/>
      <w:spacing w:before="100" w:beforeAutospacing="1" w:after="100" w:afterAutospacing="1"/>
      <w:jc w:val="left"/>
    </w:pPr>
    <w:rPr>
      <w:rFonts w:ascii="宋体" w:hAnsi="宋体"/>
      <w:kern w:val="0"/>
      <w:sz w:val="24"/>
      <w:szCs w:val="20"/>
    </w:rPr>
  </w:style>
  <w:style w:type="paragraph" w:styleId="27">
    <w:name w:val="annotation subject"/>
    <w:basedOn w:val="11"/>
    <w:next w:val="11"/>
    <w:link w:val="57"/>
    <w:semiHidden/>
    <w:qFormat/>
    <w:uiPriority w:val="0"/>
    <w:rPr>
      <w:b/>
    </w:rPr>
  </w:style>
  <w:style w:type="paragraph" w:styleId="28">
    <w:name w:val="Body Text First Indent 2"/>
    <w:basedOn w:val="12"/>
    <w:next w:val="7"/>
    <w:qFormat/>
    <w:locked/>
    <w:uiPriority w:val="0"/>
    <w:pPr>
      <w:adjustRightInd w:val="0"/>
      <w:spacing w:line="360" w:lineRule="atLeast"/>
      <w:ind w:leftChars="0" w:firstLine="210"/>
      <w:jc w:val="left"/>
      <w:textAlignment w:val="baseline"/>
    </w:pPr>
    <w:rPr>
      <w:rFonts w:eastAsia="楷体_GB2312"/>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locked/>
    <w:uiPriority w:val="99"/>
    <w:rPr>
      <w:rFonts w:ascii="Times New Roman" w:hAnsi="Times New Roman" w:eastAsia="宋体" w:cs="Times New Roman"/>
      <w:bCs/>
      <w:sz w:val="21"/>
    </w:rPr>
  </w:style>
  <w:style w:type="character" w:styleId="33">
    <w:name w:val="page number"/>
    <w:basedOn w:val="31"/>
    <w:qFormat/>
    <w:locked/>
    <w:uiPriority w:val="0"/>
  </w:style>
  <w:style w:type="character" w:styleId="34">
    <w:name w:val="FollowedHyperlink"/>
    <w:basedOn w:val="31"/>
    <w:qFormat/>
    <w:locked/>
    <w:uiPriority w:val="0"/>
    <w:rPr>
      <w:color w:val="333333"/>
      <w:u w:val="none"/>
    </w:rPr>
  </w:style>
  <w:style w:type="character" w:styleId="35">
    <w:name w:val="Emphasis"/>
    <w:basedOn w:val="31"/>
    <w:qFormat/>
    <w:locked/>
    <w:uiPriority w:val="0"/>
  </w:style>
  <w:style w:type="character" w:styleId="36">
    <w:name w:val="Hyperlink"/>
    <w:basedOn w:val="31"/>
    <w:qFormat/>
    <w:locked/>
    <w:uiPriority w:val="0"/>
    <w:rPr>
      <w:color w:val="0000FF"/>
      <w:u w:val="single"/>
    </w:rPr>
  </w:style>
  <w:style w:type="character" w:styleId="37">
    <w:name w:val="annotation reference"/>
    <w:semiHidden/>
    <w:qFormat/>
    <w:uiPriority w:val="0"/>
    <w:rPr>
      <w:sz w:val="21"/>
    </w:rPr>
  </w:style>
  <w:style w:type="character" w:styleId="38">
    <w:name w:val="HTML Cite"/>
    <w:basedOn w:val="31"/>
    <w:qFormat/>
    <w:locked/>
    <w:uiPriority w:val="0"/>
  </w:style>
  <w:style w:type="paragraph" w:customStyle="1" w:styleId="39">
    <w:name w:val="_Style 1"/>
    <w:basedOn w:val="1"/>
    <w:next w:val="1"/>
    <w:qFormat/>
    <w:uiPriority w:val="0"/>
    <w:pPr>
      <w:ind w:firstLine="420" w:firstLineChars="200"/>
    </w:pPr>
    <w:rPr>
      <w:rFonts w:ascii="Calibri" w:hAnsi="Calibri" w:eastAsia="宋体" w:cs="Times New Roman"/>
      <w:szCs w:val="22"/>
    </w:rPr>
  </w:style>
  <w:style w:type="paragraph" w:customStyle="1" w:styleId="40">
    <w:name w:val=" 正文"/>
    <w:basedOn w:val="1"/>
    <w:qFormat/>
    <w:uiPriority w:val="0"/>
    <w:pPr>
      <w:tabs>
        <w:tab w:val="left" w:pos="22680"/>
      </w:tabs>
      <w:spacing w:line="360" w:lineRule="auto"/>
      <w:ind w:firstLine="602" w:firstLineChars="200"/>
      <w:jc w:val="left"/>
    </w:pPr>
    <w:rPr>
      <w:rFonts w:ascii="宋体" w:hAnsi="宋体"/>
      <w:sz w:val="24"/>
      <w:szCs w:val="20"/>
    </w:rPr>
  </w:style>
  <w:style w:type="paragraph" w:customStyle="1" w:styleId="41">
    <w:name w:val="Default"/>
    <w:basedOn w:val="42"/>
    <w:next w:val="4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纯文本1"/>
    <w:basedOn w:val="1"/>
    <w:qFormat/>
    <w:uiPriority w:val="0"/>
    <w:rPr>
      <w:rFonts w:ascii="宋体" w:hAnsi="Courier New" w:cs="Courier New"/>
      <w:szCs w:val="21"/>
    </w:rPr>
  </w:style>
  <w:style w:type="paragraph" w:customStyle="1" w:styleId="43">
    <w:name w:val="样式1"/>
    <w:basedOn w:val="20"/>
    <w:next w:val="1"/>
    <w:qFormat/>
    <w:uiPriority w:val="0"/>
    <w:pPr>
      <w:spacing w:line="360" w:lineRule="auto"/>
      <w:ind w:firstLine="567"/>
    </w:pPr>
    <w:rPr>
      <w:sz w:val="24"/>
      <w:szCs w:val="20"/>
    </w:rPr>
  </w:style>
  <w:style w:type="character" w:customStyle="1" w:styleId="44">
    <w:name w:val="标题 2 Char"/>
    <w:link w:val="4"/>
    <w:qFormat/>
    <w:uiPriority w:val="0"/>
    <w:rPr>
      <w:rFonts w:hint="eastAsia" w:ascii="宋体" w:hAnsi="宋体" w:eastAsia="宋体" w:cs="宋体"/>
      <w:b/>
      <w:kern w:val="0"/>
      <w:sz w:val="36"/>
      <w:szCs w:val="36"/>
      <w:lang w:val="en-US" w:eastAsia="zh-CN" w:bidi="ar"/>
    </w:rPr>
  </w:style>
  <w:style w:type="character" w:customStyle="1" w:styleId="45">
    <w:name w:val="日期 Char"/>
    <w:link w:val="15"/>
    <w:qFormat/>
    <w:locked/>
    <w:uiPriority w:val="0"/>
    <w:rPr>
      <w:rFonts w:ascii="Times New Roman" w:hAnsi="Times New Roman" w:eastAsia="宋体"/>
      <w:sz w:val="24"/>
    </w:rPr>
  </w:style>
  <w:style w:type="character" w:customStyle="1" w:styleId="46">
    <w:name w:val="批注文字 字符1"/>
    <w:semiHidden/>
    <w:qFormat/>
    <w:uiPriority w:val="0"/>
    <w:rPr>
      <w:rFonts w:ascii="Times New Roman" w:hAnsi="Times New Roman" w:eastAsia="宋体"/>
      <w:sz w:val="24"/>
    </w:rPr>
  </w:style>
  <w:style w:type="character" w:customStyle="1" w:styleId="47">
    <w:name w:val="日期 字符"/>
    <w:semiHidden/>
    <w:qFormat/>
    <w:uiPriority w:val="0"/>
    <w:rPr>
      <w:rFonts w:ascii="Times New Roman" w:hAnsi="Times New Roman" w:eastAsia="宋体"/>
      <w:sz w:val="24"/>
    </w:rPr>
  </w:style>
  <w:style w:type="character" w:customStyle="1" w:styleId="48">
    <w:name w:val="正文文本缩进 Char"/>
    <w:link w:val="12"/>
    <w:semiHidden/>
    <w:qFormat/>
    <w:locked/>
    <w:uiPriority w:val="0"/>
    <w:rPr>
      <w:rFonts w:ascii="Times New Roman" w:hAnsi="Times New Roman" w:eastAsia="宋体"/>
      <w:sz w:val="24"/>
    </w:rPr>
  </w:style>
  <w:style w:type="character" w:customStyle="1" w:styleId="49">
    <w:name w:val="font11"/>
    <w:basedOn w:val="31"/>
    <w:qFormat/>
    <w:uiPriority w:val="0"/>
    <w:rPr>
      <w:rFonts w:hint="eastAsia" w:ascii="MingLiU" w:hAnsi="MingLiU" w:eastAsia="MingLiU" w:cs="MingLiU"/>
      <w:color w:val="000000"/>
      <w:sz w:val="16"/>
      <w:szCs w:val="16"/>
      <w:u w:val="none"/>
    </w:rPr>
  </w:style>
  <w:style w:type="character" w:customStyle="1" w:styleId="50">
    <w:name w:val="正文文本 字符1"/>
    <w:semiHidden/>
    <w:qFormat/>
    <w:uiPriority w:val="0"/>
    <w:rPr>
      <w:rFonts w:ascii="Times New Roman" w:hAnsi="Times New Roman" w:eastAsia="宋体"/>
      <w:sz w:val="24"/>
    </w:rPr>
  </w:style>
  <w:style w:type="character" w:customStyle="1" w:styleId="51">
    <w:name w:val="textfont1"/>
    <w:qFormat/>
    <w:uiPriority w:val="0"/>
    <w:rPr>
      <w:rFonts w:hint="default" w:ascii="_x000B__x000C_" w:hAnsi="_x000B__x000C_"/>
      <w:color w:val="000000"/>
      <w:sz w:val="22"/>
      <w:szCs w:val="22"/>
    </w:rPr>
  </w:style>
  <w:style w:type="character" w:customStyle="1" w:styleId="52">
    <w:name w:val="表格 Char"/>
    <w:link w:val="53"/>
    <w:qFormat/>
    <w:locked/>
    <w:uiPriority w:val="0"/>
    <w:rPr>
      <w:rFonts w:ascii="宋体"/>
      <w:sz w:val="21"/>
    </w:rPr>
  </w:style>
  <w:style w:type="paragraph" w:customStyle="1" w:styleId="53">
    <w:name w:val="表格"/>
    <w:basedOn w:val="1"/>
    <w:next w:val="1"/>
    <w:link w:val="52"/>
    <w:qFormat/>
    <w:uiPriority w:val="0"/>
    <w:pPr>
      <w:adjustRightInd w:val="0"/>
      <w:snapToGrid w:val="0"/>
      <w:spacing w:beforeLines="10" w:afterLines="10" w:line="259" w:lineRule="auto"/>
      <w:jc w:val="center"/>
    </w:pPr>
    <w:rPr>
      <w:rFonts w:ascii="宋体"/>
      <w:kern w:val="0"/>
      <w:szCs w:val="20"/>
    </w:rPr>
  </w:style>
  <w:style w:type="character" w:customStyle="1" w:styleId="54">
    <w:name w:val="批注文字 Char"/>
    <w:link w:val="11"/>
    <w:qFormat/>
    <w:locked/>
    <w:uiPriority w:val="0"/>
    <w:rPr>
      <w:rFonts w:ascii="Times New Roman" w:hAnsi="Times New Roman" w:eastAsia="宋体"/>
      <w:sz w:val="24"/>
    </w:rPr>
  </w:style>
  <w:style w:type="character" w:customStyle="1" w:styleId="55">
    <w:name w:val="页脚 字符"/>
    <w:basedOn w:val="31"/>
    <w:qFormat/>
    <w:uiPriority w:val="99"/>
  </w:style>
  <w:style w:type="character" w:customStyle="1" w:styleId="56">
    <w:name w:val="font01"/>
    <w:basedOn w:val="31"/>
    <w:qFormat/>
    <w:uiPriority w:val="0"/>
    <w:rPr>
      <w:rFonts w:hint="default" w:ascii="Times New Roman" w:hAnsi="Times New Roman" w:cs="Times New Roman"/>
      <w:color w:val="000000"/>
      <w:sz w:val="16"/>
      <w:szCs w:val="16"/>
      <w:u w:val="none"/>
    </w:rPr>
  </w:style>
  <w:style w:type="character" w:customStyle="1" w:styleId="57">
    <w:name w:val="批注主题 Char"/>
    <w:link w:val="27"/>
    <w:semiHidden/>
    <w:qFormat/>
    <w:locked/>
    <w:uiPriority w:val="0"/>
    <w:rPr>
      <w:rFonts w:ascii="Times New Roman" w:hAnsi="Times New Roman" w:eastAsia="宋体"/>
      <w:b/>
      <w:kern w:val="2"/>
      <w:sz w:val="24"/>
    </w:rPr>
  </w:style>
  <w:style w:type="character" w:customStyle="1" w:styleId="58">
    <w:name w:val="普通(网站) Char"/>
    <w:link w:val="26"/>
    <w:qFormat/>
    <w:locked/>
    <w:uiPriority w:val="0"/>
    <w:rPr>
      <w:rFonts w:ascii="宋体" w:hAnsi="宋体" w:eastAsia="宋体"/>
      <w:sz w:val="24"/>
    </w:rPr>
  </w:style>
  <w:style w:type="character" w:customStyle="1" w:styleId="59">
    <w:name w:val="正文文本 Char"/>
    <w:link w:val="2"/>
    <w:qFormat/>
    <w:locked/>
    <w:uiPriority w:val="0"/>
    <w:rPr>
      <w:sz w:val="18"/>
    </w:rPr>
  </w:style>
  <w:style w:type="character" w:customStyle="1" w:styleId="60">
    <w:name w:val="正文文本缩进 3 Char"/>
    <w:link w:val="22"/>
    <w:qFormat/>
    <w:uiPriority w:val="99"/>
    <w:rPr>
      <w:rFonts w:ascii="Times New Roman" w:hAnsi="Times New Roman"/>
      <w:spacing w:val="-2"/>
      <w:kern w:val="0"/>
      <w:sz w:val="20"/>
      <w:szCs w:val="20"/>
    </w:rPr>
  </w:style>
  <w:style w:type="character" w:customStyle="1" w:styleId="61">
    <w:name w:val="批注框文本 Char"/>
    <w:link w:val="17"/>
    <w:semiHidden/>
    <w:qFormat/>
    <w:locked/>
    <w:uiPriority w:val="0"/>
    <w:rPr>
      <w:rFonts w:ascii="Times New Roman" w:hAnsi="Times New Roman" w:eastAsia="宋体"/>
      <w:sz w:val="18"/>
    </w:rPr>
  </w:style>
  <w:style w:type="character" w:customStyle="1" w:styleId="62">
    <w:name w:val="页眉 Char"/>
    <w:link w:val="19"/>
    <w:qFormat/>
    <w:locked/>
    <w:uiPriority w:val="0"/>
    <w:rPr>
      <w:sz w:val="18"/>
    </w:rPr>
  </w:style>
  <w:style w:type="character" w:customStyle="1" w:styleId="63">
    <w:name w:val="页脚 Char"/>
    <w:link w:val="18"/>
    <w:qFormat/>
    <w:locked/>
    <w:uiPriority w:val="99"/>
    <w:rPr>
      <w:sz w:val="18"/>
    </w:rPr>
  </w:style>
  <w:style w:type="character" w:customStyle="1" w:styleId="64">
    <w:name w:val="标准正文 Char"/>
    <w:link w:val="65"/>
    <w:qFormat/>
    <w:locked/>
    <w:uiPriority w:val="0"/>
    <w:rPr>
      <w:rFonts w:ascii="Calibri" w:hAnsi="新宋体" w:eastAsia="新宋体"/>
      <w:kern w:val="0"/>
      <w:sz w:val="24"/>
      <w:szCs w:val="20"/>
    </w:rPr>
  </w:style>
  <w:style w:type="paragraph" w:customStyle="1" w:styleId="65">
    <w:name w:val="标准正文"/>
    <w:basedOn w:val="14"/>
    <w:link w:val="64"/>
    <w:qFormat/>
    <w:uiPriority w:val="0"/>
    <w:pPr>
      <w:spacing w:line="360" w:lineRule="auto"/>
      <w:ind w:firstLine="480" w:firstLineChars="200"/>
    </w:pPr>
    <w:rPr>
      <w:rFonts w:ascii="Calibri" w:hAnsi="新宋体" w:eastAsia="新宋体"/>
      <w:kern w:val="0"/>
      <w:sz w:val="24"/>
      <w:szCs w:val="20"/>
    </w:rPr>
  </w:style>
  <w:style w:type="paragraph" w:customStyle="1" w:styleId="66">
    <w:name w:val="4正文"/>
    <w:basedOn w:val="1"/>
    <w:qFormat/>
    <w:uiPriority w:val="0"/>
    <w:pPr>
      <w:spacing w:line="360" w:lineRule="auto"/>
      <w:ind w:firstLine="480" w:firstLineChars="200"/>
    </w:pPr>
    <w:rPr>
      <w:rFonts w:cs="宋体"/>
      <w:sz w:val="24"/>
      <w:szCs w:val="20"/>
    </w:rPr>
  </w:style>
  <w:style w:type="paragraph" w:customStyle="1" w:styleId="67">
    <w:name w:val="表头"/>
    <w:basedOn w:val="1"/>
    <w:qFormat/>
    <w:uiPriority w:val="0"/>
    <w:pPr>
      <w:tabs>
        <w:tab w:val="left" w:pos="1021"/>
      </w:tabs>
      <w:spacing w:before="60"/>
      <w:jc w:val="center"/>
    </w:pPr>
    <w:rPr>
      <w:rFonts w:eastAsia="黑体"/>
      <w:kern w:val="24"/>
    </w:rPr>
  </w:style>
  <w:style w:type="paragraph" w:customStyle="1" w:styleId="68">
    <w:name w:val="表格文字"/>
    <w:basedOn w:val="1"/>
    <w:qFormat/>
    <w:uiPriority w:val="0"/>
    <w:pPr>
      <w:jc w:val="center"/>
    </w:pPr>
  </w:style>
  <w:style w:type="paragraph" w:customStyle="1" w:styleId="69">
    <w:name w:val="表格1"/>
    <w:basedOn w:val="1"/>
    <w:qFormat/>
    <w:uiPriority w:val="0"/>
    <w:pPr>
      <w:adjustRightInd w:val="0"/>
      <w:spacing w:line="20" w:lineRule="atLeast"/>
      <w:jc w:val="center"/>
      <w:textAlignment w:val="center"/>
    </w:pPr>
    <w:rPr>
      <w:rFonts w:ascii="宋体"/>
      <w:szCs w:val="20"/>
    </w:rPr>
  </w:style>
  <w:style w:type="paragraph" w:customStyle="1" w:styleId="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1">
    <w:name w:val="正本"/>
    <w:basedOn w:val="1"/>
    <w:qFormat/>
    <w:uiPriority w:val="0"/>
    <w:pPr>
      <w:spacing w:line="360" w:lineRule="auto"/>
      <w:ind w:left="198"/>
      <w:jc w:val="left"/>
    </w:pPr>
    <w:rPr>
      <w:rFonts w:ascii="宋体" w:hAnsi="宋体"/>
      <w:sz w:val="24"/>
      <w:szCs w:val="20"/>
    </w:rPr>
  </w:style>
  <w:style w:type="paragraph" w:customStyle="1" w:styleId="72">
    <w:name w:val="表文字"/>
    <w:qFormat/>
    <w:uiPriority w:val="0"/>
    <w:pPr>
      <w:widowControl w:val="0"/>
      <w:adjustRightInd w:val="0"/>
      <w:snapToGrid w:val="0"/>
      <w:spacing w:line="270" w:lineRule="exact"/>
      <w:ind w:left="57" w:right="57"/>
      <w:jc w:val="center"/>
    </w:pPr>
    <w:rPr>
      <w:rFonts w:ascii="Times New Roman" w:hAnsi="Times New Roman" w:eastAsia="宋体" w:cs="Times New Roman"/>
      <w:kern w:val="18"/>
      <w:sz w:val="18"/>
      <w:lang w:val="en-GB" w:eastAsia="zh-CN" w:bidi="ar-SA"/>
    </w:rPr>
  </w:style>
  <w:style w:type="paragraph" w:customStyle="1" w:styleId="73">
    <w:name w:val="BG1"/>
    <w:basedOn w:val="1"/>
    <w:qFormat/>
    <w:uiPriority w:val="0"/>
    <w:pPr>
      <w:spacing w:line="360" w:lineRule="auto"/>
      <w:ind w:firstLine="422" w:firstLineChars="200"/>
      <w:jc w:val="center"/>
    </w:pPr>
    <w:rPr>
      <w:b/>
      <w:bCs/>
      <w:color w:val="000000"/>
      <w:kern w:val="0"/>
    </w:rPr>
  </w:style>
  <w:style w:type="paragraph" w:customStyle="1" w:styleId="74">
    <w:name w:val="ZW"/>
    <w:basedOn w:val="71"/>
    <w:qFormat/>
    <w:uiPriority w:val="0"/>
    <w:pPr>
      <w:adjustRightInd w:val="0"/>
      <w:snapToGrid w:val="0"/>
      <w:ind w:left="0" w:firstLine="200" w:firstLineChars="200"/>
      <w:jc w:val="both"/>
    </w:pPr>
    <w:rPr>
      <w:rFonts w:ascii="Times New Roman" w:hAnsi="Times New Roman" w:eastAsia="仿宋_GB2312"/>
      <w:kern w:val="0"/>
      <w:sz w:val="28"/>
      <w:szCs w:val="24"/>
    </w:rPr>
  </w:style>
  <w:style w:type="paragraph" w:customStyle="1" w:styleId="75">
    <w:name w:val="!正文"/>
    <w:basedOn w:val="1"/>
    <w:qFormat/>
    <w:uiPriority w:val="0"/>
    <w:pPr>
      <w:spacing w:line="480" w:lineRule="exact"/>
      <w:ind w:firstLine="480" w:firstLineChars="200"/>
    </w:pPr>
    <w:rPr>
      <w:rFonts w:hAnsi="宋体" w:cs="宋体"/>
    </w:rPr>
  </w:style>
  <w:style w:type="paragraph" w:styleId="76">
    <w:name w:val="Quote"/>
    <w:basedOn w:val="1"/>
    <w:next w:val="1"/>
    <w:qFormat/>
    <w:uiPriority w:val="0"/>
    <w:pPr>
      <w:jc w:val="center"/>
    </w:pPr>
    <w:rPr>
      <w:b/>
      <w:iCs/>
      <w:color w:val="000000"/>
      <w:lang w:eastAsia="en-US" w:bidi="en-US"/>
    </w:rPr>
  </w:style>
  <w:style w:type="paragraph" w:customStyle="1" w:styleId="77">
    <w:name w:val="卓龙正文"/>
    <w:basedOn w:val="1"/>
    <w:qFormat/>
    <w:uiPriority w:val="99"/>
    <w:pPr>
      <w:spacing w:line="360" w:lineRule="auto"/>
      <w:ind w:firstLine="200" w:firstLineChars="200"/>
    </w:pPr>
    <w:rPr>
      <w:sz w:val="24"/>
    </w:rPr>
  </w:style>
  <w:style w:type="paragraph" w:customStyle="1" w:styleId="7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styleId="80">
    <w:name w:val="Intense Quote"/>
    <w:basedOn w:val="1"/>
    <w:next w:val="1"/>
    <w:qFormat/>
    <w:uiPriority w:val="0"/>
    <w:pPr>
      <w:jc w:val="center"/>
    </w:pPr>
    <w:rPr>
      <w:bCs/>
      <w:iCs/>
      <w:lang w:eastAsia="en-US" w:bidi="en-US"/>
    </w:rPr>
  </w:style>
  <w:style w:type="paragraph" w:customStyle="1" w:styleId="81">
    <w:name w:val="hj正文"/>
    <w:basedOn w:val="1"/>
    <w:qFormat/>
    <w:uiPriority w:val="0"/>
    <w:pPr>
      <w:ind w:firstLine="480" w:firstLineChars="200"/>
    </w:pPr>
  </w:style>
  <w:style w:type="paragraph" w:customStyle="1" w:styleId="82">
    <w:name w:val="段落"/>
    <w:basedOn w:val="1"/>
    <w:qFormat/>
    <w:uiPriority w:val="0"/>
    <w:pPr>
      <w:tabs>
        <w:tab w:val="left" w:pos="1021"/>
      </w:tabs>
      <w:ind w:firstLine="480" w:firstLineChars="200"/>
    </w:pPr>
    <w:rPr>
      <w:kern w:val="24"/>
    </w:rPr>
  </w:style>
  <w:style w:type="paragraph" w:customStyle="1" w:styleId="83">
    <w:name w:val="Table Paragraph"/>
    <w:basedOn w:val="1"/>
    <w:qFormat/>
    <w:uiPriority w:val="1"/>
    <w:rPr>
      <w:rFonts w:eastAsia="Times New Roman"/>
    </w:rPr>
  </w:style>
  <w:style w:type="paragraph" w:customStyle="1" w:styleId="84">
    <w:name w:val="环评正文"/>
    <w:basedOn w:val="1"/>
    <w:qFormat/>
    <w:uiPriority w:val="0"/>
    <w:pPr>
      <w:spacing w:beforeLines="30"/>
      <w:ind w:firstLine="200" w:firstLineChars="200"/>
    </w:pPr>
    <w:rPr>
      <w:kern w:val="0"/>
      <w:sz w:val="24"/>
      <w:szCs w:val="20"/>
    </w:rPr>
  </w:style>
  <w:style w:type="paragraph" w:customStyle="1" w:styleId="85">
    <w:name w:val="简单回函地址"/>
    <w:basedOn w:val="1"/>
    <w:qFormat/>
    <w:uiPriority w:val="0"/>
    <w:rPr>
      <w:szCs w:val="20"/>
    </w:rPr>
  </w:style>
  <w:style w:type="paragraph" w:customStyle="1" w:styleId="86">
    <w:name w:val="样式 正文缩进首行缩进两字标题4正文不缩进s4正文（首行缩进两字） Char Char Char Char Char ..."/>
    <w:basedOn w:val="9"/>
    <w:qFormat/>
    <w:uiPriority w:val="99"/>
    <w:pPr>
      <w:adjustRightInd w:val="0"/>
      <w:snapToGrid w:val="0"/>
      <w:ind w:firstLine="495"/>
    </w:pPr>
    <w:rPr>
      <w:rFonts w:ascii="Times New Roman" w:hAnsi="Times New Roman"/>
      <w:sz w:val="24"/>
    </w:rPr>
  </w:style>
  <w:style w:type="paragraph" w:customStyle="1" w:styleId="87">
    <w:name w:val="报告表小标题"/>
    <w:basedOn w:val="1"/>
    <w:qFormat/>
    <w:uiPriority w:val="0"/>
    <w:pPr>
      <w:spacing w:before="100" w:beforeAutospacing="1" w:line="360" w:lineRule="auto"/>
    </w:pPr>
    <w:rPr>
      <w:b/>
      <w:sz w:val="24"/>
    </w:rPr>
  </w:style>
  <w:style w:type="paragraph" w:customStyle="1" w:styleId="88">
    <w:name w:val="（正文）"/>
    <w:basedOn w:val="1"/>
    <w:qFormat/>
    <w:uiPriority w:val="0"/>
    <w:pPr>
      <w:ind w:firstLine="200" w:firstLineChars="200"/>
    </w:pPr>
    <w:rPr>
      <w:rFonts w:ascii="Times New Roman" w:hAnsi="Times New Roman"/>
      <w:szCs w:val="20"/>
    </w:rPr>
  </w:style>
  <w:style w:type="paragraph" w:customStyle="1" w:styleId="8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90">
    <w:name w:val="t_tag"/>
    <w:basedOn w:val="31"/>
    <w:qFormat/>
    <w:uiPriority w:val="0"/>
  </w:style>
  <w:style w:type="paragraph" w:customStyle="1" w:styleId="91">
    <w:name w:val="BG"/>
    <w:basedOn w:val="74"/>
    <w:qFormat/>
    <w:uiPriority w:val="0"/>
    <w:pPr>
      <w:ind w:firstLine="0" w:firstLineChars="0"/>
      <w:jc w:val="center"/>
    </w:pPr>
    <w:rPr>
      <w:b/>
      <w:sz w:val="21"/>
    </w:rPr>
  </w:style>
  <w:style w:type="paragraph" w:customStyle="1" w:styleId="92">
    <w:name w:val="表格内容"/>
    <w:basedOn w:val="1"/>
    <w:qFormat/>
    <w:uiPriority w:val="0"/>
    <w:pPr>
      <w:framePr w:hSpace="180" w:wrap="around" w:vAnchor="text" w:hAnchor="text" w:xAlign="center" w:y="1"/>
      <w:widowControl/>
      <w:adjustRightInd w:val="0"/>
      <w:snapToGrid w:val="0"/>
      <w:spacing w:line="300" w:lineRule="atLeast"/>
      <w:jc w:val="center"/>
    </w:pPr>
    <w:rPr>
      <w:rFonts w:ascii="宋体" w:hAnsi="宋体" w:cs="宋体"/>
      <w:bCs/>
      <w:kern w:val="0"/>
      <w:sz w:val="21"/>
      <w:szCs w:val="21"/>
    </w:rPr>
  </w:style>
  <w:style w:type="paragraph" w:customStyle="1" w:styleId="93">
    <w:name w:val="表格文字2"/>
    <w:basedOn w:val="1"/>
    <w:qFormat/>
    <w:uiPriority w:val="0"/>
    <w:pPr>
      <w:tabs>
        <w:tab w:val="left" w:pos="277"/>
        <w:tab w:val="left" w:pos="600"/>
        <w:tab w:val="left" w:pos="780"/>
        <w:tab w:val="left" w:pos="2517"/>
      </w:tabs>
      <w:adjustRightInd w:val="0"/>
      <w:jc w:val="center"/>
      <w:textAlignment w:val="baseline"/>
    </w:pPr>
    <w:rPr>
      <w:rFonts w:ascii="宋体" w:hAnsi="宋体"/>
      <w:kern w:val="0"/>
      <w:szCs w:val="20"/>
    </w:rPr>
  </w:style>
  <w:style w:type="paragraph" w:customStyle="1" w:styleId="94">
    <w:name w:val="00000"/>
    <w:qFormat/>
    <w:uiPriority w:val="0"/>
    <w:rPr>
      <w:rFonts w:ascii="Times New Roman" w:hAnsi="Times New Roman" w:eastAsia="仿宋" w:cs="Times New Roman"/>
      <w:kern w:val="2"/>
      <w:sz w:val="21"/>
      <w:lang w:val="en-US" w:eastAsia="zh-CN" w:bidi="ar-SA"/>
    </w:rPr>
  </w:style>
  <w:style w:type="table" w:customStyle="1" w:styleId="95">
    <w:name w:val="Table Normal"/>
    <w:unhideWhenUsed/>
    <w:qFormat/>
    <w:uiPriority w:val="0"/>
    <w:tblPr>
      <w:tblCellMar>
        <w:top w:w="0" w:type="dxa"/>
        <w:left w:w="0" w:type="dxa"/>
        <w:bottom w:w="0" w:type="dxa"/>
        <w:right w:w="0" w:type="dxa"/>
      </w:tblCellMar>
    </w:tblPr>
  </w:style>
  <w:style w:type="paragraph" w:customStyle="1" w:styleId="96">
    <w:name w:val="列出段落2"/>
    <w:basedOn w:val="1"/>
    <w:qFormat/>
    <w:uiPriority w:val="0"/>
    <w:pPr>
      <w:ind w:firstLine="200" w:firstLineChars="200"/>
    </w:pPr>
  </w:style>
  <w:style w:type="paragraph" w:customStyle="1" w:styleId="97">
    <w:name w:val="正文何黎"/>
    <w:basedOn w:val="1"/>
    <w:qFormat/>
    <w:uiPriority w:val="0"/>
    <w:pPr>
      <w:spacing w:line="360" w:lineRule="auto"/>
      <w:ind w:firstLine="480" w:firstLineChars="200"/>
    </w:pPr>
    <w:rPr>
      <w:rFonts w:hAnsi="宋体" w:cs="Times New Roman"/>
      <w:kern w:val="0"/>
      <w:sz w:val="24"/>
    </w:rPr>
  </w:style>
  <w:style w:type="paragraph" w:customStyle="1" w:styleId="98">
    <w:name w:val="正文1"/>
    <w:basedOn w:val="1"/>
    <w:qFormat/>
    <w:uiPriority w:val="0"/>
    <w:pPr>
      <w:tabs>
        <w:tab w:val="left" w:pos="22680"/>
      </w:tabs>
      <w:spacing w:line="360" w:lineRule="auto"/>
      <w:ind w:firstLine="602" w:firstLineChars="200"/>
      <w:jc w:val="left"/>
    </w:pPr>
    <w:rPr>
      <w:rFonts w:ascii="宋体" w:hAnsi="宋体"/>
      <w:sz w:val="30"/>
      <w:szCs w:val="20"/>
    </w:rPr>
  </w:style>
  <w:style w:type="paragraph" w:customStyle="1" w:styleId="99">
    <w:name w:val="表格标题"/>
    <w:basedOn w:val="1"/>
    <w:qFormat/>
    <w:uiPriority w:val="0"/>
    <w:pPr>
      <w:spacing w:line="360" w:lineRule="auto"/>
      <w:jc w:val="center"/>
    </w:pPr>
    <w:rPr>
      <w:b/>
      <w:bCs/>
      <w:szCs w:val="20"/>
    </w:rPr>
  </w:style>
  <w:style w:type="character" w:customStyle="1" w:styleId="100">
    <w:name w:val="font41"/>
    <w:basedOn w:val="31"/>
    <w:qFormat/>
    <w:uiPriority w:val="0"/>
    <w:rPr>
      <w:rFonts w:hint="default" w:ascii="Times New Roman" w:hAnsi="Times New Roman" w:cs="Times New Roman"/>
      <w:color w:val="000000"/>
      <w:sz w:val="24"/>
      <w:szCs w:val="24"/>
      <w:u w:val="none"/>
    </w:rPr>
  </w:style>
  <w:style w:type="character" w:customStyle="1" w:styleId="101">
    <w:name w:val="font51"/>
    <w:basedOn w:val="31"/>
    <w:qFormat/>
    <w:uiPriority w:val="0"/>
    <w:rPr>
      <w:rFonts w:hint="eastAsia" w:ascii="宋体" w:hAnsi="宋体" w:eastAsia="宋体" w:cs="宋体"/>
      <w:color w:val="000000"/>
      <w:sz w:val="24"/>
      <w:szCs w:val="24"/>
      <w:u w:val="none"/>
    </w:rPr>
  </w:style>
  <w:style w:type="paragraph" w:customStyle="1" w:styleId="102">
    <w:name w:val="正文首行缩进2个字"/>
    <w:basedOn w:val="1"/>
    <w:qFormat/>
    <w:uiPriority w:val="0"/>
    <w:pPr>
      <w:spacing w:line="360" w:lineRule="auto"/>
      <w:ind w:firstLine="200" w:firstLineChars="200"/>
    </w:pPr>
    <w:rPr>
      <w:rFonts w:cs="Times New Roman"/>
      <w:sz w:val="24"/>
      <w:szCs w:val="20"/>
    </w:rPr>
  </w:style>
  <w:style w:type="character" w:customStyle="1" w:styleId="103">
    <w:name w:val="font21"/>
    <w:basedOn w:val="31"/>
    <w:qFormat/>
    <w:uiPriority w:val="0"/>
    <w:rPr>
      <w:rFonts w:hint="eastAsia" w:ascii="宋体" w:hAnsi="宋体" w:eastAsia="宋体" w:cs="宋体"/>
      <w:color w:val="000000"/>
      <w:sz w:val="24"/>
      <w:szCs w:val="24"/>
      <w:u w:val="none"/>
    </w:rPr>
  </w:style>
  <w:style w:type="paragraph" w:customStyle="1" w:styleId="104">
    <w:name w:val="BodyTextIndent"/>
    <w:basedOn w:val="1"/>
    <w:qFormat/>
    <w:uiPriority w:val="0"/>
    <w:pPr>
      <w:jc w:val="center"/>
    </w:pPr>
  </w:style>
  <w:style w:type="paragraph" w:customStyle="1" w:styleId="105">
    <w:name w:val="HJ-表格"/>
    <w:basedOn w:val="1"/>
    <w:qFormat/>
    <w:uiPriority w:val="0"/>
    <w:pPr>
      <w:widowControl w:val="0"/>
      <w:adjustRightInd/>
      <w:snapToGrid/>
      <w:spacing w:after="0"/>
      <w:jc w:val="center"/>
    </w:pPr>
    <w:rPr>
      <w:rFonts w:asciiTheme="minorHAnsi" w:hAnsiTheme="minorHAnsi"/>
      <w:b/>
      <w:sz w:val="18"/>
    </w:rPr>
  </w:style>
  <w:style w:type="paragraph" w:customStyle="1" w:styleId="106">
    <w:name w:val="正文（用）"/>
    <w:basedOn w:val="1"/>
    <w:qFormat/>
    <w:uiPriority w:val="0"/>
    <w:pPr>
      <w:widowControl w:val="0"/>
      <w:adjustRightInd/>
      <w:snapToGrid/>
      <w:spacing w:after="0" w:line="360" w:lineRule="auto"/>
      <w:ind w:firstLine="480" w:firstLineChars="200"/>
    </w:pPr>
    <w:rPr>
      <w:rFonts w:ascii="宋体" w:hAnsi="宋体" w:eastAsia="宋体" w:cs="宋体"/>
      <w:kern w:val="2"/>
      <w:sz w:val="24"/>
      <w:szCs w:val="20"/>
    </w:rPr>
  </w:style>
  <w:style w:type="paragraph" w:customStyle="1" w:styleId="107">
    <w:name w:val="List Paragraph"/>
    <w:basedOn w:val="1"/>
    <w:qFormat/>
    <w:uiPriority w:val="0"/>
    <w:pPr>
      <w:ind w:firstLine="420" w:firstLineChars="200"/>
    </w:pPr>
    <w:rPr>
      <w:sz w:val="32"/>
      <w:szCs w:val="32"/>
    </w:rPr>
  </w:style>
  <w:style w:type="paragraph" w:customStyle="1" w:styleId="108">
    <w:name w:val="小四居中"/>
    <w:next w:val="53"/>
    <w:qFormat/>
    <w:uiPriority w:val="0"/>
    <w:pPr>
      <w:spacing w:line="360" w:lineRule="auto"/>
      <w:jc w:val="center"/>
    </w:pPr>
    <w:rPr>
      <w:rFonts w:ascii="Times New Roman" w:hAnsi="Times New Roman" w:eastAsia="宋体" w:cs="Times New Roman"/>
      <w:sz w:val="24"/>
      <w:lang w:val="en-US" w:eastAsia="zh-CN" w:bidi="ar-SA"/>
    </w:rPr>
  </w:style>
  <w:style w:type="character" w:customStyle="1" w:styleId="109">
    <w:name w:val="font31"/>
    <w:basedOn w:val="31"/>
    <w:qFormat/>
    <w:uiPriority w:val="0"/>
    <w:rPr>
      <w:rFonts w:hint="eastAsia" w:ascii="宋体" w:hAnsi="宋体" w:eastAsia="宋体" w:cs="宋体"/>
      <w:color w:val="000000"/>
      <w:sz w:val="21"/>
      <w:szCs w:val="21"/>
      <w:u w:val="none"/>
    </w:rPr>
  </w:style>
  <w:style w:type="paragraph" w:customStyle="1" w:styleId="110">
    <w:name w:val="引用1"/>
    <w:basedOn w:val="1"/>
    <w:next w:val="1"/>
    <w:autoRedefine/>
    <w:qFormat/>
    <w:uiPriority w:val="0"/>
    <w:pPr>
      <w:jc w:val="center"/>
    </w:pPr>
    <w:rPr>
      <w:b/>
      <w:iCs/>
      <w:color w:val="00000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44</Pages>
  <Words>19234</Words>
  <Characters>21704</Characters>
  <Lines>389</Lines>
  <Paragraphs>109</Paragraphs>
  <TotalTime>28</TotalTime>
  <ScaleCrop>false</ScaleCrop>
  <LinksUpToDate>false</LinksUpToDate>
  <CharactersWithSpaces>21801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2021-04-07T14:00:00Z</dcterms:created>
  <dc:creator>怎么</dc:creator>
  <cp:lastModifiedBy>美</cp:lastModifiedBy>
  <cp:lastPrinted>2023-02-04T00:49:00Z</cp:lastPrinted>
  <dcterms:modified xsi:type="dcterms:W3CDTF">2024-10-17T03:48:05Z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091B9A30CB3C4672B7233C70538F2A8A_13</vt:lpwstr>
  </property>
</Properties>
</file>