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8"/>
        <w:jc w:val="center"/>
        <w:rPr>
          <w:rFonts w:eastAsia="黑体"/>
          <w:sz w:val="52"/>
          <w:szCs w:val="52"/>
        </w:rPr>
      </w:pPr>
      <w:bookmarkStart w:id="0" w:name="_Toc525302342"/>
    </w:p>
    <w:p>
      <w:pPr>
        <w:pStyle w:val="58"/>
        <w:jc w:val="center"/>
        <w:rPr>
          <w:rFonts w:eastAsia="黑体"/>
          <w:sz w:val="52"/>
          <w:szCs w:val="52"/>
        </w:rPr>
      </w:pPr>
    </w:p>
    <w:p>
      <w:pPr>
        <w:jc w:val="center"/>
        <w:rPr>
          <w:rFonts w:ascii="Times New Roman" w:hAnsi="Times New Roman" w:eastAsia="方正小标宋简体"/>
          <w:spacing w:val="14"/>
          <w:sz w:val="60"/>
          <w:szCs w:val="60"/>
        </w:rPr>
      </w:pPr>
      <w:r>
        <w:rPr>
          <w:rFonts w:ascii="Times New Roman" w:hAnsi="Times New Roman" w:eastAsia="方正小标宋简体"/>
          <w:spacing w:val="14"/>
          <w:sz w:val="60"/>
          <w:szCs w:val="60"/>
        </w:rPr>
        <w:t>澧县“十四五”脱贫主导特色</w:t>
      </w:r>
    </w:p>
    <w:p>
      <w:pPr>
        <w:jc w:val="center"/>
        <w:rPr>
          <w:rFonts w:ascii="Times New Roman" w:hAnsi="Times New Roman" w:eastAsia="方正小标宋简体"/>
          <w:spacing w:val="14"/>
          <w:sz w:val="60"/>
          <w:szCs w:val="60"/>
        </w:rPr>
      </w:pPr>
      <w:r>
        <w:rPr>
          <w:rFonts w:ascii="Times New Roman" w:hAnsi="Times New Roman" w:eastAsia="方正小标宋简体"/>
          <w:spacing w:val="14"/>
          <w:sz w:val="60"/>
          <w:szCs w:val="60"/>
        </w:rPr>
        <w:t>产业发展规划</w:t>
      </w:r>
    </w:p>
    <w:p>
      <w:pPr>
        <w:pStyle w:val="58"/>
        <w:rPr>
          <w:rFonts w:eastAsia="黑体"/>
          <w:sz w:val="72"/>
          <w:szCs w:val="72"/>
        </w:rPr>
      </w:pPr>
    </w:p>
    <w:p>
      <w:pPr>
        <w:pStyle w:val="58"/>
        <w:jc w:val="center"/>
      </w:pPr>
    </w:p>
    <w:p>
      <w:pPr>
        <w:pStyle w:val="58"/>
      </w:pPr>
    </w:p>
    <w:p>
      <w:pPr>
        <w:pStyle w:val="58"/>
      </w:pPr>
    </w:p>
    <w:p>
      <w:pPr>
        <w:pStyle w:val="58"/>
        <w:jc w:val="center"/>
        <w:rPr>
          <w:rFonts w:eastAsia="黑体"/>
          <w:sz w:val="72"/>
          <w:szCs w:val="72"/>
        </w:rPr>
      </w:pPr>
    </w:p>
    <w:p>
      <w:pPr>
        <w:pStyle w:val="58"/>
      </w:pPr>
    </w:p>
    <w:p>
      <w:pPr>
        <w:pStyle w:val="58"/>
      </w:pPr>
    </w:p>
    <w:p>
      <w:pPr>
        <w:pStyle w:val="58"/>
      </w:pPr>
    </w:p>
    <w:p>
      <w:pPr>
        <w:pStyle w:val="58"/>
      </w:pPr>
    </w:p>
    <w:p>
      <w:pPr>
        <w:pStyle w:val="58"/>
      </w:pPr>
    </w:p>
    <w:p>
      <w:pPr>
        <w:pStyle w:val="58"/>
      </w:pPr>
    </w:p>
    <w:p>
      <w:pPr>
        <w:pStyle w:val="58"/>
      </w:pPr>
    </w:p>
    <w:p>
      <w:pPr>
        <w:pStyle w:val="58"/>
      </w:pPr>
    </w:p>
    <w:p>
      <w:pPr>
        <w:pStyle w:val="58"/>
      </w:pPr>
    </w:p>
    <w:p>
      <w:pPr>
        <w:pStyle w:val="58"/>
      </w:pPr>
    </w:p>
    <w:p>
      <w:pPr>
        <w:pStyle w:val="58"/>
      </w:pPr>
    </w:p>
    <w:p>
      <w:pPr>
        <w:pStyle w:val="58"/>
      </w:pPr>
    </w:p>
    <w:p>
      <w:pPr>
        <w:pStyle w:val="58"/>
      </w:pPr>
    </w:p>
    <w:p>
      <w:pPr>
        <w:pStyle w:val="58"/>
      </w:pPr>
    </w:p>
    <w:p>
      <w:pPr>
        <w:pStyle w:val="58"/>
        <w:jc w:val="center"/>
        <w:rPr>
          <w:b/>
          <w:sz w:val="36"/>
          <w:szCs w:val="44"/>
        </w:rPr>
      </w:pPr>
    </w:p>
    <w:p>
      <w:pPr>
        <w:pStyle w:val="58"/>
        <w:jc w:val="center"/>
        <w:rPr>
          <w:b/>
          <w:sz w:val="36"/>
          <w:szCs w:val="44"/>
        </w:rPr>
      </w:pPr>
      <w:r>
        <w:rPr>
          <w:b/>
          <w:sz w:val="36"/>
          <w:szCs w:val="44"/>
        </w:rPr>
        <w:t>澧县农业农村局</w:t>
      </w:r>
    </w:p>
    <w:p>
      <w:pPr>
        <w:pStyle w:val="58"/>
        <w:jc w:val="center"/>
        <w:rPr>
          <w:b/>
          <w:sz w:val="36"/>
          <w:szCs w:val="44"/>
        </w:rPr>
      </w:pPr>
      <w:r>
        <w:rPr>
          <w:b/>
          <w:sz w:val="36"/>
          <w:szCs w:val="44"/>
        </w:rPr>
        <w:t>二○二一年十二月</w:t>
      </w:r>
    </w:p>
    <w:p>
      <w:pPr>
        <w:pStyle w:val="58"/>
      </w:pPr>
    </w:p>
    <w:p>
      <w:pPr>
        <w:pStyle w:val="58"/>
      </w:pPr>
    </w:p>
    <w:p>
      <w:pPr>
        <w:pStyle w:val="2"/>
        <w:keepNext w:val="0"/>
        <w:keepLines w:val="0"/>
        <w:overflowPunct w:val="0"/>
        <w:autoSpaceDE w:val="0"/>
        <w:autoSpaceDN w:val="0"/>
        <w:adjustRightInd w:val="0"/>
        <w:snapToGrid w:val="0"/>
        <w:spacing w:before="120" w:after="120" w:line="360" w:lineRule="auto"/>
        <w:textAlignment w:val="baseline"/>
        <w:rPr>
          <w:rFonts w:eastAsia="黑体"/>
          <w:b w:val="0"/>
          <w:bCs w:val="0"/>
          <w:spacing w:val="-10"/>
          <w:kern w:val="20"/>
          <w:sz w:val="36"/>
          <w:szCs w:val="32"/>
        </w:rPr>
      </w:pPr>
      <w:bookmarkStart w:id="1" w:name="_Toc525882700"/>
      <w:bookmarkStart w:id="2" w:name="_Toc516600611"/>
      <w:bookmarkStart w:id="3" w:name="_Toc530477310"/>
      <w:bookmarkStart w:id="4" w:name="_Toc527324131"/>
      <w:bookmarkStart w:id="5" w:name="_Toc527536223"/>
      <w:bookmarkStart w:id="6" w:name="_Toc529648177"/>
      <w:bookmarkStart w:id="7" w:name="_Toc530342849"/>
      <w:bookmarkStart w:id="8" w:name="_Toc530343119"/>
      <w:bookmarkStart w:id="9" w:name="_Toc529716062"/>
      <w:bookmarkStart w:id="10" w:name="_Toc525882843"/>
      <w:bookmarkStart w:id="11" w:name="_Toc529284235"/>
      <w:bookmarkStart w:id="12" w:name="_Toc525631029"/>
      <w:bookmarkStart w:id="13" w:name="_Toc516574672"/>
      <w:bookmarkStart w:id="14" w:name="_Toc522285398"/>
      <w:bookmarkStart w:id="15" w:name="_Toc516653518"/>
      <w:bookmarkStart w:id="16" w:name="_Toc530407916"/>
      <w:bookmarkStart w:id="17" w:name="_Toc529700911"/>
      <w:bookmarkStart w:id="18" w:name="_Toc525847614"/>
      <w:bookmarkStart w:id="19" w:name="_Toc525918856"/>
    </w:p>
    <w:p>
      <w:pPr>
        <w:pStyle w:val="2"/>
        <w:keepNext w:val="0"/>
        <w:keepLines w:val="0"/>
        <w:overflowPunct w:val="0"/>
        <w:autoSpaceDE w:val="0"/>
        <w:autoSpaceDN w:val="0"/>
        <w:adjustRightInd w:val="0"/>
        <w:snapToGrid w:val="0"/>
        <w:spacing w:before="120" w:after="120" w:line="390" w:lineRule="exact"/>
        <w:jc w:val="center"/>
        <w:textAlignment w:val="baseline"/>
        <w:rPr>
          <w:rFonts w:eastAsia="黑体"/>
          <w:b w:val="0"/>
          <w:bCs w:val="0"/>
          <w:spacing w:val="-10"/>
          <w:kern w:val="20"/>
          <w:sz w:val="36"/>
          <w:szCs w:val="32"/>
        </w:rPr>
        <w:sectPr>
          <w:headerReference r:id="rId3" w:type="default"/>
          <w:footerReference r:id="rId4" w:type="default"/>
          <w:pgSz w:w="11906" w:h="16838"/>
          <w:pgMar w:top="1440" w:right="1800" w:bottom="1440" w:left="1800" w:header="851" w:footer="992" w:gutter="0"/>
          <w:pgNumType w:fmt="upperRoman" w:start="1"/>
          <w:cols w:space="425" w:num="1"/>
          <w:docGrid w:type="lines" w:linePitch="312" w:charSpace="0"/>
        </w:sectPr>
      </w:pPr>
      <w:bookmarkStart w:id="20" w:name="_Toc16855229"/>
      <w:bookmarkStart w:id="21" w:name="_Toc28789589"/>
      <w:bookmarkStart w:id="22" w:name="_Toc8057107"/>
      <w:bookmarkStart w:id="23" w:name="_Toc5726982"/>
      <w:bookmarkStart w:id="24" w:name="_Toc4944043"/>
      <w:bookmarkStart w:id="25" w:name="_Toc28893728"/>
      <w:bookmarkStart w:id="26" w:name="_Toc25242329"/>
      <w:bookmarkStart w:id="27" w:name="_Toc25241981"/>
      <w:bookmarkStart w:id="28" w:name="_Toc50488865"/>
    </w:p>
    <w:p>
      <w:pPr>
        <w:pStyle w:val="2"/>
        <w:keepNext w:val="0"/>
        <w:keepLines w:val="0"/>
        <w:overflowPunct w:val="0"/>
        <w:autoSpaceDE w:val="0"/>
        <w:autoSpaceDN w:val="0"/>
        <w:adjustRightInd w:val="0"/>
        <w:snapToGrid w:val="0"/>
        <w:spacing w:before="120" w:after="120" w:line="390" w:lineRule="exact"/>
        <w:jc w:val="center"/>
        <w:textAlignment w:val="baseline"/>
        <w:rPr>
          <w:rFonts w:eastAsia="仿宋_GB2312"/>
          <w:b w:val="0"/>
          <w:sz w:val="28"/>
          <w:szCs w:val="28"/>
        </w:rPr>
      </w:pPr>
      <w:bookmarkStart w:id="29" w:name="_Toc56873833"/>
      <w:bookmarkStart w:id="30" w:name="_Toc53842264"/>
      <w:bookmarkStart w:id="31" w:name="_Toc56875327"/>
      <w:bookmarkStart w:id="32" w:name="_Toc87993493"/>
      <w:r>
        <w:rPr>
          <w:rFonts w:eastAsia="黑体"/>
          <w:b w:val="0"/>
          <w:bCs w:val="0"/>
          <w:spacing w:val="-10"/>
          <w:kern w:val="20"/>
          <w:sz w:val="36"/>
          <w:szCs w:val="32"/>
        </w:rPr>
        <w:t>目</w:t>
      </w:r>
      <w:r>
        <w:rPr>
          <w:rFonts w:hint="eastAsia" w:eastAsia="黑体"/>
          <w:b w:val="0"/>
          <w:bCs w:val="0"/>
          <w:spacing w:val="-10"/>
          <w:kern w:val="20"/>
          <w:sz w:val="36"/>
          <w:szCs w:val="32"/>
        </w:rPr>
        <w:t xml:space="preserve"> </w:t>
      </w:r>
      <w:r>
        <w:rPr>
          <w:rFonts w:eastAsia="黑体"/>
          <w:b w:val="0"/>
          <w:bCs w:val="0"/>
          <w:spacing w:val="-10"/>
          <w:kern w:val="20"/>
          <w:sz w:val="36"/>
          <w:szCs w:val="32"/>
        </w:rPr>
        <w:t>录</w:t>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r>
        <w:rPr>
          <w:b w:val="0"/>
          <w:sz w:val="24"/>
          <w:szCs w:val="24"/>
        </w:rPr>
        <w:fldChar w:fldCharType="begin"/>
      </w:r>
      <w:r>
        <w:rPr>
          <w:b w:val="0"/>
          <w:sz w:val="24"/>
          <w:szCs w:val="24"/>
        </w:rPr>
        <w:instrText xml:space="preserve"> TOC \o "1-3" \h \z \u </w:instrText>
      </w:r>
      <w:r>
        <w:rPr>
          <w:b w:val="0"/>
          <w:sz w:val="24"/>
          <w:szCs w:val="24"/>
        </w:rPr>
        <w:fldChar w:fldCharType="separate"/>
      </w:r>
    </w:p>
    <w:p>
      <w:pPr>
        <w:pStyle w:val="18"/>
        <w:tabs>
          <w:tab w:val="left" w:pos="1260"/>
          <w:tab w:val="right" w:leader="dot" w:pos="8296"/>
        </w:tabs>
        <w:rPr>
          <w:rFonts w:ascii="Times New Roman" w:hAnsi="Times New Roman" w:eastAsia="仿宋_GB2312"/>
          <w:sz w:val="28"/>
          <w:szCs w:val="28"/>
        </w:rPr>
      </w:pPr>
      <w:r>
        <w:fldChar w:fldCharType="begin"/>
      </w:r>
      <w:r>
        <w:instrText xml:space="preserve"> HYPERLINK \l "_Toc87993494" </w:instrText>
      </w:r>
      <w:r>
        <w:fldChar w:fldCharType="separate"/>
      </w:r>
      <w:r>
        <w:rPr>
          <w:rStyle w:val="35"/>
          <w:rFonts w:ascii="Times New Roman" w:hAnsi="Times New Roman" w:eastAsia="仿宋_GB2312"/>
          <w:sz w:val="28"/>
          <w:szCs w:val="28"/>
        </w:rPr>
        <w:t>第一章</w:t>
      </w:r>
      <w:r>
        <w:rPr>
          <w:rFonts w:ascii="Times New Roman" w:hAnsi="Times New Roman" w:eastAsia="仿宋_GB2312"/>
          <w:sz w:val="28"/>
          <w:szCs w:val="28"/>
        </w:rPr>
        <w:tab/>
      </w:r>
      <w:r>
        <w:rPr>
          <w:rStyle w:val="35"/>
          <w:rFonts w:ascii="Times New Roman" w:hAnsi="Times New Roman" w:eastAsia="仿宋_GB2312"/>
          <w:sz w:val="28"/>
          <w:szCs w:val="28"/>
        </w:rPr>
        <w:t>规划背景与依据</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_Toc87993494 \h </w:instrText>
      </w:r>
      <w:r>
        <w:rPr>
          <w:rFonts w:ascii="Times New Roman" w:hAnsi="Times New Roman" w:eastAsia="仿宋_GB2312"/>
          <w:sz w:val="28"/>
          <w:szCs w:val="28"/>
        </w:rPr>
        <w:fldChar w:fldCharType="separate"/>
      </w:r>
      <w:r>
        <w:rPr>
          <w:rFonts w:ascii="Times New Roman" w:hAnsi="Times New Roman" w:eastAsia="仿宋_GB2312"/>
          <w:sz w:val="28"/>
          <w:szCs w:val="28"/>
        </w:rPr>
        <w:t>1</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23"/>
        <w:tabs>
          <w:tab w:val="right" w:leader="dot" w:pos="8296"/>
        </w:tabs>
        <w:rPr>
          <w:rFonts w:ascii="Times New Roman" w:hAnsi="Times New Roman" w:eastAsia="仿宋_GB2312"/>
          <w:sz w:val="28"/>
          <w:szCs w:val="28"/>
        </w:rPr>
      </w:pPr>
      <w:r>
        <w:fldChar w:fldCharType="begin"/>
      </w:r>
      <w:r>
        <w:instrText xml:space="preserve"> HYPERLINK \l "_Toc87993495" </w:instrText>
      </w:r>
      <w:r>
        <w:fldChar w:fldCharType="separate"/>
      </w:r>
      <w:r>
        <w:rPr>
          <w:rStyle w:val="35"/>
          <w:rFonts w:ascii="Times New Roman" w:hAnsi="Times New Roman" w:eastAsia="仿宋_GB2312"/>
          <w:sz w:val="28"/>
          <w:szCs w:val="28"/>
        </w:rPr>
        <w:t>1.1规划编制的目的</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_Toc87993495 \h </w:instrText>
      </w:r>
      <w:r>
        <w:rPr>
          <w:rFonts w:ascii="Times New Roman" w:hAnsi="Times New Roman" w:eastAsia="仿宋_GB2312"/>
          <w:sz w:val="28"/>
          <w:szCs w:val="28"/>
        </w:rPr>
        <w:fldChar w:fldCharType="separate"/>
      </w:r>
      <w:r>
        <w:rPr>
          <w:rFonts w:ascii="Times New Roman" w:hAnsi="Times New Roman" w:eastAsia="仿宋_GB2312"/>
          <w:sz w:val="28"/>
          <w:szCs w:val="28"/>
        </w:rPr>
        <w:t>1</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23"/>
        <w:tabs>
          <w:tab w:val="right" w:leader="dot" w:pos="8296"/>
        </w:tabs>
        <w:rPr>
          <w:rFonts w:ascii="Times New Roman" w:hAnsi="Times New Roman" w:eastAsia="仿宋_GB2312"/>
          <w:sz w:val="28"/>
          <w:szCs w:val="28"/>
        </w:rPr>
      </w:pPr>
      <w:r>
        <w:fldChar w:fldCharType="begin"/>
      </w:r>
      <w:r>
        <w:instrText xml:space="preserve"> HYPERLINK \l "_Toc87993496" </w:instrText>
      </w:r>
      <w:r>
        <w:fldChar w:fldCharType="separate"/>
      </w:r>
      <w:r>
        <w:rPr>
          <w:rStyle w:val="35"/>
          <w:rFonts w:ascii="Times New Roman" w:hAnsi="Times New Roman" w:eastAsia="仿宋_GB2312"/>
          <w:sz w:val="28"/>
          <w:szCs w:val="28"/>
        </w:rPr>
        <w:t>1.2规划编制的意义</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_Toc87993496 \h </w:instrText>
      </w:r>
      <w:r>
        <w:rPr>
          <w:rFonts w:ascii="Times New Roman" w:hAnsi="Times New Roman" w:eastAsia="仿宋_GB2312"/>
          <w:sz w:val="28"/>
          <w:szCs w:val="28"/>
        </w:rPr>
        <w:fldChar w:fldCharType="separate"/>
      </w:r>
      <w:r>
        <w:rPr>
          <w:rFonts w:ascii="Times New Roman" w:hAnsi="Times New Roman" w:eastAsia="仿宋_GB2312"/>
          <w:sz w:val="28"/>
          <w:szCs w:val="28"/>
        </w:rPr>
        <w:t>1</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23"/>
        <w:tabs>
          <w:tab w:val="right" w:leader="dot" w:pos="8296"/>
        </w:tabs>
        <w:rPr>
          <w:rFonts w:ascii="Times New Roman" w:hAnsi="Times New Roman" w:eastAsia="仿宋_GB2312"/>
          <w:sz w:val="28"/>
          <w:szCs w:val="28"/>
        </w:rPr>
      </w:pPr>
      <w:r>
        <w:fldChar w:fldCharType="begin"/>
      </w:r>
      <w:r>
        <w:instrText xml:space="preserve"> HYPERLINK \l "_Toc87993497" </w:instrText>
      </w:r>
      <w:r>
        <w:fldChar w:fldCharType="separate"/>
      </w:r>
      <w:r>
        <w:rPr>
          <w:rStyle w:val="35"/>
          <w:rFonts w:ascii="Times New Roman" w:hAnsi="Times New Roman" w:eastAsia="仿宋_GB2312"/>
          <w:sz w:val="28"/>
          <w:szCs w:val="28"/>
        </w:rPr>
        <w:t>1.3规划编制的依据</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_Toc87993497 \h </w:instrText>
      </w:r>
      <w:r>
        <w:rPr>
          <w:rFonts w:ascii="Times New Roman" w:hAnsi="Times New Roman" w:eastAsia="仿宋_GB2312"/>
          <w:sz w:val="28"/>
          <w:szCs w:val="28"/>
        </w:rPr>
        <w:fldChar w:fldCharType="separate"/>
      </w:r>
      <w:r>
        <w:rPr>
          <w:rFonts w:ascii="Times New Roman" w:hAnsi="Times New Roman" w:eastAsia="仿宋_GB2312"/>
          <w:sz w:val="28"/>
          <w:szCs w:val="28"/>
        </w:rPr>
        <w:t>3</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8"/>
        <w:tabs>
          <w:tab w:val="left" w:pos="1260"/>
          <w:tab w:val="right" w:leader="dot" w:pos="8296"/>
        </w:tabs>
        <w:rPr>
          <w:rFonts w:ascii="Times New Roman" w:hAnsi="Times New Roman" w:eastAsia="仿宋_GB2312"/>
          <w:sz w:val="28"/>
          <w:szCs w:val="28"/>
        </w:rPr>
      </w:pPr>
      <w:r>
        <w:fldChar w:fldCharType="begin"/>
      </w:r>
      <w:r>
        <w:instrText xml:space="preserve"> HYPERLINK \l "_Toc87993498" </w:instrText>
      </w:r>
      <w:r>
        <w:fldChar w:fldCharType="separate"/>
      </w:r>
      <w:r>
        <w:rPr>
          <w:rStyle w:val="35"/>
          <w:rFonts w:ascii="Times New Roman" w:hAnsi="Times New Roman" w:eastAsia="仿宋_GB2312"/>
          <w:sz w:val="28"/>
          <w:szCs w:val="28"/>
        </w:rPr>
        <w:t>第二章</w:t>
      </w:r>
      <w:r>
        <w:rPr>
          <w:rFonts w:ascii="Times New Roman" w:hAnsi="Times New Roman" w:eastAsia="仿宋_GB2312"/>
          <w:sz w:val="28"/>
          <w:szCs w:val="28"/>
        </w:rPr>
        <w:tab/>
      </w:r>
      <w:r>
        <w:rPr>
          <w:rStyle w:val="35"/>
          <w:rFonts w:ascii="Times New Roman" w:hAnsi="Times New Roman" w:eastAsia="仿宋_GB2312"/>
          <w:sz w:val="28"/>
          <w:szCs w:val="28"/>
        </w:rPr>
        <w:t>现状分析</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_Toc87993498 \h </w:instrText>
      </w:r>
      <w:r>
        <w:rPr>
          <w:rFonts w:ascii="Times New Roman" w:hAnsi="Times New Roman" w:eastAsia="仿宋_GB2312"/>
          <w:sz w:val="28"/>
          <w:szCs w:val="28"/>
        </w:rPr>
        <w:fldChar w:fldCharType="separate"/>
      </w:r>
      <w:r>
        <w:rPr>
          <w:rFonts w:ascii="Times New Roman" w:hAnsi="Times New Roman" w:eastAsia="仿宋_GB2312"/>
          <w:sz w:val="28"/>
          <w:szCs w:val="28"/>
        </w:rPr>
        <w:t>4</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23"/>
        <w:tabs>
          <w:tab w:val="right" w:leader="dot" w:pos="8296"/>
        </w:tabs>
        <w:rPr>
          <w:rFonts w:ascii="Times New Roman" w:hAnsi="Times New Roman" w:eastAsia="仿宋_GB2312"/>
          <w:sz w:val="28"/>
          <w:szCs w:val="28"/>
        </w:rPr>
      </w:pPr>
      <w:r>
        <w:fldChar w:fldCharType="begin"/>
      </w:r>
      <w:r>
        <w:instrText xml:space="preserve"> HYPERLINK \l "_Toc87993499" </w:instrText>
      </w:r>
      <w:r>
        <w:fldChar w:fldCharType="separate"/>
      </w:r>
      <w:r>
        <w:rPr>
          <w:rStyle w:val="35"/>
          <w:rFonts w:ascii="Times New Roman" w:hAnsi="Times New Roman" w:eastAsia="仿宋_GB2312"/>
          <w:sz w:val="28"/>
          <w:szCs w:val="28"/>
        </w:rPr>
        <w:t>2.1脱贫主导特色产业发展现状</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_Toc87993499 \h </w:instrText>
      </w:r>
      <w:r>
        <w:rPr>
          <w:rFonts w:ascii="Times New Roman" w:hAnsi="Times New Roman" w:eastAsia="仿宋_GB2312"/>
          <w:sz w:val="28"/>
          <w:szCs w:val="28"/>
        </w:rPr>
        <w:fldChar w:fldCharType="separate"/>
      </w:r>
      <w:r>
        <w:rPr>
          <w:rFonts w:ascii="Times New Roman" w:hAnsi="Times New Roman" w:eastAsia="仿宋_GB2312"/>
          <w:sz w:val="28"/>
          <w:szCs w:val="28"/>
        </w:rPr>
        <w:t>4</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"_Toc87993500" </w:instrText>
      </w:r>
      <w:r>
        <w:fldChar w:fldCharType="separate"/>
      </w:r>
      <w:r>
        <w:rPr>
          <w:rStyle w:val="35"/>
          <w:rFonts w:ascii="Times New Roman" w:hAnsi="Times New Roman" w:eastAsia="仿宋_GB2312"/>
          <w:sz w:val="28"/>
          <w:szCs w:val="28"/>
        </w:rPr>
        <w:t>2.1.1提升传统支柱产业</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_Toc87993500 \h </w:instrText>
      </w:r>
      <w:r>
        <w:rPr>
          <w:rFonts w:ascii="Times New Roman" w:hAnsi="Times New Roman" w:eastAsia="仿宋_GB2312"/>
          <w:sz w:val="28"/>
          <w:szCs w:val="28"/>
        </w:rPr>
        <w:fldChar w:fldCharType="separate"/>
      </w:r>
      <w:r>
        <w:rPr>
          <w:rFonts w:ascii="Times New Roman" w:hAnsi="Times New Roman" w:eastAsia="仿宋_GB2312"/>
          <w:sz w:val="28"/>
          <w:szCs w:val="28"/>
        </w:rPr>
        <w:t>4</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"_Toc87993501" </w:instrText>
      </w:r>
      <w:r>
        <w:fldChar w:fldCharType="separate"/>
      </w:r>
      <w:r>
        <w:rPr>
          <w:rStyle w:val="35"/>
          <w:rFonts w:ascii="Times New Roman" w:hAnsi="Times New Roman" w:eastAsia="仿宋_GB2312"/>
          <w:sz w:val="28"/>
          <w:szCs w:val="28"/>
        </w:rPr>
        <w:t>2.1.2打造特色优势产业</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_Toc87993501 \h </w:instrText>
      </w:r>
      <w:r>
        <w:rPr>
          <w:rFonts w:ascii="Times New Roman" w:hAnsi="Times New Roman" w:eastAsia="仿宋_GB2312"/>
          <w:sz w:val="28"/>
          <w:szCs w:val="28"/>
        </w:rPr>
        <w:fldChar w:fldCharType="separate"/>
      </w:r>
      <w:r>
        <w:rPr>
          <w:rFonts w:ascii="Times New Roman" w:hAnsi="Times New Roman" w:eastAsia="仿宋_GB2312"/>
          <w:sz w:val="28"/>
          <w:szCs w:val="28"/>
        </w:rPr>
        <w:t>5</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"_Toc87993502" </w:instrText>
      </w:r>
      <w:r>
        <w:fldChar w:fldCharType="separate"/>
      </w:r>
      <w:r>
        <w:rPr>
          <w:rStyle w:val="35"/>
          <w:rFonts w:ascii="Times New Roman" w:hAnsi="Times New Roman" w:eastAsia="仿宋_GB2312"/>
          <w:sz w:val="28"/>
          <w:szCs w:val="28"/>
        </w:rPr>
        <w:t>2.1.3培育新型经营主体</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_Toc87993502 \h </w:instrText>
      </w:r>
      <w:r>
        <w:rPr>
          <w:rFonts w:ascii="Times New Roman" w:hAnsi="Times New Roman" w:eastAsia="仿宋_GB2312"/>
          <w:sz w:val="28"/>
          <w:szCs w:val="28"/>
        </w:rPr>
        <w:fldChar w:fldCharType="separate"/>
      </w:r>
      <w:r>
        <w:rPr>
          <w:rFonts w:ascii="Times New Roman" w:hAnsi="Times New Roman" w:eastAsia="仿宋_GB2312"/>
          <w:sz w:val="28"/>
          <w:szCs w:val="28"/>
        </w:rPr>
        <w:t>5</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"_Toc87993503" </w:instrText>
      </w:r>
      <w:r>
        <w:fldChar w:fldCharType="separate"/>
      </w:r>
      <w:r>
        <w:rPr>
          <w:rStyle w:val="35"/>
          <w:rFonts w:ascii="Times New Roman" w:hAnsi="Times New Roman" w:eastAsia="仿宋_GB2312"/>
          <w:sz w:val="28"/>
          <w:szCs w:val="28"/>
        </w:rPr>
        <w:t>2.1.4强化农业社会化服务</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_Toc87993503 \h </w:instrText>
      </w:r>
      <w:r>
        <w:rPr>
          <w:rFonts w:ascii="Times New Roman" w:hAnsi="Times New Roman" w:eastAsia="仿宋_GB2312"/>
          <w:sz w:val="28"/>
          <w:szCs w:val="28"/>
        </w:rPr>
        <w:fldChar w:fldCharType="separate"/>
      </w:r>
      <w:r>
        <w:rPr>
          <w:rFonts w:ascii="Times New Roman" w:hAnsi="Times New Roman" w:eastAsia="仿宋_GB2312"/>
          <w:sz w:val="28"/>
          <w:szCs w:val="28"/>
        </w:rPr>
        <w:t>6</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"_Toc87993504" </w:instrText>
      </w:r>
      <w:r>
        <w:fldChar w:fldCharType="separate"/>
      </w:r>
      <w:r>
        <w:rPr>
          <w:rStyle w:val="35"/>
          <w:rFonts w:ascii="Times New Roman" w:hAnsi="Times New Roman" w:eastAsia="仿宋_GB2312"/>
          <w:sz w:val="28"/>
          <w:szCs w:val="28"/>
        </w:rPr>
        <w:t>2.1.</w:t>
      </w:r>
      <w:r>
        <w:rPr>
          <w:rStyle w:val="35"/>
          <w:rFonts w:hint="eastAsia" w:ascii="Times New Roman" w:hAnsi="Times New Roman" w:eastAsia="仿宋_GB2312"/>
          <w:sz w:val="28"/>
          <w:szCs w:val="28"/>
        </w:rPr>
        <w:t>5</w:t>
      </w:r>
      <w:r>
        <w:rPr>
          <w:rStyle w:val="35"/>
          <w:rFonts w:ascii="Times New Roman" w:hAnsi="Times New Roman" w:eastAsia="仿宋_GB2312"/>
          <w:sz w:val="28"/>
          <w:szCs w:val="28"/>
        </w:rPr>
        <w:t>推动产业融合发展</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_Toc87993504 \h </w:instrText>
      </w:r>
      <w:r>
        <w:rPr>
          <w:rFonts w:ascii="Times New Roman" w:hAnsi="Times New Roman" w:eastAsia="仿宋_GB2312"/>
          <w:sz w:val="28"/>
          <w:szCs w:val="28"/>
        </w:rPr>
        <w:fldChar w:fldCharType="separate"/>
      </w:r>
      <w:r>
        <w:rPr>
          <w:rFonts w:ascii="Times New Roman" w:hAnsi="Times New Roman" w:eastAsia="仿宋_GB2312"/>
          <w:sz w:val="28"/>
          <w:szCs w:val="28"/>
        </w:rPr>
        <w:t>6</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"_Toc87993505" </w:instrText>
      </w:r>
      <w:r>
        <w:fldChar w:fldCharType="separate"/>
      </w:r>
      <w:r>
        <w:rPr>
          <w:rStyle w:val="35"/>
          <w:rFonts w:ascii="Times New Roman" w:hAnsi="Times New Roman" w:eastAsia="仿宋_GB2312"/>
          <w:sz w:val="28"/>
          <w:szCs w:val="28"/>
        </w:rPr>
        <w:t>2.1.6狠抓农产品质量安全</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_Toc87993505 \h </w:instrText>
      </w:r>
      <w:r>
        <w:rPr>
          <w:rFonts w:ascii="Times New Roman" w:hAnsi="Times New Roman" w:eastAsia="仿宋_GB2312"/>
          <w:sz w:val="28"/>
          <w:szCs w:val="28"/>
        </w:rPr>
        <w:fldChar w:fldCharType="separate"/>
      </w:r>
      <w:r>
        <w:rPr>
          <w:rFonts w:ascii="Times New Roman" w:hAnsi="Times New Roman" w:eastAsia="仿宋_GB2312"/>
          <w:sz w:val="28"/>
          <w:szCs w:val="28"/>
        </w:rPr>
        <w:t>7</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"_Toc87993506" </w:instrText>
      </w:r>
      <w:r>
        <w:fldChar w:fldCharType="separate"/>
      </w:r>
      <w:r>
        <w:rPr>
          <w:rStyle w:val="35"/>
          <w:rFonts w:ascii="Times New Roman" w:hAnsi="Times New Roman" w:eastAsia="仿宋_GB2312"/>
          <w:sz w:val="28"/>
          <w:szCs w:val="28"/>
        </w:rPr>
        <w:t>2.1.7建立农户利益保障机制</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_Toc87993506 \h </w:instrText>
      </w:r>
      <w:r>
        <w:rPr>
          <w:rFonts w:ascii="Times New Roman" w:hAnsi="Times New Roman" w:eastAsia="仿宋_GB2312"/>
          <w:sz w:val="28"/>
          <w:szCs w:val="28"/>
        </w:rPr>
        <w:fldChar w:fldCharType="separate"/>
      </w:r>
      <w:r>
        <w:rPr>
          <w:rFonts w:ascii="Times New Roman" w:hAnsi="Times New Roman" w:eastAsia="仿宋_GB2312"/>
          <w:sz w:val="28"/>
          <w:szCs w:val="28"/>
        </w:rPr>
        <w:t>7</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"_Toc87993507" </w:instrText>
      </w:r>
      <w:r>
        <w:fldChar w:fldCharType="separate"/>
      </w:r>
      <w:r>
        <w:rPr>
          <w:rStyle w:val="35"/>
          <w:rFonts w:ascii="Times New Roman" w:hAnsi="Times New Roman" w:eastAsia="仿宋_GB2312"/>
          <w:sz w:val="28"/>
          <w:szCs w:val="28"/>
        </w:rPr>
        <w:t>2.1.8创新利益联结模式</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_Toc87993507 \h </w:instrText>
      </w:r>
      <w:r>
        <w:rPr>
          <w:rFonts w:ascii="Times New Roman" w:hAnsi="Times New Roman" w:eastAsia="仿宋_GB2312"/>
          <w:sz w:val="28"/>
          <w:szCs w:val="28"/>
        </w:rPr>
        <w:fldChar w:fldCharType="separate"/>
      </w:r>
      <w:r>
        <w:rPr>
          <w:rFonts w:ascii="Times New Roman" w:hAnsi="Times New Roman" w:eastAsia="仿宋_GB2312"/>
          <w:sz w:val="28"/>
          <w:szCs w:val="28"/>
        </w:rPr>
        <w:t>9</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23"/>
        <w:tabs>
          <w:tab w:val="right" w:leader="dot" w:pos="8296"/>
        </w:tabs>
        <w:rPr>
          <w:rFonts w:ascii="Times New Roman" w:hAnsi="Times New Roman" w:eastAsia="仿宋_GB2312"/>
          <w:sz w:val="28"/>
          <w:szCs w:val="28"/>
        </w:rPr>
      </w:pPr>
      <w:r>
        <w:fldChar w:fldCharType="begin"/>
      </w:r>
      <w:r>
        <w:instrText xml:space="preserve"> HYPERLINK \l "_Toc87993508" </w:instrText>
      </w:r>
      <w:r>
        <w:fldChar w:fldCharType="separate"/>
      </w:r>
      <w:r>
        <w:rPr>
          <w:rStyle w:val="35"/>
          <w:rFonts w:ascii="Times New Roman" w:hAnsi="Times New Roman" w:eastAsia="仿宋_GB2312"/>
          <w:sz w:val="28"/>
          <w:szCs w:val="28"/>
        </w:rPr>
        <w:t>2.2存在的困难与问题</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_Toc87993508 \h </w:instrText>
      </w:r>
      <w:r>
        <w:rPr>
          <w:rFonts w:ascii="Times New Roman" w:hAnsi="Times New Roman" w:eastAsia="仿宋_GB2312"/>
          <w:sz w:val="28"/>
          <w:szCs w:val="28"/>
        </w:rPr>
        <w:fldChar w:fldCharType="separate"/>
      </w:r>
      <w:r>
        <w:rPr>
          <w:rFonts w:ascii="Times New Roman" w:hAnsi="Times New Roman" w:eastAsia="仿宋_GB2312"/>
          <w:sz w:val="28"/>
          <w:szCs w:val="28"/>
        </w:rPr>
        <w:t>9</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"_Toc87993509" </w:instrText>
      </w:r>
      <w:r>
        <w:fldChar w:fldCharType="separate"/>
      </w:r>
      <w:r>
        <w:rPr>
          <w:rStyle w:val="35"/>
          <w:rFonts w:ascii="Times New Roman" w:hAnsi="Times New Roman" w:eastAsia="仿宋_GB2312"/>
          <w:sz w:val="28"/>
          <w:szCs w:val="28"/>
        </w:rPr>
        <w:t>2.2.1特色产业规模不大</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_Toc87993509 \h </w:instrText>
      </w:r>
      <w:r>
        <w:rPr>
          <w:rFonts w:ascii="Times New Roman" w:hAnsi="Times New Roman" w:eastAsia="仿宋_GB2312"/>
          <w:sz w:val="28"/>
          <w:szCs w:val="28"/>
        </w:rPr>
        <w:fldChar w:fldCharType="separate"/>
      </w:r>
      <w:r>
        <w:rPr>
          <w:rFonts w:ascii="Times New Roman" w:hAnsi="Times New Roman" w:eastAsia="仿宋_GB2312"/>
          <w:sz w:val="28"/>
          <w:szCs w:val="28"/>
        </w:rPr>
        <w:t>9</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"_Toc87993510" </w:instrText>
      </w:r>
      <w:r>
        <w:fldChar w:fldCharType="separate"/>
      </w:r>
      <w:r>
        <w:rPr>
          <w:rStyle w:val="35"/>
          <w:rFonts w:ascii="Times New Roman" w:hAnsi="Times New Roman" w:eastAsia="仿宋_GB2312"/>
          <w:sz w:val="28"/>
          <w:szCs w:val="28"/>
        </w:rPr>
        <w:t>2.2.2产业服务体系不健全</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_Toc87993510 \h </w:instrText>
      </w:r>
      <w:r>
        <w:rPr>
          <w:rFonts w:ascii="Times New Roman" w:hAnsi="Times New Roman" w:eastAsia="仿宋_GB2312"/>
          <w:sz w:val="28"/>
          <w:szCs w:val="28"/>
        </w:rPr>
        <w:fldChar w:fldCharType="separate"/>
      </w:r>
      <w:r>
        <w:rPr>
          <w:rFonts w:ascii="Times New Roman" w:hAnsi="Times New Roman" w:eastAsia="仿宋_GB2312"/>
          <w:sz w:val="28"/>
          <w:szCs w:val="28"/>
        </w:rPr>
        <w:t>10</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"_Toc87993511" </w:instrText>
      </w:r>
      <w:r>
        <w:fldChar w:fldCharType="separate"/>
      </w:r>
      <w:r>
        <w:rPr>
          <w:rStyle w:val="35"/>
          <w:rFonts w:ascii="Times New Roman" w:hAnsi="Times New Roman" w:eastAsia="仿宋_GB2312"/>
          <w:sz w:val="28"/>
          <w:szCs w:val="28"/>
        </w:rPr>
        <w:t>2.2.3农业品牌效应不强</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_Toc87993511 \h </w:instrText>
      </w:r>
      <w:r>
        <w:rPr>
          <w:rFonts w:ascii="Times New Roman" w:hAnsi="Times New Roman" w:eastAsia="仿宋_GB2312"/>
          <w:sz w:val="28"/>
          <w:szCs w:val="28"/>
        </w:rPr>
        <w:fldChar w:fldCharType="separate"/>
      </w:r>
      <w:r>
        <w:rPr>
          <w:rFonts w:ascii="Times New Roman" w:hAnsi="Times New Roman" w:eastAsia="仿宋_GB2312"/>
          <w:sz w:val="28"/>
          <w:szCs w:val="28"/>
        </w:rPr>
        <w:t>10</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"_Toc87993512" </w:instrText>
      </w:r>
      <w:r>
        <w:fldChar w:fldCharType="separate"/>
      </w:r>
      <w:r>
        <w:rPr>
          <w:rStyle w:val="35"/>
          <w:rFonts w:ascii="Times New Roman" w:hAnsi="Times New Roman" w:eastAsia="仿宋_GB2312"/>
          <w:sz w:val="28"/>
          <w:szCs w:val="28"/>
        </w:rPr>
        <w:t>2.2.4农产品市场体系功能不完善</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_Toc87993512 \h </w:instrText>
      </w:r>
      <w:r>
        <w:rPr>
          <w:rFonts w:ascii="Times New Roman" w:hAnsi="Times New Roman" w:eastAsia="仿宋_GB2312"/>
          <w:sz w:val="28"/>
          <w:szCs w:val="28"/>
        </w:rPr>
        <w:fldChar w:fldCharType="separate"/>
      </w:r>
      <w:r>
        <w:rPr>
          <w:rFonts w:ascii="Times New Roman" w:hAnsi="Times New Roman" w:eastAsia="仿宋_GB2312"/>
          <w:sz w:val="28"/>
          <w:szCs w:val="28"/>
        </w:rPr>
        <w:t>10</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"_Toc87993513" </w:instrText>
      </w:r>
      <w:r>
        <w:fldChar w:fldCharType="separate"/>
      </w:r>
      <w:r>
        <w:rPr>
          <w:rStyle w:val="35"/>
          <w:rFonts w:ascii="Times New Roman" w:hAnsi="Times New Roman" w:eastAsia="仿宋_GB2312"/>
          <w:sz w:val="28"/>
          <w:szCs w:val="28"/>
        </w:rPr>
        <w:t>2.2.5从业人员素质有待提高</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_Toc87993513 \h </w:instrText>
      </w:r>
      <w:r>
        <w:rPr>
          <w:rFonts w:ascii="Times New Roman" w:hAnsi="Times New Roman" w:eastAsia="仿宋_GB2312"/>
          <w:sz w:val="28"/>
          <w:szCs w:val="28"/>
        </w:rPr>
        <w:fldChar w:fldCharType="separate"/>
      </w:r>
      <w:r>
        <w:rPr>
          <w:rFonts w:ascii="Times New Roman" w:hAnsi="Times New Roman" w:eastAsia="仿宋_GB2312"/>
          <w:sz w:val="28"/>
          <w:szCs w:val="28"/>
        </w:rPr>
        <w:t>11</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"_Toc87993514" </w:instrText>
      </w:r>
      <w:r>
        <w:fldChar w:fldCharType="separate"/>
      </w:r>
      <w:r>
        <w:rPr>
          <w:rStyle w:val="35"/>
          <w:rFonts w:ascii="Times New Roman" w:hAnsi="Times New Roman" w:eastAsia="仿宋_GB2312"/>
          <w:sz w:val="28"/>
          <w:szCs w:val="28"/>
        </w:rPr>
        <w:t>2.2.6农产品产业链延伸不足</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_Toc87993514 \h </w:instrText>
      </w:r>
      <w:r>
        <w:rPr>
          <w:rFonts w:ascii="Times New Roman" w:hAnsi="Times New Roman" w:eastAsia="仿宋_GB2312"/>
          <w:sz w:val="28"/>
          <w:szCs w:val="28"/>
        </w:rPr>
        <w:fldChar w:fldCharType="separate"/>
      </w:r>
      <w:r>
        <w:rPr>
          <w:rFonts w:ascii="Times New Roman" w:hAnsi="Times New Roman" w:eastAsia="仿宋_GB2312"/>
          <w:sz w:val="28"/>
          <w:szCs w:val="28"/>
        </w:rPr>
        <w:t>11</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"_Toc87993515" </w:instrText>
      </w:r>
      <w:r>
        <w:fldChar w:fldCharType="separate"/>
      </w:r>
      <w:r>
        <w:rPr>
          <w:rStyle w:val="35"/>
          <w:rFonts w:ascii="Times New Roman" w:hAnsi="Times New Roman" w:eastAsia="仿宋_GB2312"/>
          <w:sz w:val="28"/>
          <w:szCs w:val="28"/>
        </w:rPr>
        <w:t>2.2.7现代化手段与科技支撑不足</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_Toc87993515 \h </w:instrText>
      </w:r>
      <w:r>
        <w:rPr>
          <w:rFonts w:ascii="Times New Roman" w:hAnsi="Times New Roman" w:eastAsia="仿宋_GB2312"/>
          <w:sz w:val="28"/>
          <w:szCs w:val="28"/>
        </w:rPr>
        <w:fldChar w:fldCharType="separate"/>
      </w:r>
      <w:r>
        <w:rPr>
          <w:rFonts w:ascii="Times New Roman" w:hAnsi="Times New Roman" w:eastAsia="仿宋_GB2312"/>
          <w:sz w:val="28"/>
          <w:szCs w:val="28"/>
        </w:rPr>
        <w:t>12</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23"/>
        <w:tabs>
          <w:tab w:val="right" w:leader="dot" w:pos="8296"/>
        </w:tabs>
        <w:rPr>
          <w:rFonts w:ascii="Times New Roman" w:hAnsi="Times New Roman" w:eastAsia="仿宋_GB2312"/>
          <w:sz w:val="28"/>
          <w:szCs w:val="28"/>
        </w:rPr>
      </w:pPr>
      <w:r>
        <w:fldChar w:fldCharType="begin"/>
      </w:r>
      <w:r>
        <w:instrText xml:space="preserve"> HYPERLINK \l "_Toc87993516" </w:instrText>
      </w:r>
      <w:r>
        <w:fldChar w:fldCharType="separate"/>
      </w:r>
      <w:r>
        <w:rPr>
          <w:rStyle w:val="35"/>
          <w:rFonts w:ascii="Times New Roman" w:hAnsi="Times New Roman" w:eastAsia="仿宋_GB2312"/>
          <w:sz w:val="28"/>
          <w:szCs w:val="28"/>
        </w:rPr>
        <w:t>2.3面临的机遇和挑战</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_Toc87993516 \h </w:instrText>
      </w:r>
      <w:r>
        <w:rPr>
          <w:rFonts w:ascii="Times New Roman" w:hAnsi="Times New Roman" w:eastAsia="仿宋_GB2312"/>
          <w:sz w:val="28"/>
          <w:szCs w:val="28"/>
        </w:rPr>
        <w:fldChar w:fldCharType="separate"/>
      </w:r>
      <w:r>
        <w:rPr>
          <w:rFonts w:ascii="Times New Roman" w:hAnsi="Times New Roman" w:eastAsia="仿宋_GB2312"/>
          <w:sz w:val="28"/>
          <w:szCs w:val="28"/>
        </w:rPr>
        <w:t>12</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"_Toc87993517" </w:instrText>
      </w:r>
      <w:r>
        <w:fldChar w:fldCharType="separate"/>
      </w:r>
      <w:r>
        <w:rPr>
          <w:rStyle w:val="35"/>
          <w:rFonts w:ascii="Times New Roman" w:hAnsi="Times New Roman" w:eastAsia="仿宋_GB2312"/>
          <w:sz w:val="28"/>
          <w:szCs w:val="28"/>
        </w:rPr>
        <w:t>2.3.1机遇</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_Toc87993517 \h </w:instrText>
      </w:r>
      <w:r>
        <w:rPr>
          <w:rFonts w:ascii="Times New Roman" w:hAnsi="Times New Roman" w:eastAsia="仿宋_GB2312"/>
          <w:sz w:val="28"/>
          <w:szCs w:val="28"/>
        </w:rPr>
        <w:fldChar w:fldCharType="separate"/>
      </w:r>
      <w:r>
        <w:rPr>
          <w:rFonts w:ascii="Times New Roman" w:hAnsi="Times New Roman" w:eastAsia="仿宋_GB2312"/>
          <w:sz w:val="28"/>
          <w:szCs w:val="28"/>
        </w:rPr>
        <w:t>12</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"_Toc87993518" </w:instrText>
      </w:r>
      <w:r>
        <w:fldChar w:fldCharType="separate"/>
      </w:r>
      <w:r>
        <w:rPr>
          <w:rStyle w:val="35"/>
          <w:rFonts w:ascii="Times New Roman" w:hAnsi="Times New Roman" w:eastAsia="仿宋_GB2312"/>
          <w:sz w:val="28"/>
          <w:szCs w:val="28"/>
        </w:rPr>
        <w:t>2.3.2挑战</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_Toc87993518 \h </w:instrText>
      </w:r>
      <w:r>
        <w:rPr>
          <w:rFonts w:ascii="Times New Roman" w:hAnsi="Times New Roman" w:eastAsia="仿宋_GB2312"/>
          <w:sz w:val="28"/>
          <w:szCs w:val="28"/>
        </w:rPr>
        <w:fldChar w:fldCharType="separate"/>
      </w:r>
      <w:r>
        <w:rPr>
          <w:rFonts w:ascii="Times New Roman" w:hAnsi="Times New Roman" w:eastAsia="仿宋_GB2312"/>
          <w:sz w:val="28"/>
          <w:szCs w:val="28"/>
        </w:rPr>
        <w:t>15</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8"/>
        <w:tabs>
          <w:tab w:val="left" w:pos="1260"/>
          <w:tab w:val="right" w:leader="dot" w:pos="8296"/>
        </w:tabs>
        <w:rPr>
          <w:rFonts w:ascii="Times New Roman" w:hAnsi="Times New Roman" w:eastAsia="仿宋_GB2312"/>
          <w:sz w:val="28"/>
          <w:szCs w:val="28"/>
        </w:rPr>
      </w:pPr>
      <w:r>
        <w:fldChar w:fldCharType="begin"/>
      </w:r>
      <w:r>
        <w:instrText xml:space="preserve"> HYPERLINK \l "_Toc87993519" </w:instrText>
      </w:r>
      <w:r>
        <w:fldChar w:fldCharType="separate"/>
      </w:r>
      <w:r>
        <w:rPr>
          <w:rStyle w:val="35"/>
          <w:rFonts w:ascii="Times New Roman" w:hAnsi="Times New Roman" w:eastAsia="仿宋_GB2312"/>
          <w:sz w:val="28"/>
          <w:szCs w:val="28"/>
        </w:rPr>
        <w:t>第三章</w:t>
      </w:r>
      <w:r>
        <w:rPr>
          <w:rFonts w:ascii="Times New Roman" w:hAnsi="Times New Roman" w:eastAsia="仿宋_GB2312"/>
          <w:sz w:val="28"/>
          <w:szCs w:val="28"/>
        </w:rPr>
        <w:tab/>
      </w:r>
      <w:r>
        <w:rPr>
          <w:rStyle w:val="35"/>
          <w:rFonts w:ascii="Times New Roman" w:hAnsi="Times New Roman" w:eastAsia="仿宋_GB2312"/>
          <w:sz w:val="28"/>
          <w:szCs w:val="28"/>
        </w:rPr>
        <w:t>总体思路</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_Toc87993519 \h </w:instrText>
      </w:r>
      <w:r>
        <w:rPr>
          <w:rFonts w:ascii="Times New Roman" w:hAnsi="Times New Roman" w:eastAsia="仿宋_GB2312"/>
          <w:sz w:val="28"/>
          <w:szCs w:val="28"/>
        </w:rPr>
        <w:fldChar w:fldCharType="separate"/>
      </w:r>
      <w:r>
        <w:rPr>
          <w:rFonts w:ascii="Times New Roman" w:hAnsi="Times New Roman" w:eastAsia="仿宋_GB2312"/>
          <w:sz w:val="28"/>
          <w:szCs w:val="28"/>
        </w:rPr>
        <w:t>19</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23"/>
        <w:tabs>
          <w:tab w:val="right" w:leader="dot" w:pos="8296"/>
        </w:tabs>
        <w:rPr>
          <w:rFonts w:ascii="Times New Roman" w:hAnsi="Times New Roman" w:eastAsia="仿宋_GB2312"/>
          <w:sz w:val="28"/>
          <w:szCs w:val="28"/>
        </w:rPr>
      </w:pPr>
      <w:r>
        <w:fldChar w:fldCharType="begin"/>
      </w:r>
      <w:r>
        <w:instrText xml:space="preserve"> HYPERLINK \l "_Toc87993520" </w:instrText>
      </w:r>
      <w:r>
        <w:fldChar w:fldCharType="separate"/>
      </w:r>
      <w:r>
        <w:rPr>
          <w:rStyle w:val="35"/>
          <w:rFonts w:ascii="Times New Roman" w:hAnsi="Times New Roman" w:eastAsia="仿宋_GB2312"/>
          <w:sz w:val="28"/>
          <w:szCs w:val="28"/>
        </w:rPr>
        <w:t>3.1指导思想</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_Toc87993520 \h </w:instrText>
      </w:r>
      <w:r>
        <w:rPr>
          <w:rFonts w:ascii="Times New Roman" w:hAnsi="Times New Roman" w:eastAsia="仿宋_GB2312"/>
          <w:sz w:val="28"/>
          <w:szCs w:val="28"/>
        </w:rPr>
        <w:fldChar w:fldCharType="separate"/>
      </w:r>
      <w:r>
        <w:rPr>
          <w:rFonts w:ascii="Times New Roman" w:hAnsi="Times New Roman" w:eastAsia="仿宋_GB2312"/>
          <w:sz w:val="28"/>
          <w:szCs w:val="28"/>
        </w:rPr>
        <w:t>19</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23"/>
        <w:tabs>
          <w:tab w:val="right" w:leader="dot" w:pos="8296"/>
        </w:tabs>
        <w:rPr>
          <w:rFonts w:ascii="Times New Roman" w:hAnsi="Times New Roman" w:eastAsia="仿宋_GB2312"/>
          <w:sz w:val="28"/>
          <w:szCs w:val="28"/>
        </w:rPr>
      </w:pPr>
      <w:r>
        <w:fldChar w:fldCharType="begin"/>
      </w:r>
      <w:r>
        <w:instrText xml:space="preserve"> HYPERLINK \l "_Toc87993521" </w:instrText>
      </w:r>
      <w:r>
        <w:fldChar w:fldCharType="separate"/>
      </w:r>
      <w:r>
        <w:rPr>
          <w:rStyle w:val="35"/>
          <w:rFonts w:ascii="Times New Roman" w:hAnsi="Times New Roman" w:eastAsia="仿宋_GB2312"/>
          <w:sz w:val="28"/>
          <w:szCs w:val="28"/>
        </w:rPr>
        <w:t>3.2基本原则</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_Toc87993521 \h </w:instrText>
      </w:r>
      <w:r>
        <w:rPr>
          <w:rFonts w:ascii="Times New Roman" w:hAnsi="Times New Roman" w:eastAsia="仿宋_GB2312"/>
          <w:sz w:val="28"/>
          <w:szCs w:val="28"/>
        </w:rPr>
        <w:fldChar w:fldCharType="separate"/>
      </w:r>
      <w:r>
        <w:rPr>
          <w:rFonts w:ascii="Times New Roman" w:hAnsi="Times New Roman" w:eastAsia="仿宋_GB2312"/>
          <w:sz w:val="28"/>
          <w:szCs w:val="28"/>
        </w:rPr>
        <w:t>20</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"_Toc87993522" </w:instrText>
      </w:r>
      <w:r>
        <w:fldChar w:fldCharType="separate"/>
      </w:r>
      <w:r>
        <w:rPr>
          <w:rStyle w:val="35"/>
          <w:rFonts w:ascii="Times New Roman" w:hAnsi="Times New Roman" w:eastAsia="仿宋_GB2312"/>
          <w:sz w:val="28"/>
          <w:szCs w:val="28"/>
        </w:rPr>
        <w:t>3.2.1坚持统筹谋划，科学布局</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_Toc87993522 \h </w:instrText>
      </w:r>
      <w:r>
        <w:rPr>
          <w:rFonts w:ascii="Times New Roman" w:hAnsi="Times New Roman" w:eastAsia="仿宋_GB2312"/>
          <w:sz w:val="28"/>
          <w:szCs w:val="28"/>
        </w:rPr>
        <w:fldChar w:fldCharType="separate"/>
      </w:r>
      <w:r>
        <w:rPr>
          <w:rFonts w:ascii="Times New Roman" w:hAnsi="Times New Roman" w:eastAsia="仿宋_GB2312"/>
          <w:sz w:val="28"/>
          <w:szCs w:val="28"/>
        </w:rPr>
        <w:t>20</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"_Toc87993523" </w:instrText>
      </w:r>
      <w:r>
        <w:fldChar w:fldCharType="separate"/>
      </w:r>
      <w:r>
        <w:rPr>
          <w:rStyle w:val="35"/>
          <w:rFonts w:ascii="Times New Roman" w:hAnsi="Times New Roman" w:eastAsia="仿宋_GB2312"/>
          <w:sz w:val="28"/>
          <w:szCs w:val="28"/>
        </w:rPr>
        <w:t>3.2.2坚持政府引导，市场主导</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_Toc87993523 \h </w:instrText>
      </w:r>
      <w:r>
        <w:rPr>
          <w:rFonts w:ascii="Times New Roman" w:hAnsi="Times New Roman" w:eastAsia="仿宋_GB2312"/>
          <w:sz w:val="28"/>
          <w:szCs w:val="28"/>
        </w:rPr>
        <w:fldChar w:fldCharType="separate"/>
      </w:r>
      <w:r>
        <w:rPr>
          <w:rFonts w:ascii="Times New Roman" w:hAnsi="Times New Roman" w:eastAsia="仿宋_GB2312"/>
          <w:sz w:val="28"/>
          <w:szCs w:val="28"/>
        </w:rPr>
        <w:t>20</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"_Toc87993524" </w:instrText>
      </w:r>
      <w:r>
        <w:fldChar w:fldCharType="separate"/>
      </w:r>
      <w:r>
        <w:rPr>
          <w:rStyle w:val="35"/>
          <w:rFonts w:ascii="Times New Roman" w:hAnsi="Times New Roman" w:eastAsia="仿宋_GB2312"/>
          <w:sz w:val="28"/>
          <w:szCs w:val="28"/>
        </w:rPr>
        <w:t>3.2.3坚持绿色发展，效益并重</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_Toc87993524 \h </w:instrText>
      </w:r>
      <w:r>
        <w:rPr>
          <w:rFonts w:ascii="Times New Roman" w:hAnsi="Times New Roman" w:eastAsia="仿宋_GB2312"/>
          <w:sz w:val="28"/>
          <w:szCs w:val="28"/>
        </w:rPr>
        <w:fldChar w:fldCharType="separate"/>
      </w:r>
      <w:r>
        <w:rPr>
          <w:rFonts w:ascii="Times New Roman" w:hAnsi="Times New Roman" w:eastAsia="仿宋_GB2312"/>
          <w:sz w:val="28"/>
          <w:szCs w:val="28"/>
        </w:rPr>
        <w:t>20</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"_Toc87993525" </w:instrText>
      </w:r>
      <w:r>
        <w:fldChar w:fldCharType="separate"/>
      </w:r>
      <w:r>
        <w:rPr>
          <w:rStyle w:val="35"/>
          <w:rFonts w:ascii="Times New Roman" w:hAnsi="Times New Roman" w:eastAsia="仿宋_GB2312"/>
          <w:sz w:val="28"/>
          <w:szCs w:val="28"/>
        </w:rPr>
        <w:t>3.2.4坚持创新驱动，协调发展</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_Toc87993525 \h </w:instrText>
      </w:r>
      <w:r>
        <w:rPr>
          <w:rFonts w:ascii="Times New Roman" w:hAnsi="Times New Roman" w:eastAsia="仿宋_GB2312"/>
          <w:sz w:val="28"/>
          <w:szCs w:val="28"/>
        </w:rPr>
        <w:fldChar w:fldCharType="separate"/>
      </w:r>
      <w:r>
        <w:rPr>
          <w:rFonts w:ascii="Times New Roman" w:hAnsi="Times New Roman" w:eastAsia="仿宋_GB2312"/>
          <w:sz w:val="28"/>
          <w:szCs w:val="28"/>
        </w:rPr>
        <w:t>21</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"_Toc87993526" </w:instrText>
      </w:r>
      <w:r>
        <w:fldChar w:fldCharType="separate"/>
      </w:r>
      <w:r>
        <w:rPr>
          <w:rStyle w:val="35"/>
          <w:rFonts w:ascii="Times New Roman" w:hAnsi="Times New Roman" w:eastAsia="仿宋_GB2312"/>
          <w:sz w:val="28"/>
          <w:szCs w:val="28"/>
        </w:rPr>
        <w:t>3.2.5坚持特色引领，夯实内涵</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_Toc87993526 \h </w:instrText>
      </w:r>
      <w:r>
        <w:rPr>
          <w:rFonts w:ascii="Times New Roman" w:hAnsi="Times New Roman" w:eastAsia="仿宋_GB2312"/>
          <w:sz w:val="28"/>
          <w:szCs w:val="28"/>
        </w:rPr>
        <w:fldChar w:fldCharType="separate"/>
      </w:r>
      <w:r>
        <w:rPr>
          <w:rFonts w:ascii="Times New Roman" w:hAnsi="Times New Roman" w:eastAsia="仿宋_GB2312"/>
          <w:sz w:val="28"/>
          <w:szCs w:val="28"/>
        </w:rPr>
        <w:t>21</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"_Toc87993527" </w:instrText>
      </w:r>
      <w:r>
        <w:fldChar w:fldCharType="separate"/>
      </w:r>
      <w:r>
        <w:rPr>
          <w:rStyle w:val="35"/>
          <w:rFonts w:ascii="Times New Roman" w:hAnsi="Times New Roman" w:eastAsia="仿宋_GB2312"/>
          <w:sz w:val="28"/>
          <w:szCs w:val="28"/>
        </w:rPr>
        <w:t>3.2.6坚持科技创新，打造品牌</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_Toc87993527 \h </w:instrText>
      </w:r>
      <w:r>
        <w:rPr>
          <w:rFonts w:ascii="Times New Roman" w:hAnsi="Times New Roman" w:eastAsia="仿宋_GB2312"/>
          <w:sz w:val="28"/>
          <w:szCs w:val="28"/>
        </w:rPr>
        <w:fldChar w:fldCharType="separate"/>
      </w:r>
      <w:r>
        <w:rPr>
          <w:rFonts w:ascii="Times New Roman" w:hAnsi="Times New Roman" w:eastAsia="仿宋_GB2312"/>
          <w:sz w:val="28"/>
          <w:szCs w:val="28"/>
        </w:rPr>
        <w:t>21</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23"/>
        <w:tabs>
          <w:tab w:val="right" w:leader="dot" w:pos="8296"/>
        </w:tabs>
        <w:rPr>
          <w:rFonts w:ascii="Times New Roman" w:hAnsi="Times New Roman" w:eastAsia="仿宋_GB2312"/>
          <w:sz w:val="28"/>
          <w:szCs w:val="28"/>
        </w:rPr>
      </w:pPr>
      <w:r>
        <w:fldChar w:fldCharType="begin"/>
      </w:r>
      <w:r>
        <w:instrText xml:space="preserve"> HYPERLINK \l "_Toc87993528" </w:instrText>
      </w:r>
      <w:r>
        <w:fldChar w:fldCharType="separate"/>
      </w:r>
      <w:r>
        <w:rPr>
          <w:rStyle w:val="35"/>
          <w:rFonts w:ascii="Times New Roman" w:hAnsi="Times New Roman" w:eastAsia="仿宋_GB2312"/>
          <w:sz w:val="28"/>
          <w:szCs w:val="28"/>
        </w:rPr>
        <w:t>3.3发展目标</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_Toc87993528 \h </w:instrText>
      </w:r>
      <w:r>
        <w:rPr>
          <w:rFonts w:ascii="Times New Roman" w:hAnsi="Times New Roman" w:eastAsia="仿宋_GB2312"/>
          <w:sz w:val="28"/>
          <w:szCs w:val="28"/>
        </w:rPr>
        <w:fldChar w:fldCharType="separate"/>
      </w:r>
      <w:r>
        <w:rPr>
          <w:rFonts w:ascii="Times New Roman" w:hAnsi="Times New Roman" w:eastAsia="仿宋_GB2312"/>
          <w:sz w:val="28"/>
          <w:szCs w:val="28"/>
        </w:rPr>
        <w:t>22</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"_Toc87993529" </w:instrText>
      </w:r>
      <w:r>
        <w:fldChar w:fldCharType="separate"/>
      </w:r>
      <w:r>
        <w:rPr>
          <w:rStyle w:val="35"/>
          <w:rFonts w:ascii="Times New Roman" w:hAnsi="Times New Roman" w:eastAsia="仿宋_GB2312"/>
          <w:sz w:val="28"/>
          <w:szCs w:val="28"/>
        </w:rPr>
        <w:t>3.3.1目标任务</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_Toc87993529 \h </w:instrText>
      </w:r>
      <w:r>
        <w:rPr>
          <w:rFonts w:ascii="Times New Roman" w:hAnsi="Times New Roman" w:eastAsia="仿宋_GB2312"/>
          <w:sz w:val="28"/>
          <w:szCs w:val="28"/>
        </w:rPr>
        <w:fldChar w:fldCharType="separate"/>
      </w:r>
      <w:r>
        <w:rPr>
          <w:rFonts w:ascii="Times New Roman" w:hAnsi="Times New Roman" w:eastAsia="仿宋_GB2312"/>
          <w:sz w:val="28"/>
          <w:szCs w:val="28"/>
        </w:rPr>
        <w:t>22</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8"/>
        <w:tabs>
          <w:tab w:val="left" w:pos="1260"/>
          <w:tab w:val="right" w:leader="dot" w:pos="8296"/>
        </w:tabs>
        <w:rPr>
          <w:rFonts w:ascii="Times New Roman" w:hAnsi="Times New Roman" w:eastAsia="仿宋_GB2312"/>
          <w:sz w:val="28"/>
          <w:szCs w:val="28"/>
        </w:rPr>
      </w:pPr>
      <w:r>
        <w:fldChar w:fldCharType="begin"/>
      </w:r>
      <w:r>
        <w:instrText xml:space="preserve"> HYPERLINK \l "_Toc87993530" </w:instrText>
      </w:r>
      <w:r>
        <w:fldChar w:fldCharType="separate"/>
      </w:r>
      <w:r>
        <w:rPr>
          <w:rStyle w:val="35"/>
          <w:rFonts w:ascii="Times New Roman" w:hAnsi="Times New Roman" w:eastAsia="仿宋_GB2312"/>
          <w:sz w:val="28"/>
          <w:szCs w:val="28"/>
        </w:rPr>
        <w:t>第四章</w:t>
      </w:r>
      <w:r>
        <w:rPr>
          <w:rFonts w:ascii="Times New Roman" w:hAnsi="Times New Roman" w:eastAsia="仿宋_GB2312"/>
          <w:sz w:val="28"/>
          <w:szCs w:val="28"/>
        </w:rPr>
        <w:tab/>
      </w:r>
      <w:r>
        <w:rPr>
          <w:rStyle w:val="35"/>
          <w:rFonts w:ascii="Times New Roman" w:hAnsi="Times New Roman" w:eastAsia="仿宋_GB2312"/>
          <w:sz w:val="28"/>
          <w:szCs w:val="28"/>
        </w:rPr>
        <w:t>重点任务</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_Toc87993530 \h </w:instrText>
      </w:r>
      <w:r>
        <w:rPr>
          <w:rFonts w:ascii="Times New Roman" w:hAnsi="Times New Roman" w:eastAsia="仿宋_GB2312"/>
          <w:sz w:val="28"/>
          <w:szCs w:val="28"/>
        </w:rPr>
        <w:fldChar w:fldCharType="separate"/>
      </w:r>
      <w:r>
        <w:rPr>
          <w:rFonts w:ascii="Times New Roman" w:hAnsi="Times New Roman" w:eastAsia="仿宋_GB2312"/>
          <w:sz w:val="28"/>
          <w:szCs w:val="28"/>
        </w:rPr>
        <w:t>24</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23"/>
        <w:tabs>
          <w:tab w:val="right" w:leader="dot" w:pos="8296"/>
        </w:tabs>
        <w:rPr>
          <w:rFonts w:ascii="Times New Roman" w:hAnsi="Times New Roman" w:eastAsia="仿宋_GB2312"/>
          <w:sz w:val="28"/>
          <w:szCs w:val="28"/>
        </w:rPr>
      </w:pPr>
      <w:r>
        <w:fldChar w:fldCharType="begin"/>
      </w:r>
      <w:r>
        <w:instrText xml:space="preserve"> HYPERLINK \l "_Toc87993531" </w:instrText>
      </w:r>
      <w:r>
        <w:fldChar w:fldCharType="separate"/>
      </w:r>
      <w:r>
        <w:rPr>
          <w:rStyle w:val="35"/>
          <w:rFonts w:ascii="Times New Roman" w:hAnsi="Times New Roman" w:eastAsia="仿宋_GB2312"/>
          <w:sz w:val="28"/>
          <w:szCs w:val="28"/>
        </w:rPr>
        <w:t>4.1主导产业</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_Toc87993531 \h </w:instrText>
      </w:r>
      <w:r>
        <w:rPr>
          <w:rFonts w:ascii="Times New Roman" w:hAnsi="Times New Roman" w:eastAsia="仿宋_GB2312"/>
          <w:sz w:val="28"/>
          <w:szCs w:val="28"/>
        </w:rPr>
        <w:fldChar w:fldCharType="separate"/>
      </w:r>
      <w:r>
        <w:rPr>
          <w:rFonts w:ascii="Times New Roman" w:hAnsi="Times New Roman" w:eastAsia="仿宋_GB2312"/>
          <w:sz w:val="28"/>
          <w:szCs w:val="28"/>
        </w:rPr>
        <w:t>24</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"_Toc87993532" </w:instrText>
      </w:r>
      <w:r>
        <w:fldChar w:fldCharType="separate"/>
      </w:r>
      <w:r>
        <w:rPr>
          <w:rStyle w:val="35"/>
          <w:rFonts w:ascii="Times New Roman" w:hAnsi="Times New Roman" w:eastAsia="仿宋_GB2312"/>
          <w:sz w:val="28"/>
          <w:szCs w:val="28"/>
        </w:rPr>
        <w:t>4.1.1粮食产业</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_Toc87993532 \h </w:instrText>
      </w:r>
      <w:r>
        <w:rPr>
          <w:rFonts w:ascii="Times New Roman" w:hAnsi="Times New Roman" w:eastAsia="仿宋_GB2312"/>
          <w:sz w:val="28"/>
          <w:szCs w:val="28"/>
        </w:rPr>
        <w:fldChar w:fldCharType="separate"/>
      </w:r>
      <w:r>
        <w:rPr>
          <w:rFonts w:ascii="Times New Roman" w:hAnsi="Times New Roman" w:eastAsia="仿宋_GB2312"/>
          <w:sz w:val="28"/>
          <w:szCs w:val="28"/>
        </w:rPr>
        <w:t>24</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"_Toc87993533" </w:instrText>
      </w:r>
      <w:r>
        <w:fldChar w:fldCharType="separate"/>
      </w:r>
      <w:r>
        <w:rPr>
          <w:rStyle w:val="35"/>
          <w:rFonts w:ascii="Times New Roman" w:hAnsi="Times New Roman" w:eastAsia="仿宋_GB2312"/>
          <w:sz w:val="28"/>
          <w:szCs w:val="28"/>
        </w:rPr>
        <w:t>4.1.2油菜产业</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_Toc87993533 \h </w:instrText>
      </w:r>
      <w:r>
        <w:rPr>
          <w:rFonts w:ascii="Times New Roman" w:hAnsi="Times New Roman" w:eastAsia="仿宋_GB2312"/>
          <w:sz w:val="28"/>
          <w:szCs w:val="28"/>
        </w:rPr>
        <w:fldChar w:fldCharType="separate"/>
      </w:r>
      <w:r>
        <w:rPr>
          <w:rFonts w:ascii="Times New Roman" w:hAnsi="Times New Roman" w:eastAsia="仿宋_GB2312"/>
          <w:sz w:val="28"/>
          <w:szCs w:val="28"/>
        </w:rPr>
        <w:t>27</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"_Toc87993534" </w:instrText>
      </w:r>
      <w:r>
        <w:fldChar w:fldCharType="separate"/>
      </w:r>
      <w:r>
        <w:rPr>
          <w:rStyle w:val="35"/>
          <w:rFonts w:ascii="Times New Roman" w:hAnsi="Times New Roman" w:eastAsia="仿宋_GB2312"/>
          <w:sz w:val="28"/>
          <w:szCs w:val="28"/>
        </w:rPr>
        <w:t>4.1.3棉花产业</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_Toc87993534 \h </w:instrText>
      </w:r>
      <w:r>
        <w:rPr>
          <w:rFonts w:ascii="Times New Roman" w:hAnsi="Times New Roman" w:eastAsia="仿宋_GB2312"/>
          <w:sz w:val="28"/>
          <w:szCs w:val="28"/>
        </w:rPr>
        <w:fldChar w:fldCharType="separate"/>
      </w:r>
      <w:r>
        <w:rPr>
          <w:rFonts w:ascii="Times New Roman" w:hAnsi="Times New Roman" w:eastAsia="仿宋_GB2312"/>
          <w:sz w:val="28"/>
          <w:szCs w:val="28"/>
        </w:rPr>
        <w:t>30</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"_Toc87993535" </w:instrText>
      </w:r>
      <w:r>
        <w:fldChar w:fldCharType="separate"/>
      </w:r>
      <w:r>
        <w:rPr>
          <w:rStyle w:val="35"/>
          <w:rFonts w:ascii="Times New Roman" w:hAnsi="Times New Roman" w:eastAsia="仿宋_GB2312"/>
          <w:sz w:val="28"/>
          <w:szCs w:val="28"/>
        </w:rPr>
        <w:t>4.1.4生猪产业</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_Toc87993535 \h </w:instrText>
      </w:r>
      <w:r>
        <w:rPr>
          <w:rFonts w:ascii="Times New Roman" w:hAnsi="Times New Roman" w:eastAsia="仿宋_GB2312"/>
          <w:sz w:val="28"/>
          <w:szCs w:val="28"/>
        </w:rPr>
        <w:fldChar w:fldCharType="separate"/>
      </w:r>
      <w:r>
        <w:rPr>
          <w:rFonts w:ascii="Times New Roman" w:hAnsi="Times New Roman" w:eastAsia="仿宋_GB2312"/>
          <w:sz w:val="28"/>
          <w:szCs w:val="28"/>
        </w:rPr>
        <w:t>32</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"_Toc87993536" </w:instrText>
      </w:r>
      <w:r>
        <w:fldChar w:fldCharType="separate"/>
      </w:r>
      <w:r>
        <w:rPr>
          <w:rStyle w:val="35"/>
          <w:rFonts w:ascii="Times New Roman" w:hAnsi="Times New Roman" w:eastAsia="仿宋_GB2312"/>
          <w:sz w:val="28"/>
          <w:szCs w:val="28"/>
        </w:rPr>
        <w:t>4.1.5水产产业</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_Toc87993536 \h </w:instrText>
      </w:r>
      <w:r>
        <w:rPr>
          <w:rFonts w:ascii="Times New Roman" w:hAnsi="Times New Roman" w:eastAsia="仿宋_GB2312"/>
          <w:sz w:val="28"/>
          <w:szCs w:val="28"/>
        </w:rPr>
        <w:fldChar w:fldCharType="separate"/>
      </w:r>
      <w:r>
        <w:rPr>
          <w:rFonts w:ascii="Times New Roman" w:hAnsi="Times New Roman" w:eastAsia="仿宋_GB2312"/>
          <w:sz w:val="28"/>
          <w:szCs w:val="28"/>
        </w:rPr>
        <w:t>34</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23"/>
        <w:tabs>
          <w:tab w:val="right" w:leader="dot" w:pos="8296"/>
        </w:tabs>
        <w:rPr>
          <w:rFonts w:ascii="Times New Roman" w:hAnsi="Times New Roman" w:eastAsia="仿宋_GB2312"/>
          <w:sz w:val="28"/>
          <w:szCs w:val="28"/>
        </w:rPr>
      </w:pPr>
      <w:r>
        <w:fldChar w:fldCharType="begin"/>
      </w:r>
      <w:r>
        <w:instrText xml:space="preserve"> HYPERLINK \l "_Toc87993537" </w:instrText>
      </w:r>
      <w:r>
        <w:fldChar w:fldCharType="separate"/>
      </w:r>
      <w:r>
        <w:rPr>
          <w:rStyle w:val="35"/>
          <w:rFonts w:ascii="Times New Roman" w:hAnsi="Times New Roman" w:eastAsia="仿宋_GB2312"/>
          <w:sz w:val="28"/>
          <w:szCs w:val="28"/>
        </w:rPr>
        <w:t>4.2特色产业</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_Toc87993537 \h </w:instrText>
      </w:r>
      <w:r>
        <w:rPr>
          <w:rFonts w:ascii="Times New Roman" w:hAnsi="Times New Roman" w:eastAsia="仿宋_GB2312"/>
          <w:sz w:val="28"/>
          <w:szCs w:val="28"/>
        </w:rPr>
        <w:fldChar w:fldCharType="separate"/>
      </w:r>
      <w:r>
        <w:rPr>
          <w:rFonts w:ascii="Times New Roman" w:hAnsi="Times New Roman" w:eastAsia="仿宋_GB2312"/>
          <w:sz w:val="28"/>
          <w:szCs w:val="28"/>
        </w:rPr>
        <w:t>36</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"_Toc87993538" </w:instrText>
      </w:r>
      <w:r>
        <w:fldChar w:fldCharType="separate"/>
      </w:r>
      <w:r>
        <w:rPr>
          <w:rStyle w:val="35"/>
          <w:rFonts w:ascii="Times New Roman" w:hAnsi="Times New Roman" w:eastAsia="仿宋_GB2312"/>
          <w:sz w:val="28"/>
          <w:szCs w:val="28"/>
        </w:rPr>
        <w:t>4.2.1葡萄产业</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_Toc87993538 \h </w:instrText>
      </w:r>
      <w:r>
        <w:rPr>
          <w:rFonts w:ascii="Times New Roman" w:hAnsi="Times New Roman" w:eastAsia="仿宋_GB2312"/>
          <w:sz w:val="28"/>
          <w:szCs w:val="28"/>
        </w:rPr>
        <w:fldChar w:fldCharType="separate"/>
      </w:r>
      <w:r>
        <w:rPr>
          <w:rFonts w:ascii="Times New Roman" w:hAnsi="Times New Roman" w:eastAsia="仿宋_GB2312"/>
          <w:sz w:val="28"/>
          <w:szCs w:val="28"/>
        </w:rPr>
        <w:t>37</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"_Toc87993539" </w:instrText>
      </w:r>
      <w:r>
        <w:fldChar w:fldCharType="separate"/>
      </w:r>
      <w:r>
        <w:rPr>
          <w:rStyle w:val="35"/>
          <w:rFonts w:ascii="Times New Roman" w:hAnsi="Times New Roman" w:eastAsia="仿宋_GB2312"/>
          <w:sz w:val="28"/>
          <w:szCs w:val="28"/>
        </w:rPr>
        <w:t>4.2.2茶叶产业</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_Toc87993539 \h </w:instrText>
      </w:r>
      <w:r>
        <w:rPr>
          <w:rFonts w:ascii="Times New Roman" w:hAnsi="Times New Roman" w:eastAsia="仿宋_GB2312"/>
          <w:sz w:val="28"/>
          <w:szCs w:val="28"/>
        </w:rPr>
        <w:fldChar w:fldCharType="separate"/>
      </w:r>
      <w:r>
        <w:rPr>
          <w:rFonts w:ascii="Times New Roman" w:hAnsi="Times New Roman" w:eastAsia="仿宋_GB2312"/>
          <w:sz w:val="28"/>
          <w:szCs w:val="28"/>
        </w:rPr>
        <w:t>40</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"_Toc87993540" </w:instrText>
      </w:r>
      <w:r>
        <w:fldChar w:fldCharType="separate"/>
      </w:r>
      <w:r>
        <w:rPr>
          <w:rStyle w:val="35"/>
          <w:rFonts w:ascii="Times New Roman" w:hAnsi="Times New Roman" w:eastAsia="仿宋_GB2312"/>
          <w:sz w:val="28"/>
          <w:szCs w:val="28"/>
        </w:rPr>
        <w:t>4.2.3柑橘产业</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_Toc87993540 \h </w:instrText>
      </w:r>
      <w:r>
        <w:rPr>
          <w:rFonts w:ascii="Times New Roman" w:hAnsi="Times New Roman" w:eastAsia="仿宋_GB2312"/>
          <w:sz w:val="28"/>
          <w:szCs w:val="28"/>
        </w:rPr>
        <w:fldChar w:fldCharType="separate"/>
      </w:r>
      <w:r>
        <w:rPr>
          <w:rFonts w:ascii="Times New Roman" w:hAnsi="Times New Roman" w:eastAsia="仿宋_GB2312"/>
          <w:sz w:val="28"/>
          <w:szCs w:val="28"/>
        </w:rPr>
        <w:t>42</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"_Toc87993541" </w:instrText>
      </w:r>
      <w:r>
        <w:fldChar w:fldCharType="separate"/>
      </w:r>
      <w:r>
        <w:rPr>
          <w:rStyle w:val="35"/>
          <w:rFonts w:ascii="Times New Roman" w:hAnsi="Times New Roman" w:eastAsia="仿宋_GB2312"/>
          <w:sz w:val="28"/>
          <w:szCs w:val="28"/>
        </w:rPr>
        <w:t>4.2.4花木产业</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_Toc87993541 \h </w:instrText>
      </w:r>
      <w:r>
        <w:rPr>
          <w:rFonts w:ascii="Times New Roman" w:hAnsi="Times New Roman" w:eastAsia="仿宋_GB2312"/>
          <w:sz w:val="28"/>
          <w:szCs w:val="28"/>
        </w:rPr>
        <w:fldChar w:fldCharType="separate"/>
      </w:r>
      <w:r>
        <w:rPr>
          <w:rFonts w:ascii="Times New Roman" w:hAnsi="Times New Roman" w:eastAsia="仿宋_GB2312"/>
          <w:sz w:val="28"/>
          <w:szCs w:val="28"/>
        </w:rPr>
        <w:t>45</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"_Toc87993542" </w:instrText>
      </w:r>
      <w:r>
        <w:fldChar w:fldCharType="separate"/>
      </w:r>
      <w:r>
        <w:rPr>
          <w:rStyle w:val="35"/>
          <w:rFonts w:ascii="Times New Roman" w:hAnsi="Times New Roman" w:eastAsia="仿宋_GB2312"/>
          <w:sz w:val="28"/>
          <w:szCs w:val="28"/>
        </w:rPr>
        <w:t>4.2.5虾蟹产业</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_Toc87993542 \h </w:instrText>
      </w:r>
      <w:r>
        <w:rPr>
          <w:rFonts w:ascii="Times New Roman" w:hAnsi="Times New Roman" w:eastAsia="仿宋_GB2312"/>
          <w:sz w:val="28"/>
          <w:szCs w:val="28"/>
        </w:rPr>
        <w:fldChar w:fldCharType="separate"/>
      </w:r>
      <w:r>
        <w:rPr>
          <w:rFonts w:ascii="Times New Roman" w:hAnsi="Times New Roman" w:eastAsia="仿宋_GB2312"/>
          <w:sz w:val="28"/>
          <w:szCs w:val="28"/>
        </w:rPr>
        <w:t>46</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"_Toc87993543" </w:instrText>
      </w:r>
      <w:r>
        <w:fldChar w:fldCharType="separate"/>
      </w:r>
      <w:r>
        <w:rPr>
          <w:rStyle w:val="35"/>
          <w:rFonts w:ascii="Times New Roman" w:hAnsi="Times New Roman" w:eastAsia="仿宋_GB2312"/>
          <w:sz w:val="28"/>
          <w:szCs w:val="28"/>
        </w:rPr>
        <w:t>4.2.6蔬菜产业</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_Toc87993543 \h </w:instrText>
      </w:r>
      <w:r>
        <w:rPr>
          <w:rFonts w:ascii="Times New Roman" w:hAnsi="Times New Roman" w:eastAsia="仿宋_GB2312"/>
          <w:sz w:val="28"/>
          <w:szCs w:val="28"/>
        </w:rPr>
        <w:fldChar w:fldCharType="separate"/>
      </w:r>
      <w:r>
        <w:rPr>
          <w:rFonts w:ascii="Times New Roman" w:hAnsi="Times New Roman" w:eastAsia="仿宋_GB2312"/>
          <w:sz w:val="28"/>
          <w:szCs w:val="28"/>
        </w:rPr>
        <w:t>47</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"_Toc87993544" </w:instrText>
      </w:r>
      <w:r>
        <w:fldChar w:fldCharType="separate"/>
      </w:r>
      <w:r>
        <w:rPr>
          <w:rStyle w:val="35"/>
          <w:rFonts w:ascii="Times New Roman" w:hAnsi="Times New Roman" w:eastAsia="仿宋_GB2312"/>
          <w:sz w:val="28"/>
          <w:szCs w:val="28"/>
        </w:rPr>
        <w:t>4.2.7中药材产业</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_Toc87993544 \h </w:instrText>
      </w:r>
      <w:r>
        <w:rPr>
          <w:rFonts w:ascii="Times New Roman" w:hAnsi="Times New Roman" w:eastAsia="仿宋_GB2312"/>
          <w:sz w:val="28"/>
          <w:szCs w:val="28"/>
        </w:rPr>
        <w:fldChar w:fldCharType="separate"/>
      </w:r>
      <w:r>
        <w:rPr>
          <w:rFonts w:ascii="Times New Roman" w:hAnsi="Times New Roman" w:eastAsia="仿宋_GB2312"/>
          <w:sz w:val="28"/>
          <w:szCs w:val="28"/>
        </w:rPr>
        <w:t>50</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23"/>
        <w:tabs>
          <w:tab w:val="right" w:leader="dot" w:pos="8296"/>
        </w:tabs>
        <w:rPr>
          <w:rFonts w:ascii="Times New Roman" w:hAnsi="Times New Roman" w:eastAsia="仿宋_GB2312"/>
          <w:sz w:val="28"/>
          <w:szCs w:val="28"/>
        </w:rPr>
      </w:pPr>
      <w:r>
        <w:fldChar w:fldCharType="begin"/>
      </w:r>
      <w:r>
        <w:instrText xml:space="preserve"> HYPERLINK \l "_Toc87993545" </w:instrText>
      </w:r>
      <w:r>
        <w:fldChar w:fldCharType="separate"/>
      </w:r>
      <w:r>
        <w:rPr>
          <w:rStyle w:val="35"/>
          <w:rFonts w:ascii="Times New Roman" w:hAnsi="Times New Roman" w:eastAsia="仿宋_GB2312"/>
          <w:sz w:val="28"/>
          <w:szCs w:val="28"/>
        </w:rPr>
        <w:t>4.3产业融合发展</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_Toc87993545 \h </w:instrText>
      </w:r>
      <w:r>
        <w:rPr>
          <w:rFonts w:ascii="Times New Roman" w:hAnsi="Times New Roman" w:eastAsia="仿宋_GB2312"/>
          <w:sz w:val="28"/>
          <w:szCs w:val="28"/>
        </w:rPr>
        <w:fldChar w:fldCharType="separate"/>
      </w:r>
      <w:r>
        <w:rPr>
          <w:rFonts w:ascii="Times New Roman" w:hAnsi="Times New Roman" w:eastAsia="仿宋_GB2312"/>
          <w:sz w:val="28"/>
          <w:szCs w:val="28"/>
        </w:rPr>
        <w:t>52</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23"/>
        <w:tabs>
          <w:tab w:val="right" w:leader="dot" w:pos="8296"/>
        </w:tabs>
        <w:rPr>
          <w:rFonts w:ascii="Times New Roman" w:hAnsi="Times New Roman" w:eastAsia="仿宋_GB2312"/>
          <w:sz w:val="28"/>
          <w:szCs w:val="28"/>
        </w:rPr>
      </w:pPr>
      <w:r>
        <w:fldChar w:fldCharType="begin"/>
      </w:r>
      <w:r>
        <w:instrText xml:space="preserve"> HYPERLINK \l "_Toc87993546" </w:instrText>
      </w:r>
      <w:r>
        <w:fldChar w:fldCharType="separate"/>
      </w:r>
      <w:r>
        <w:rPr>
          <w:rStyle w:val="35"/>
          <w:rFonts w:ascii="Times New Roman" w:hAnsi="Times New Roman" w:eastAsia="仿宋_GB2312"/>
          <w:sz w:val="28"/>
          <w:szCs w:val="28"/>
        </w:rPr>
        <w:t>4.4强化科技支撑</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_Toc87993546 \h </w:instrText>
      </w:r>
      <w:r>
        <w:rPr>
          <w:rFonts w:ascii="Times New Roman" w:hAnsi="Times New Roman" w:eastAsia="仿宋_GB2312"/>
          <w:sz w:val="28"/>
          <w:szCs w:val="28"/>
        </w:rPr>
        <w:fldChar w:fldCharType="separate"/>
      </w:r>
      <w:r>
        <w:rPr>
          <w:rFonts w:ascii="Times New Roman" w:hAnsi="Times New Roman" w:eastAsia="仿宋_GB2312"/>
          <w:sz w:val="28"/>
          <w:szCs w:val="28"/>
        </w:rPr>
        <w:t>53</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"_Toc87993547" </w:instrText>
      </w:r>
      <w:r>
        <w:fldChar w:fldCharType="separate"/>
      </w:r>
      <w:r>
        <w:rPr>
          <w:rStyle w:val="35"/>
          <w:rFonts w:ascii="Times New Roman" w:hAnsi="Times New Roman" w:eastAsia="仿宋_GB2312"/>
          <w:sz w:val="28"/>
          <w:szCs w:val="28"/>
        </w:rPr>
        <w:t>4.4.1提升农业科技创新</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_Toc87993547 \h </w:instrText>
      </w:r>
      <w:r>
        <w:rPr>
          <w:rFonts w:ascii="Times New Roman" w:hAnsi="Times New Roman" w:eastAsia="仿宋_GB2312"/>
          <w:sz w:val="28"/>
          <w:szCs w:val="28"/>
        </w:rPr>
        <w:fldChar w:fldCharType="separate"/>
      </w:r>
      <w:r>
        <w:rPr>
          <w:rFonts w:ascii="Times New Roman" w:hAnsi="Times New Roman" w:eastAsia="仿宋_GB2312"/>
          <w:sz w:val="28"/>
          <w:szCs w:val="28"/>
        </w:rPr>
        <w:t>53</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"_Toc87993548" </w:instrText>
      </w:r>
      <w:r>
        <w:fldChar w:fldCharType="separate"/>
      </w:r>
      <w:r>
        <w:rPr>
          <w:rStyle w:val="35"/>
          <w:rFonts w:ascii="Times New Roman" w:hAnsi="Times New Roman" w:eastAsia="仿宋_GB2312"/>
          <w:sz w:val="28"/>
          <w:szCs w:val="28"/>
        </w:rPr>
        <w:t>4.4.2发展设施农业</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_Toc87993548 \h </w:instrText>
      </w:r>
      <w:r>
        <w:rPr>
          <w:rFonts w:ascii="Times New Roman" w:hAnsi="Times New Roman" w:eastAsia="仿宋_GB2312"/>
          <w:sz w:val="28"/>
          <w:szCs w:val="28"/>
        </w:rPr>
        <w:fldChar w:fldCharType="separate"/>
      </w:r>
      <w:r>
        <w:rPr>
          <w:rFonts w:ascii="Times New Roman" w:hAnsi="Times New Roman" w:eastAsia="仿宋_GB2312"/>
          <w:sz w:val="28"/>
          <w:szCs w:val="28"/>
        </w:rPr>
        <w:t>54</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"_Toc87993549" </w:instrText>
      </w:r>
      <w:r>
        <w:fldChar w:fldCharType="separate"/>
      </w:r>
      <w:r>
        <w:rPr>
          <w:rStyle w:val="35"/>
          <w:rFonts w:ascii="Times New Roman" w:hAnsi="Times New Roman" w:eastAsia="仿宋_GB2312"/>
          <w:sz w:val="28"/>
          <w:szCs w:val="28"/>
        </w:rPr>
        <w:t>4.4.3推进智慧农业建设</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_Toc87993549 \h </w:instrText>
      </w:r>
      <w:r>
        <w:rPr>
          <w:rFonts w:ascii="Times New Roman" w:hAnsi="Times New Roman" w:eastAsia="仿宋_GB2312"/>
          <w:sz w:val="28"/>
          <w:szCs w:val="28"/>
        </w:rPr>
        <w:fldChar w:fldCharType="separate"/>
      </w:r>
      <w:r>
        <w:rPr>
          <w:rFonts w:ascii="Times New Roman" w:hAnsi="Times New Roman" w:eastAsia="仿宋_GB2312"/>
          <w:sz w:val="28"/>
          <w:szCs w:val="28"/>
        </w:rPr>
        <w:t>55</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"_Toc87993550" </w:instrText>
      </w:r>
      <w:r>
        <w:fldChar w:fldCharType="separate"/>
      </w:r>
      <w:r>
        <w:rPr>
          <w:rStyle w:val="35"/>
          <w:rFonts w:ascii="Times New Roman" w:hAnsi="Times New Roman" w:eastAsia="仿宋_GB2312"/>
          <w:sz w:val="28"/>
          <w:szCs w:val="28"/>
        </w:rPr>
        <w:t>4.4.4提升农业机械化水平</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_Toc87993550 \h </w:instrText>
      </w:r>
      <w:r>
        <w:rPr>
          <w:rFonts w:ascii="Times New Roman" w:hAnsi="Times New Roman" w:eastAsia="仿宋_GB2312"/>
          <w:sz w:val="28"/>
          <w:szCs w:val="28"/>
        </w:rPr>
        <w:fldChar w:fldCharType="separate"/>
      </w:r>
      <w:r>
        <w:rPr>
          <w:rFonts w:ascii="Times New Roman" w:hAnsi="Times New Roman" w:eastAsia="仿宋_GB2312"/>
          <w:sz w:val="28"/>
          <w:szCs w:val="28"/>
        </w:rPr>
        <w:t>55</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"_Toc87993551" </w:instrText>
      </w:r>
      <w:r>
        <w:fldChar w:fldCharType="separate"/>
      </w:r>
      <w:r>
        <w:rPr>
          <w:rStyle w:val="35"/>
          <w:rFonts w:ascii="Times New Roman" w:hAnsi="Times New Roman" w:eastAsia="仿宋_GB2312"/>
          <w:sz w:val="28"/>
          <w:szCs w:val="28"/>
        </w:rPr>
        <w:t>4.4.5大力发展农业社会化服务</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_Toc87993551 \h </w:instrText>
      </w:r>
      <w:r>
        <w:rPr>
          <w:rFonts w:ascii="Times New Roman" w:hAnsi="Times New Roman" w:eastAsia="仿宋_GB2312"/>
          <w:sz w:val="28"/>
          <w:szCs w:val="28"/>
        </w:rPr>
        <w:fldChar w:fldCharType="separate"/>
      </w:r>
      <w:r>
        <w:rPr>
          <w:rFonts w:ascii="Times New Roman" w:hAnsi="Times New Roman" w:eastAsia="仿宋_GB2312"/>
          <w:sz w:val="28"/>
          <w:szCs w:val="28"/>
        </w:rPr>
        <w:t>57</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23"/>
        <w:tabs>
          <w:tab w:val="right" w:leader="dot" w:pos="8296"/>
        </w:tabs>
        <w:rPr>
          <w:rFonts w:ascii="Times New Roman" w:hAnsi="Times New Roman" w:eastAsia="仿宋_GB2312"/>
          <w:sz w:val="28"/>
          <w:szCs w:val="28"/>
        </w:rPr>
      </w:pPr>
      <w:r>
        <w:fldChar w:fldCharType="begin"/>
      </w:r>
      <w:r>
        <w:instrText xml:space="preserve"> HYPERLINK \l "_Toc87993552" </w:instrText>
      </w:r>
      <w:r>
        <w:fldChar w:fldCharType="separate"/>
      </w:r>
      <w:r>
        <w:rPr>
          <w:rStyle w:val="35"/>
          <w:rFonts w:ascii="Times New Roman" w:hAnsi="Times New Roman" w:eastAsia="仿宋_GB2312"/>
          <w:sz w:val="28"/>
          <w:szCs w:val="28"/>
        </w:rPr>
        <w:t>4.5加强基础设施建设</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_Toc87993552 \h </w:instrText>
      </w:r>
      <w:r>
        <w:rPr>
          <w:rFonts w:ascii="Times New Roman" w:hAnsi="Times New Roman" w:eastAsia="仿宋_GB2312"/>
          <w:sz w:val="28"/>
          <w:szCs w:val="28"/>
        </w:rPr>
        <w:fldChar w:fldCharType="separate"/>
      </w:r>
      <w:r>
        <w:rPr>
          <w:rFonts w:ascii="Times New Roman" w:hAnsi="Times New Roman" w:eastAsia="仿宋_GB2312"/>
          <w:sz w:val="28"/>
          <w:szCs w:val="28"/>
        </w:rPr>
        <w:t>58</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"_Toc87993553" </w:instrText>
      </w:r>
      <w:r>
        <w:fldChar w:fldCharType="separate"/>
      </w:r>
      <w:r>
        <w:rPr>
          <w:rStyle w:val="35"/>
          <w:rFonts w:ascii="Times New Roman" w:hAnsi="Times New Roman" w:eastAsia="仿宋_GB2312"/>
          <w:sz w:val="28"/>
          <w:szCs w:val="28"/>
        </w:rPr>
        <w:t>4.5.1推进现代农业基础设施建设</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_Toc87993553 \h </w:instrText>
      </w:r>
      <w:r>
        <w:rPr>
          <w:rFonts w:ascii="Times New Roman" w:hAnsi="Times New Roman" w:eastAsia="仿宋_GB2312"/>
          <w:sz w:val="28"/>
          <w:szCs w:val="28"/>
        </w:rPr>
        <w:fldChar w:fldCharType="separate"/>
      </w:r>
      <w:r>
        <w:rPr>
          <w:rFonts w:ascii="Times New Roman" w:hAnsi="Times New Roman" w:eastAsia="仿宋_GB2312"/>
          <w:sz w:val="28"/>
          <w:szCs w:val="28"/>
        </w:rPr>
        <w:t>58</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"_Toc87993554" </w:instrText>
      </w:r>
      <w:r>
        <w:fldChar w:fldCharType="separate"/>
      </w:r>
      <w:r>
        <w:rPr>
          <w:rStyle w:val="35"/>
          <w:rFonts w:ascii="Times New Roman" w:hAnsi="Times New Roman" w:eastAsia="仿宋_GB2312"/>
          <w:sz w:val="28"/>
          <w:szCs w:val="28"/>
        </w:rPr>
        <w:t>4.5.2加强农业防灾减灾能力建设</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_Toc87993554 \h </w:instrText>
      </w:r>
      <w:r>
        <w:rPr>
          <w:rFonts w:ascii="Times New Roman" w:hAnsi="Times New Roman" w:eastAsia="仿宋_GB2312"/>
          <w:sz w:val="28"/>
          <w:szCs w:val="28"/>
        </w:rPr>
        <w:fldChar w:fldCharType="separate"/>
      </w:r>
      <w:r>
        <w:rPr>
          <w:rFonts w:ascii="Times New Roman" w:hAnsi="Times New Roman" w:eastAsia="仿宋_GB2312"/>
          <w:sz w:val="28"/>
          <w:szCs w:val="28"/>
        </w:rPr>
        <w:t>58</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"_Toc87993555" </w:instrText>
      </w:r>
      <w:r>
        <w:fldChar w:fldCharType="separate"/>
      </w:r>
      <w:r>
        <w:rPr>
          <w:rStyle w:val="35"/>
          <w:rFonts w:ascii="Times New Roman" w:hAnsi="Times New Roman" w:eastAsia="仿宋_GB2312"/>
          <w:sz w:val="28"/>
          <w:szCs w:val="28"/>
        </w:rPr>
        <w:t>4.5.3加强农业园区建设</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_Toc87993555 \h </w:instrText>
      </w:r>
      <w:r>
        <w:rPr>
          <w:rFonts w:ascii="Times New Roman" w:hAnsi="Times New Roman" w:eastAsia="仿宋_GB2312"/>
          <w:sz w:val="28"/>
          <w:szCs w:val="28"/>
        </w:rPr>
        <w:fldChar w:fldCharType="separate"/>
      </w:r>
      <w:r>
        <w:rPr>
          <w:rFonts w:ascii="Times New Roman" w:hAnsi="Times New Roman" w:eastAsia="仿宋_GB2312"/>
          <w:sz w:val="28"/>
          <w:szCs w:val="28"/>
        </w:rPr>
        <w:t>59</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23"/>
        <w:tabs>
          <w:tab w:val="right" w:leader="dot" w:pos="8296"/>
        </w:tabs>
        <w:rPr>
          <w:rFonts w:ascii="Times New Roman" w:hAnsi="Times New Roman" w:eastAsia="仿宋_GB2312"/>
          <w:sz w:val="28"/>
          <w:szCs w:val="28"/>
        </w:rPr>
      </w:pPr>
      <w:r>
        <w:fldChar w:fldCharType="begin"/>
      </w:r>
      <w:r>
        <w:instrText xml:space="preserve"> HYPERLINK \l "_Toc87993556" </w:instrText>
      </w:r>
      <w:r>
        <w:fldChar w:fldCharType="separate"/>
      </w:r>
      <w:r>
        <w:rPr>
          <w:rStyle w:val="35"/>
          <w:rFonts w:ascii="Times New Roman" w:hAnsi="Times New Roman" w:eastAsia="仿宋_GB2312"/>
          <w:sz w:val="28"/>
          <w:szCs w:val="28"/>
        </w:rPr>
        <w:t>4.6促进农民全面发展</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_Toc87993556 \h </w:instrText>
      </w:r>
      <w:r>
        <w:rPr>
          <w:rFonts w:ascii="Times New Roman" w:hAnsi="Times New Roman" w:eastAsia="仿宋_GB2312"/>
          <w:sz w:val="28"/>
          <w:szCs w:val="28"/>
        </w:rPr>
        <w:fldChar w:fldCharType="separate"/>
      </w:r>
      <w:r>
        <w:rPr>
          <w:rFonts w:ascii="Times New Roman" w:hAnsi="Times New Roman" w:eastAsia="仿宋_GB2312"/>
          <w:sz w:val="28"/>
          <w:szCs w:val="28"/>
        </w:rPr>
        <w:t>61</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"_Toc87993557" </w:instrText>
      </w:r>
      <w:r>
        <w:fldChar w:fldCharType="separate"/>
      </w:r>
      <w:r>
        <w:rPr>
          <w:rStyle w:val="35"/>
          <w:rFonts w:ascii="Times New Roman" w:hAnsi="Times New Roman" w:eastAsia="仿宋_GB2312"/>
          <w:sz w:val="28"/>
          <w:szCs w:val="28"/>
        </w:rPr>
        <w:t>4.6.1</w:t>
      </w:r>
      <w:r>
        <w:rPr>
          <w:rStyle w:val="35"/>
          <w:rFonts w:ascii="Times New Roman" w:hAnsi="Times New Roman" w:eastAsia="仿宋_GB2312"/>
          <w:bCs/>
          <w:kern w:val="0"/>
          <w:sz w:val="28"/>
          <w:szCs w:val="28"/>
        </w:rPr>
        <w:t>培育高素质农民</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_Toc87993557 \h </w:instrText>
      </w:r>
      <w:r>
        <w:rPr>
          <w:rFonts w:ascii="Times New Roman" w:hAnsi="Times New Roman" w:eastAsia="仿宋_GB2312"/>
          <w:sz w:val="28"/>
          <w:szCs w:val="28"/>
        </w:rPr>
        <w:fldChar w:fldCharType="separate"/>
      </w:r>
      <w:r>
        <w:rPr>
          <w:rFonts w:ascii="Times New Roman" w:hAnsi="Times New Roman" w:eastAsia="仿宋_GB2312"/>
          <w:sz w:val="28"/>
          <w:szCs w:val="28"/>
        </w:rPr>
        <w:t>61</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"_Toc87993558" </w:instrText>
      </w:r>
      <w:r>
        <w:fldChar w:fldCharType="separate"/>
      </w:r>
      <w:r>
        <w:rPr>
          <w:rStyle w:val="35"/>
          <w:rFonts w:ascii="Times New Roman" w:hAnsi="Times New Roman" w:eastAsia="仿宋_GB2312"/>
          <w:sz w:val="28"/>
          <w:szCs w:val="28"/>
        </w:rPr>
        <w:t>4.6.2</w:t>
      </w:r>
      <w:r>
        <w:rPr>
          <w:rStyle w:val="35"/>
          <w:rFonts w:ascii="Times New Roman" w:hAnsi="Times New Roman" w:eastAsia="仿宋_GB2312"/>
          <w:bCs/>
          <w:kern w:val="0"/>
          <w:sz w:val="28"/>
          <w:szCs w:val="28"/>
        </w:rPr>
        <w:t>推进农民就业创业</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_Toc87993558 \h </w:instrText>
      </w:r>
      <w:r>
        <w:rPr>
          <w:rFonts w:ascii="Times New Roman" w:hAnsi="Times New Roman" w:eastAsia="仿宋_GB2312"/>
          <w:sz w:val="28"/>
          <w:szCs w:val="28"/>
        </w:rPr>
        <w:fldChar w:fldCharType="separate"/>
      </w:r>
      <w:r>
        <w:rPr>
          <w:rFonts w:ascii="Times New Roman" w:hAnsi="Times New Roman" w:eastAsia="仿宋_GB2312"/>
          <w:sz w:val="28"/>
          <w:szCs w:val="28"/>
        </w:rPr>
        <w:t>61</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23"/>
        <w:tabs>
          <w:tab w:val="right" w:leader="dot" w:pos="8296"/>
        </w:tabs>
        <w:rPr>
          <w:rFonts w:ascii="Times New Roman" w:hAnsi="Times New Roman" w:eastAsia="仿宋_GB2312"/>
          <w:sz w:val="28"/>
          <w:szCs w:val="28"/>
        </w:rPr>
      </w:pPr>
      <w:r>
        <w:fldChar w:fldCharType="begin"/>
      </w:r>
      <w:r>
        <w:instrText xml:space="preserve"> HYPERLINK \l "_Toc87993559" </w:instrText>
      </w:r>
      <w:r>
        <w:fldChar w:fldCharType="separate"/>
      </w:r>
      <w:r>
        <w:rPr>
          <w:rStyle w:val="35"/>
          <w:rFonts w:ascii="Times New Roman" w:hAnsi="Times New Roman" w:eastAsia="仿宋_GB2312"/>
          <w:sz w:val="28"/>
          <w:szCs w:val="28"/>
        </w:rPr>
        <w:t>4.7培育新型农业经营主体</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_Toc87993559 \h </w:instrText>
      </w:r>
      <w:r>
        <w:rPr>
          <w:rFonts w:ascii="Times New Roman" w:hAnsi="Times New Roman" w:eastAsia="仿宋_GB2312"/>
          <w:sz w:val="28"/>
          <w:szCs w:val="28"/>
        </w:rPr>
        <w:fldChar w:fldCharType="separate"/>
      </w:r>
      <w:r>
        <w:rPr>
          <w:rFonts w:ascii="Times New Roman" w:hAnsi="Times New Roman" w:eastAsia="仿宋_GB2312"/>
          <w:sz w:val="28"/>
          <w:szCs w:val="28"/>
        </w:rPr>
        <w:t>62</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8"/>
        <w:tabs>
          <w:tab w:val="left" w:pos="1260"/>
          <w:tab w:val="right" w:leader="dot" w:pos="8296"/>
        </w:tabs>
        <w:rPr>
          <w:rFonts w:ascii="Times New Roman" w:hAnsi="Times New Roman" w:eastAsia="仿宋_GB2312"/>
          <w:sz w:val="28"/>
          <w:szCs w:val="28"/>
        </w:rPr>
      </w:pPr>
      <w:r>
        <w:fldChar w:fldCharType="begin"/>
      </w:r>
      <w:r>
        <w:instrText xml:space="preserve"> HYPERLINK \l "_Toc87993560" </w:instrText>
      </w:r>
      <w:r>
        <w:fldChar w:fldCharType="separate"/>
      </w:r>
      <w:r>
        <w:rPr>
          <w:rStyle w:val="35"/>
          <w:rFonts w:ascii="Times New Roman" w:hAnsi="Times New Roman" w:eastAsia="仿宋_GB2312"/>
          <w:sz w:val="28"/>
          <w:szCs w:val="28"/>
        </w:rPr>
        <w:t>第五章</w:t>
      </w:r>
      <w:r>
        <w:rPr>
          <w:rFonts w:ascii="Times New Roman" w:hAnsi="Times New Roman" w:eastAsia="仿宋_GB2312"/>
          <w:sz w:val="28"/>
          <w:szCs w:val="28"/>
        </w:rPr>
        <w:tab/>
      </w:r>
      <w:r>
        <w:rPr>
          <w:rStyle w:val="35"/>
          <w:rFonts w:ascii="Times New Roman" w:hAnsi="Times New Roman" w:eastAsia="仿宋_GB2312"/>
          <w:sz w:val="28"/>
          <w:szCs w:val="28"/>
        </w:rPr>
        <w:t>资金测算与筹措方案</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_Toc87993560 \h </w:instrText>
      </w:r>
      <w:r>
        <w:rPr>
          <w:rFonts w:ascii="Times New Roman" w:hAnsi="Times New Roman" w:eastAsia="仿宋_GB2312"/>
          <w:sz w:val="28"/>
          <w:szCs w:val="28"/>
        </w:rPr>
        <w:fldChar w:fldCharType="separate"/>
      </w:r>
      <w:r>
        <w:rPr>
          <w:rFonts w:ascii="Times New Roman" w:hAnsi="Times New Roman" w:eastAsia="仿宋_GB2312"/>
          <w:sz w:val="28"/>
          <w:szCs w:val="28"/>
        </w:rPr>
        <w:t>63</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23"/>
        <w:tabs>
          <w:tab w:val="right" w:leader="dot" w:pos="8296"/>
        </w:tabs>
        <w:rPr>
          <w:rFonts w:ascii="Times New Roman" w:hAnsi="Times New Roman" w:eastAsia="仿宋_GB2312"/>
          <w:sz w:val="28"/>
          <w:szCs w:val="28"/>
        </w:rPr>
      </w:pPr>
      <w:r>
        <w:fldChar w:fldCharType="begin"/>
      </w:r>
      <w:r>
        <w:instrText xml:space="preserve"> HYPERLINK \l "_Toc87993561" </w:instrText>
      </w:r>
      <w:r>
        <w:fldChar w:fldCharType="separate"/>
      </w:r>
      <w:r>
        <w:rPr>
          <w:rStyle w:val="35"/>
          <w:rFonts w:ascii="Times New Roman" w:hAnsi="Times New Roman" w:eastAsia="仿宋_GB2312"/>
          <w:sz w:val="28"/>
          <w:szCs w:val="28"/>
        </w:rPr>
        <w:t>5.1资金测算需求</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_Toc87993561 \h </w:instrText>
      </w:r>
      <w:r>
        <w:rPr>
          <w:rFonts w:ascii="Times New Roman" w:hAnsi="Times New Roman" w:eastAsia="仿宋_GB2312"/>
          <w:sz w:val="28"/>
          <w:szCs w:val="28"/>
        </w:rPr>
        <w:fldChar w:fldCharType="separate"/>
      </w:r>
      <w:r>
        <w:rPr>
          <w:rFonts w:ascii="Times New Roman" w:hAnsi="Times New Roman" w:eastAsia="仿宋_GB2312"/>
          <w:sz w:val="28"/>
          <w:szCs w:val="28"/>
        </w:rPr>
        <w:t>63</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23"/>
        <w:tabs>
          <w:tab w:val="right" w:leader="dot" w:pos="8296"/>
        </w:tabs>
        <w:rPr>
          <w:rFonts w:ascii="Times New Roman" w:hAnsi="Times New Roman" w:eastAsia="仿宋_GB2312"/>
          <w:sz w:val="28"/>
          <w:szCs w:val="28"/>
        </w:rPr>
      </w:pPr>
      <w:r>
        <w:fldChar w:fldCharType="begin"/>
      </w:r>
      <w:r>
        <w:instrText xml:space="preserve"> HYPERLINK \l "_Toc87993562" </w:instrText>
      </w:r>
      <w:r>
        <w:fldChar w:fldCharType="separate"/>
      </w:r>
      <w:r>
        <w:rPr>
          <w:rStyle w:val="35"/>
          <w:rFonts w:ascii="Times New Roman" w:hAnsi="Times New Roman" w:eastAsia="仿宋_GB2312"/>
          <w:sz w:val="28"/>
          <w:szCs w:val="28"/>
        </w:rPr>
        <w:t>5.2资金筹措方案</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_Toc87993562 \h </w:instrText>
      </w:r>
      <w:r>
        <w:rPr>
          <w:rFonts w:ascii="Times New Roman" w:hAnsi="Times New Roman" w:eastAsia="仿宋_GB2312"/>
          <w:sz w:val="28"/>
          <w:szCs w:val="28"/>
        </w:rPr>
        <w:fldChar w:fldCharType="separate"/>
      </w:r>
      <w:r>
        <w:rPr>
          <w:rFonts w:ascii="Times New Roman" w:hAnsi="Times New Roman" w:eastAsia="仿宋_GB2312"/>
          <w:sz w:val="28"/>
          <w:szCs w:val="28"/>
        </w:rPr>
        <w:t>64</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8"/>
        <w:tabs>
          <w:tab w:val="left" w:pos="1260"/>
          <w:tab w:val="right" w:leader="dot" w:pos="8296"/>
        </w:tabs>
        <w:rPr>
          <w:rFonts w:ascii="Times New Roman" w:hAnsi="Times New Roman" w:eastAsia="仿宋_GB2312"/>
          <w:sz w:val="28"/>
          <w:szCs w:val="28"/>
        </w:rPr>
      </w:pPr>
      <w:r>
        <w:fldChar w:fldCharType="begin"/>
      </w:r>
      <w:r>
        <w:instrText xml:space="preserve"> HYPERLINK \l "_Toc87993563" </w:instrText>
      </w:r>
      <w:r>
        <w:fldChar w:fldCharType="separate"/>
      </w:r>
      <w:r>
        <w:rPr>
          <w:rStyle w:val="35"/>
          <w:rFonts w:ascii="Times New Roman" w:hAnsi="Times New Roman" w:eastAsia="仿宋_GB2312"/>
          <w:sz w:val="28"/>
          <w:szCs w:val="28"/>
        </w:rPr>
        <w:t>第六章</w:t>
      </w:r>
      <w:r>
        <w:rPr>
          <w:rFonts w:ascii="Times New Roman" w:hAnsi="Times New Roman" w:eastAsia="仿宋_GB2312"/>
          <w:sz w:val="28"/>
          <w:szCs w:val="28"/>
        </w:rPr>
        <w:tab/>
      </w:r>
      <w:r>
        <w:rPr>
          <w:rStyle w:val="35"/>
          <w:rFonts w:ascii="Times New Roman" w:hAnsi="Times New Roman" w:eastAsia="仿宋_GB2312"/>
          <w:sz w:val="28"/>
          <w:szCs w:val="28"/>
        </w:rPr>
        <w:t>保障措施</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_Toc87993563 \h </w:instrText>
      </w:r>
      <w:r>
        <w:rPr>
          <w:rFonts w:ascii="Times New Roman" w:hAnsi="Times New Roman" w:eastAsia="仿宋_GB2312"/>
          <w:sz w:val="28"/>
          <w:szCs w:val="28"/>
        </w:rPr>
        <w:fldChar w:fldCharType="separate"/>
      </w:r>
      <w:r>
        <w:rPr>
          <w:rFonts w:ascii="Times New Roman" w:hAnsi="Times New Roman" w:eastAsia="仿宋_GB2312"/>
          <w:sz w:val="28"/>
          <w:szCs w:val="28"/>
        </w:rPr>
        <w:t>66</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23"/>
        <w:tabs>
          <w:tab w:val="right" w:leader="dot" w:pos="8296"/>
        </w:tabs>
        <w:rPr>
          <w:rFonts w:ascii="Times New Roman" w:hAnsi="Times New Roman" w:eastAsia="仿宋_GB2312"/>
          <w:sz w:val="28"/>
          <w:szCs w:val="28"/>
        </w:rPr>
      </w:pPr>
      <w:r>
        <w:fldChar w:fldCharType="begin"/>
      </w:r>
      <w:r>
        <w:instrText xml:space="preserve"> HYPERLINK \l "_Toc87993564" </w:instrText>
      </w:r>
      <w:r>
        <w:fldChar w:fldCharType="separate"/>
      </w:r>
      <w:r>
        <w:rPr>
          <w:rStyle w:val="35"/>
          <w:rFonts w:ascii="Times New Roman" w:hAnsi="Times New Roman" w:eastAsia="仿宋_GB2312"/>
          <w:sz w:val="28"/>
          <w:szCs w:val="28"/>
        </w:rPr>
        <w:t>6.1组织保障</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_Toc87993564 \h </w:instrText>
      </w:r>
      <w:r>
        <w:rPr>
          <w:rFonts w:ascii="Times New Roman" w:hAnsi="Times New Roman" w:eastAsia="仿宋_GB2312"/>
          <w:sz w:val="28"/>
          <w:szCs w:val="28"/>
        </w:rPr>
        <w:fldChar w:fldCharType="separate"/>
      </w:r>
      <w:r>
        <w:rPr>
          <w:rFonts w:ascii="Times New Roman" w:hAnsi="Times New Roman" w:eastAsia="仿宋_GB2312"/>
          <w:sz w:val="28"/>
          <w:szCs w:val="28"/>
        </w:rPr>
        <w:t>66</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23"/>
        <w:tabs>
          <w:tab w:val="right" w:leader="dot" w:pos="8296"/>
        </w:tabs>
        <w:rPr>
          <w:rFonts w:ascii="Times New Roman" w:hAnsi="Times New Roman" w:eastAsia="仿宋_GB2312"/>
          <w:sz w:val="28"/>
          <w:szCs w:val="28"/>
        </w:rPr>
      </w:pPr>
      <w:r>
        <w:fldChar w:fldCharType="begin"/>
      </w:r>
      <w:r>
        <w:instrText xml:space="preserve"> HYPERLINK \l "_Toc87993565" </w:instrText>
      </w:r>
      <w:r>
        <w:fldChar w:fldCharType="separate"/>
      </w:r>
      <w:r>
        <w:rPr>
          <w:rStyle w:val="35"/>
          <w:rFonts w:ascii="Times New Roman" w:hAnsi="Times New Roman" w:eastAsia="仿宋_GB2312"/>
          <w:sz w:val="28"/>
          <w:szCs w:val="28"/>
        </w:rPr>
        <w:t>6.2政策保障</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_Toc87993565 \h </w:instrText>
      </w:r>
      <w:r>
        <w:rPr>
          <w:rFonts w:ascii="Times New Roman" w:hAnsi="Times New Roman" w:eastAsia="仿宋_GB2312"/>
          <w:sz w:val="28"/>
          <w:szCs w:val="28"/>
        </w:rPr>
        <w:fldChar w:fldCharType="separate"/>
      </w:r>
      <w:r>
        <w:rPr>
          <w:rFonts w:ascii="Times New Roman" w:hAnsi="Times New Roman" w:eastAsia="仿宋_GB2312"/>
          <w:sz w:val="28"/>
          <w:szCs w:val="28"/>
        </w:rPr>
        <w:t>66</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"_Toc87993566" </w:instrText>
      </w:r>
      <w:r>
        <w:fldChar w:fldCharType="separate"/>
      </w:r>
      <w:r>
        <w:rPr>
          <w:rStyle w:val="35"/>
          <w:rFonts w:ascii="Times New Roman" w:hAnsi="Times New Roman" w:eastAsia="仿宋_GB2312"/>
          <w:sz w:val="28"/>
          <w:szCs w:val="28"/>
        </w:rPr>
        <w:t>6.2.1脱贫主导特色产业支撑服务体系</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_Toc87993566 \h </w:instrText>
      </w:r>
      <w:r>
        <w:rPr>
          <w:rFonts w:ascii="Times New Roman" w:hAnsi="Times New Roman" w:eastAsia="仿宋_GB2312"/>
          <w:sz w:val="28"/>
          <w:szCs w:val="28"/>
        </w:rPr>
        <w:fldChar w:fldCharType="separate"/>
      </w:r>
      <w:r>
        <w:rPr>
          <w:rFonts w:ascii="Times New Roman" w:hAnsi="Times New Roman" w:eastAsia="仿宋_GB2312"/>
          <w:sz w:val="28"/>
          <w:szCs w:val="28"/>
        </w:rPr>
        <w:t>66</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"_Toc87993567" </w:instrText>
      </w:r>
      <w:r>
        <w:fldChar w:fldCharType="separate"/>
      </w:r>
      <w:r>
        <w:rPr>
          <w:rStyle w:val="35"/>
          <w:rFonts w:ascii="Times New Roman" w:hAnsi="Times New Roman" w:eastAsia="仿宋_GB2312"/>
          <w:sz w:val="28"/>
          <w:szCs w:val="28"/>
        </w:rPr>
        <w:t>6.2.2土地支撑政策</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_Toc87993567 \h </w:instrText>
      </w:r>
      <w:r>
        <w:rPr>
          <w:rFonts w:ascii="Times New Roman" w:hAnsi="Times New Roman" w:eastAsia="仿宋_GB2312"/>
          <w:sz w:val="28"/>
          <w:szCs w:val="28"/>
        </w:rPr>
        <w:fldChar w:fldCharType="separate"/>
      </w:r>
      <w:r>
        <w:rPr>
          <w:rFonts w:ascii="Times New Roman" w:hAnsi="Times New Roman" w:eastAsia="仿宋_GB2312"/>
          <w:sz w:val="28"/>
          <w:szCs w:val="28"/>
        </w:rPr>
        <w:t>68</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"_Toc87993568" </w:instrText>
      </w:r>
      <w:r>
        <w:fldChar w:fldCharType="separate"/>
      </w:r>
      <w:r>
        <w:rPr>
          <w:rStyle w:val="35"/>
          <w:rFonts w:ascii="Times New Roman" w:hAnsi="Times New Roman" w:eastAsia="仿宋_GB2312"/>
          <w:sz w:val="28"/>
          <w:szCs w:val="28"/>
        </w:rPr>
        <w:t>6.2.3金融支撑政策</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_Toc87993568 \h </w:instrText>
      </w:r>
      <w:r>
        <w:rPr>
          <w:rFonts w:ascii="Times New Roman" w:hAnsi="Times New Roman" w:eastAsia="仿宋_GB2312"/>
          <w:sz w:val="28"/>
          <w:szCs w:val="28"/>
        </w:rPr>
        <w:fldChar w:fldCharType="separate"/>
      </w:r>
      <w:r>
        <w:rPr>
          <w:rFonts w:ascii="Times New Roman" w:hAnsi="Times New Roman" w:eastAsia="仿宋_GB2312"/>
          <w:sz w:val="28"/>
          <w:szCs w:val="28"/>
        </w:rPr>
        <w:t>69</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13"/>
        <w:tabs>
          <w:tab w:val="right" w:leader="dot" w:pos="8296"/>
        </w:tabs>
        <w:rPr>
          <w:rFonts w:ascii="Times New Roman" w:hAnsi="Times New Roman" w:eastAsia="仿宋_GB2312"/>
          <w:sz w:val="28"/>
          <w:szCs w:val="28"/>
        </w:rPr>
      </w:pPr>
      <w:r>
        <w:fldChar w:fldCharType="begin"/>
      </w:r>
      <w:r>
        <w:instrText xml:space="preserve"> HYPERLINK \l "_Toc87993569" </w:instrText>
      </w:r>
      <w:r>
        <w:fldChar w:fldCharType="separate"/>
      </w:r>
      <w:r>
        <w:rPr>
          <w:rStyle w:val="35"/>
          <w:rFonts w:ascii="Times New Roman" w:hAnsi="Times New Roman" w:eastAsia="仿宋_GB2312"/>
          <w:sz w:val="28"/>
          <w:szCs w:val="28"/>
        </w:rPr>
        <w:t>6.2.4农业保险政策</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_Toc87993569 \h </w:instrText>
      </w:r>
      <w:r>
        <w:rPr>
          <w:rFonts w:ascii="Times New Roman" w:hAnsi="Times New Roman" w:eastAsia="仿宋_GB2312"/>
          <w:sz w:val="28"/>
          <w:szCs w:val="28"/>
        </w:rPr>
        <w:fldChar w:fldCharType="separate"/>
      </w:r>
      <w:r>
        <w:rPr>
          <w:rFonts w:ascii="Times New Roman" w:hAnsi="Times New Roman" w:eastAsia="仿宋_GB2312"/>
          <w:sz w:val="28"/>
          <w:szCs w:val="28"/>
        </w:rPr>
        <w:t>70</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23"/>
        <w:tabs>
          <w:tab w:val="right" w:leader="dot" w:pos="8296"/>
        </w:tabs>
        <w:rPr>
          <w:rFonts w:ascii="Times New Roman" w:hAnsi="Times New Roman" w:eastAsia="仿宋_GB2312"/>
          <w:sz w:val="28"/>
          <w:szCs w:val="28"/>
        </w:rPr>
      </w:pPr>
      <w:r>
        <w:fldChar w:fldCharType="begin"/>
      </w:r>
      <w:r>
        <w:instrText xml:space="preserve"> HYPERLINK \l "_Toc87993570" </w:instrText>
      </w:r>
      <w:r>
        <w:fldChar w:fldCharType="separate"/>
      </w:r>
      <w:r>
        <w:rPr>
          <w:rStyle w:val="35"/>
          <w:rFonts w:ascii="Times New Roman" w:hAnsi="Times New Roman" w:eastAsia="仿宋_GB2312"/>
          <w:sz w:val="28"/>
          <w:szCs w:val="28"/>
        </w:rPr>
        <w:t>6.3资金保障</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_Toc87993570 \h </w:instrText>
      </w:r>
      <w:r>
        <w:rPr>
          <w:rFonts w:ascii="Times New Roman" w:hAnsi="Times New Roman" w:eastAsia="仿宋_GB2312"/>
          <w:sz w:val="28"/>
          <w:szCs w:val="28"/>
        </w:rPr>
        <w:fldChar w:fldCharType="separate"/>
      </w:r>
      <w:r>
        <w:rPr>
          <w:rFonts w:ascii="Times New Roman" w:hAnsi="Times New Roman" w:eastAsia="仿宋_GB2312"/>
          <w:sz w:val="28"/>
          <w:szCs w:val="28"/>
        </w:rPr>
        <w:t>71</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pStyle w:val="23"/>
        <w:tabs>
          <w:tab w:val="right" w:leader="dot" w:pos="8296"/>
        </w:tabs>
        <w:rPr>
          <w:rFonts w:ascii="Times New Roman" w:hAnsi="Times New Roman" w:eastAsiaTheme="minorEastAsia"/>
          <w:szCs w:val="22"/>
        </w:rPr>
      </w:pPr>
      <w:r>
        <w:fldChar w:fldCharType="begin"/>
      </w:r>
      <w:r>
        <w:instrText xml:space="preserve"> HYPERLINK \l "_Toc87993571" </w:instrText>
      </w:r>
      <w:r>
        <w:fldChar w:fldCharType="separate"/>
      </w:r>
      <w:r>
        <w:rPr>
          <w:rStyle w:val="35"/>
          <w:rFonts w:ascii="Times New Roman" w:hAnsi="Times New Roman" w:eastAsia="仿宋_GB2312"/>
          <w:sz w:val="28"/>
          <w:szCs w:val="28"/>
        </w:rPr>
        <w:t>6.4监督考核</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_Toc87993571 \h </w:instrText>
      </w:r>
      <w:r>
        <w:rPr>
          <w:rFonts w:ascii="Times New Roman" w:hAnsi="Times New Roman" w:eastAsia="仿宋_GB2312"/>
          <w:sz w:val="28"/>
          <w:szCs w:val="28"/>
        </w:rPr>
        <w:fldChar w:fldCharType="separate"/>
      </w:r>
      <w:r>
        <w:rPr>
          <w:rFonts w:ascii="Times New Roman" w:hAnsi="Times New Roman" w:eastAsia="仿宋_GB2312"/>
          <w:sz w:val="28"/>
          <w:szCs w:val="28"/>
        </w:rPr>
        <w:t>72</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pPr>
        <w:spacing w:line="360" w:lineRule="auto"/>
        <w:rPr>
          <w:rFonts w:ascii="Times New Roman" w:hAnsi="Times New Roman"/>
          <w:sz w:val="24"/>
        </w:rPr>
      </w:pPr>
      <w:r>
        <w:rPr>
          <w:rFonts w:ascii="Times New Roman" w:hAnsi="Times New Roman"/>
          <w:sz w:val="24"/>
        </w:rPr>
        <w:fldChar w:fldCharType="end"/>
      </w:r>
    </w:p>
    <w:p>
      <w:pPr>
        <w:spacing w:line="360" w:lineRule="auto"/>
        <w:jc w:val="left"/>
        <w:rPr>
          <w:rFonts w:ascii="Times New Roman" w:hAnsi="Times New Roman" w:eastAsia="仿宋_GB2312"/>
          <w:sz w:val="32"/>
          <w:szCs w:val="32"/>
        </w:rPr>
      </w:pPr>
      <w:r>
        <w:rPr>
          <w:rFonts w:ascii="Times New Roman" w:hAnsi="Times New Roman" w:eastAsia="仿宋_GB2312"/>
          <w:sz w:val="32"/>
          <w:szCs w:val="32"/>
        </w:rPr>
        <w:t>附表：澧县“十四五”脱贫主导特色产业发展规划重点项目一览表</w:t>
      </w:r>
    </w:p>
    <w:p>
      <w:pPr>
        <w:spacing w:line="580" w:lineRule="exact"/>
        <w:ind w:firstLine="640" w:firstLineChars="200"/>
        <w:rPr>
          <w:rFonts w:ascii="Times New Roman" w:hAnsi="Times New Roman" w:eastAsia="仿宋_GB2312"/>
          <w:sz w:val="32"/>
          <w:szCs w:val="32"/>
        </w:rPr>
      </w:pPr>
    </w:p>
    <w:p>
      <w:pPr>
        <w:jc w:val="center"/>
        <w:rPr>
          <w:rFonts w:ascii="Times New Roman" w:hAnsi="Times New Roman" w:eastAsia="黑体"/>
          <w:sz w:val="32"/>
          <w:szCs w:val="32"/>
        </w:rPr>
      </w:pPr>
    </w:p>
    <w:p>
      <w:pPr>
        <w:jc w:val="center"/>
        <w:outlineLvl w:val="0"/>
        <w:rPr>
          <w:rFonts w:ascii="Times New Roman" w:hAnsi="Times New Roman" w:eastAsia="黑体"/>
          <w:sz w:val="32"/>
          <w:szCs w:val="32"/>
        </w:rPr>
        <w:sectPr>
          <w:footerReference r:id="rId5" w:type="default"/>
          <w:pgSz w:w="11906" w:h="16838"/>
          <w:pgMar w:top="1440" w:right="1800" w:bottom="1440" w:left="1800" w:header="851" w:footer="992" w:gutter="0"/>
          <w:pgNumType w:fmt="upperRoman" w:start="1"/>
          <w:cols w:space="425" w:num="1"/>
          <w:docGrid w:type="lines" w:linePitch="312" w:charSpace="0"/>
        </w:sectPr>
      </w:pPr>
    </w:p>
    <w:p>
      <w:pPr>
        <w:pStyle w:val="47"/>
        <w:numPr>
          <w:ilvl w:val="0"/>
          <w:numId w:val="1"/>
        </w:numPr>
        <w:spacing w:line="580" w:lineRule="exact"/>
        <w:ind w:firstLineChars="0"/>
        <w:jc w:val="center"/>
        <w:outlineLvl w:val="0"/>
        <w:rPr>
          <w:rFonts w:ascii="Times New Roman" w:hAnsi="Times New Roman" w:eastAsia="黑体"/>
          <w:sz w:val="32"/>
          <w:szCs w:val="32"/>
        </w:rPr>
      </w:pPr>
      <w:bookmarkStart w:id="33" w:name="_Toc87993494"/>
      <w:r>
        <w:rPr>
          <w:rFonts w:ascii="Times New Roman" w:hAnsi="Times New Roman" w:eastAsia="黑体"/>
          <w:sz w:val="32"/>
          <w:szCs w:val="32"/>
        </w:rPr>
        <w:t>规划背景与依据</w:t>
      </w:r>
      <w:bookmarkEnd w:id="33"/>
    </w:p>
    <w:p>
      <w:pPr>
        <w:spacing w:line="580" w:lineRule="exact"/>
        <w:outlineLvl w:val="1"/>
        <w:rPr>
          <w:rFonts w:ascii="Times New Roman" w:hAnsi="Times New Roman" w:eastAsia="楷体"/>
          <w:b/>
          <w:sz w:val="32"/>
          <w:szCs w:val="32"/>
        </w:rPr>
      </w:pPr>
      <w:bookmarkStart w:id="34" w:name="_Toc87993495"/>
      <w:r>
        <w:rPr>
          <w:rFonts w:ascii="Times New Roman" w:hAnsi="Times New Roman" w:eastAsia="楷体"/>
          <w:b/>
          <w:sz w:val="32"/>
          <w:szCs w:val="32"/>
        </w:rPr>
        <w:t>1.1规划编制的目的</w:t>
      </w:r>
      <w:bookmarkEnd w:id="34"/>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为全面贯彻落实党的十九大和十九届二中、三中、四中、五中、六中全会精神、中央经济工作会议和中央农村工作会议精神，落实省委、省政府《关于实现巩固拓展脱贫攻坚成果同乡村振兴有效衔接的实施意义》（湘发[2021]10号），以及省农业农村厅等10部门《关于推进脱贫地区特色产业可持续发展的实施意见》（湘农联[2021]88号）精神，把农业优势特色产业作为乡村振兴的重要战略，进一步夯实澧县特色产业发展基础，促进全县农业高质量发展，使优势特色产业成为支撑推动农业高质量发展、助推乡村产业振兴的中坚力量，特编制《澧县“十四五”脱贫主导特色产业发展规划（2021-2025年）》，规划期为2021-2025年，是指导全县各级各部门分类有序推进脱贫主导特色产业发展的重要依据和行动纲领。</w:t>
      </w:r>
    </w:p>
    <w:p>
      <w:pPr>
        <w:spacing w:line="580" w:lineRule="exact"/>
        <w:outlineLvl w:val="1"/>
        <w:rPr>
          <w:rFonts w:ascii="Times New Roman" w:hAnsi="Times New Roman" w:eastAsia="楷体"/>
          <w:b/>
          <w:sz w:val="32"/>
          <w:szCs w:val="32"/>
        </w:rPr>
      </w:pPr>
      <w:bookmarkStart w:id="35" w:name="_Toc87993496"/>
      <w:r>
        <w:rPr>
          <w:rFonts w:ascii="Times New Roman" w:hAnsi="Times New Roman" w:eastAsia="楷体"/>
          <w:b/>
          <w:sz w:val="32"/>
          <w:szCs w:val="32"/>
        </w:rPr>
        <w:t>1.2规划编制的意义</w:t>
      </w:r>
      <w:bookmarkEnd w:id="35"/>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“十四五”规划属于宏观性、全局性、引领性的中长期规划，是实现长远目标和长期规划的基础和阶梯，具有十分重要的地位和作用。“十四五”时期是我国全面建设社会主义现代化</w:t>
      </w:r>
      <w:r>
        <w:rPr>
          <w:rFonts w:hint="eastAsia" w:ascii="Times New Roman" w:hAnsi="Times New Roman" w:eastAsia="仿宋_GB2312"/>
          <w:sz w:val="32"/>
          <w:szCs w:val="32"/>
          <w:lang w:val="en-US" w:eastAsia="zh-CN"/>
        </w:rPr>
        <w:t>国家</w:t>
      </w:r>
      <w:bookmarkStart w:id="128" w:name="_GoBack"/>
      <w:bookmarkEnd w:id="128"/>
      <w:r>
        <w:rPr>
          <w:rFonts w:ascii="Times New Roman" w:hAnsi="Times New Roman" w:eastAsia="仿宋_GB2312"/>
          <w:sz w:val="32"/>
          <w:szCs w:val="32"/>
        </w:rPr>
        <w:t>新征程的重要开端，是我国第二个百年奋斗目标的重要时期、迈向高收入阶段的开局时期、实施创新强国阶段的开局时期。“十四五”时期也是农业产业加速整合升级的新阶段。当前扶贫产业总体还处于培育成长期，整体发展水平还不高，可持续发展能力还不强，而产业发展也与脱贫攻坚周期不一致，很多问题在攻坚期内不可能毕其功于一役，需要纳入实施乡村振兴战略统一考虑，创造条件、分阶段逐步解决</w:t>
      </w:r>
      <w:r>
        <w:rPr>
          <w:rFonts w:ascii="Times New Roman" w:hAnsi="Times New Roman"/>
          <w:color w:val="4D4F53"/>
          <w:spacing w:val="15"/>
          <w:sz w:val="27"/>
          <w:szCs w:val="27"/>
          <w:shd w:val="clear" w:color="auto" w:fill="FFFFFF"/>
        </w:rPr>
        <w:t>。</w:t>
      </w:r>
      <w:r>
        <w:rPr>
          <w:rFonts w:ascii="Times New Roman" w:hAnsi="Times New Roman" w:eastAsia="仿宋_GB2312"/>
          <w:sz w:val="32"/>
          <w:szCs w:val="32"/>
        </w:rPr>
        <w:t>制定“十四五”脱贫主导特色产业发展规划，突出特色和全产业链开发，实施特色种养业提升行动，扶持发展农产品加工业和乡村服务业，加快推进产业链现代化。严格落实“四个不摘”（即“摘帽不摘责任、摘帽不摘政策、摘帽不摘帮扶、摘帽不摘监管”）要求，将产业扶贫帮扶资源有序转到乡村产业振兴。推动现有扶贫专项资金和涉农整合资金，主要支持产业发展，稳定并完善小额信贷政策，加快发展特色农产品保险，保障产业用地需要，为脱贫地区产业发展营造更好的环境。</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本《规划》将紧紧围绕《澧县国民经济和社会发展第十四个五年规划和二Ｏ三五年远景目标纲要》的发展战略和“一三四五”的发展构想，依托澧县独特的地理区位优势、自然资源优势和农业产业基础，建立现代农业生产方式，推动形成县城、中心乡镇、中心村、农户层级分明、功能有效衔接的特色产业布局，强化区域协同发展，打造集中连片特色产业集群。本《规划》是过渡期内指导澧县脱贫主导特色产业发展的蓝图和行动纲领，是制定有关产业扶持政策的重要依据，是优化产业布局、引导资金人才技术信息向脱贫地区聚集、培育壮大脱贫主导特色产业的重要手段，将对于加快推进澧县农业全面升级、农村全面进步、农民全面发展，把澧县建成湖南省现代农业强县，以及全面启动社会主义现代化建设新征程等都具有重要意义。</w:t>
      </w:r>
    </w:p>
    <w:p>
      <w:pPr>
        <w:spacing w:line="580" w:lineRule="exact"/>
        <w:outlineLvl w:val="1"/>
        <w:rPr>
          <w:rFonts w:ascii="Times New Roman" w:hAnsi="Times New Roman" w:eastAsia="楷体"/>
          <w:b/>
          <w:sz w:val="32"/>
          <w:szCs w:val="32"/>
        </w:rPr>
      </w:pPr>
      <w:bookmarkStart w:id="36" w:name="_Toc87993497"/>
      <w:r>
        <w:rPr>
          <w:rFonts w:ascii="Times New Roman" w:hAnsi="Times New Roman" w:eastAsia="楷体"/>
          <w:b/>
          <w:sz w:val="32"/>
          <w:szCs w:val="32"/>
        </w:rPr>
        <w:t>1.3规划编制的依据</w:t>
      </w:r>
      <w:bookmarkEnd w:id="36"/>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1、《中共中央国务院关于实施乡村振兴战略的意见》；</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2、《乡村振兴战略规划（2018-2022年）》；</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3、《数字农业农村发展规划（2019-2025年）》；</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4、《农业绿色发展技术导则（2018-2030年）》；</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5、《湖南省乡村振兴战略规划（2018-2022年）》；</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6、《湖南省“十四五”农业农村现代化规划》；</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7、《湖南省“十四五”巩固拓展脱贫攻坚成果同乡村振兴有效衔接规划》；</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8、关于打造农业优势特色千亿产业促进乡村产业振兴的意见》（湘农组发〔2019〕1号）；</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9、《常德市“十四五”农业农村发展规划》；</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10、《澧县国民经济和社会发展第十四个五年规划和二Ｏ三五年远景目标纲要》；</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11、《澧县乡村振兴战略规划（2018-2022年）》；</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12、《澧县“十四五”现代农业农村发展规划》。</w:t>
      </w:r>
    </w:p>
    <w:p>
      <w:pPr>
        <w:spacing w:line="580" w:lineRule="exact"/>
        <w:ind w:firstLine="640" w:firstLineChars="200"/>
        <w:rPr>
          <w:rFonts w:ascii="Times New Roman" w:hAnsi="Times New Roman" w:eastAsia="仿宋_GB2312"/>
          <w:sz w:val="32"/>
          <w:szCs w:val="32"/>
        </w:rPr>
      </w:pPr>
    </w:p>
    <w:p>
      <w:pPr>
        <w:spacing w:line="580" w:lineRule="exact"/>
        <w:ind w:firstLine="640" w:firstLineChars="200"/>
        <w:rPr>
          <w:rFonts w:ascii="Times New Roman" w:hAnsi="Times New Roman" w:eastAsia="仿宋_GB2312"/>
          <w:sz w:val="32"/>
          <w:szCs w:val="32"/>
        </w:rPr>
      </w:pPr>
    </w:p>
    <w:p>
      <w:pPr>
        <w:spacing w:line="580" w:lineRule="exact"/>
        <w:ind w:firstLine="640" w:firstLineChars="200"/>
        <w:rPr>
          <w:rFonts w:ascii="Times New Roman" w:hAnsi="Times New Roman" w:eastAsia="仿宋_GB2312"/>
          <w:sz w:val="32"/>
          <w:szCs w:val="32"/>
        </w:rPr>
      </w:pPr>
    </w:p>
    <w:p>
      <w:pPr>
        <w:spacing w:line="580" w:lineRule="exact"/>
        <w:ind w:firstLine="640" w:firstLineChars="200"/>
        <w:rPr>
          <w:rFonts w:ascii="Times New Roman" w:hAnsi="Times New Roman" w:eastAsia="仿宋_GB2312"/>
          <w:sz w:val="32"/>
          <w:szCs w:val="32"/>
        </w:rPr>
      </w:pPr>
    </w:p>
    <w:p>
      <w:pPr>
        <w:spacing w:line="580" w:lineRule="exact"/>
        <w:ind w:firstLine="640" w:firstLineChars="200"/>
        <w:rPr>
          <w:rFonts w:ascii="Times New Roman" w:hAnsi="Times New Roman" w:eastAsia="仿宋_GB2312"/>
          <w:sz w:val="32"/>
          <w:szCs w:val="32"/>
        </w:rPr>
      </w:pPr>
    </w:p>
    <w:p>
      <w:pPr>
        <w:spacing w:line="580" w:lineRule="exact"/>
        <w:ind w:firstLine="640" w:firstLineChars="200"/>
        <w:rPr>
          <w:rFonts w:ascii="Times New Roman" w:hAnsi="Times New Roman" w:eastAsia="仿宋_GB2312"/>
          <w:sz w:val="32"/>
          <w:szCs w:val="32"/>
        </w:rPr>
      </w:pPr>
    </w:p>
    <w:p>
      <w:pPr>
        <w:spacing w:line="580" w:lineRule="exact"/>
        <w:ind w:firstLine="640" w:firstLineChars="200"/>
        <w:rPr>
          <w:rFonts w:ascii="Times New Roman" w:hAnsi="Times New Roman" w:eastAsia="仿宋_GB2312"/>
          <w:sz w:val="32"/>
          <w:szCs w:val="32"/>
        </w:rPr>
      </w:pPr>
    </w:p>
    <w:p>
      <w:pPr>
        <w:spacing w:line="580" w:lineRule="exact"/>
        <w:ind w:firstLine="640" w:firstLineChars="200"/>
        <w:rPr>
          <w:rFonts w:ascii="Times New Roman" w:hAnsi="Times New Roman" w:eastAsia="仿宋_GB2312"/>
          <w:sz w:val="32"/>
          <w:szCs w:val="32"/>
        </w:rPr>
      </w:pPr>
    </w:p>
    <w:p>
      <w:pPr>
        <w:pStyle w:val="47"/>
        <w:numPr>
          <w:ilvl w:val="0"/>
          <w:numId w:val="1"/>
        </w:numPr>
        <w:spacing w:line="580" w:lineRule="exact"/>
        <w:ind w:firstLineChars="0"/>
        <w:jc w:val="center"/>
        <w:outlineLvl w:val="0"/>
        <w:rPr>
          <w:rFonts w:ascii="Times New Roman" w:hAnsi="Times New Roman" w:eastAsia="黑体"/>
          <w:sz w:val="32"/>
          <w:szCs w:val="32"/>
        </w:rPr>
      </w:pPr>
      <w:bookmarkStart w:id="37" w:name="_Toc87993498"/>
      <w:r>
        <w:rPr>
          <w:rFonts w:ascii="Times New Roman" w:hAnsi="Times New Roman" w:eastAsia="黑体"/>
          <w:sz w:val="32"/>
          <w:szCs w:val="32"/>
        </w:rPr>
        <w:t>现状分析</w:t>
      </w:r>
      <w:bookmarkEnd w:id="37"/>
    </w:p>
    <w:p>
      <w:pPr>
        <w:spacing w:line="580" w:lineRule="exact"/>
        <w:outlineLvl w:val="1"/>
        <w:rPr>
          <w:rFonts w:ascii="Times New Roman" w:hAnsi="Times New Roman" w:eastAsia="楷体"/>
          <w:b/>
          <w:sz w:val="32"/>
          <w:szCs w:val="32"/>
        </w:rPr>
      </w:pPr>
      <w:bookmarkStart w:id="38" w:name="_Toc87993499"/>
      <w:bookmarkStart w:id="39" w:name="_Toc524629020"/>
      <w:bookmarkStart w:id="40" w:name="_Toc524329449"/>
      <w:bookmarkStart w:id="41" w:name="_Toc524329453"/>
      <w:r>
        <w:rPr>
          <w:rFonts w:ascii="Times New Roman" w:hAnsi="Times New Roman" w:eastAsia="楷体"/>
          <w:b/>
          <w:sz w:val="32"/>
          <w:szCs w:val="32"/>
        </w:rPr>
        <w:t>2.1脱贫主导特色产业发展现状</w:t>
      </w:r>
      <w:bookmarkEnd w:id="38"/>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十三五”期间，澧县县委、县政府认真贯彻落实市委“开放强市、产业立市”战略，大力推进农业供给侧结构性改革，全面实施“六大强农行动”，加快落实澧县优势产业布局，坚持绿色农业目标，大力实施高标准农田建设和优势农产品基地建设工程。五年来，农业产业结构体系不断优化，发展方式加快转变，长效监管机制逐步建立，现代农业呈现出蓬勃发展的良好态势，取得了显著的成效。2020年，全县实现农林牧渔业总产值110.8亿元，较2015年（91.4）增长21.2%，农民人均可支配收入19588元，较2015年（11713）增长67.2%。</w:t>
      </w:r>
    </w:p>
    <w:p>
      <w:pPr>
        <w:spacing w:line="580" w:lineRule="exact"/>
        <w:outlineLvl w:val="2"/>
        <w:rPr>
          <w:rFonts w:ascii="Times New Roman" w:hAnsi="Times New Roman" w:eastAsia="仿宋_GB2312"/>
          <w:b/>
          <w:sz w:val="32"/>
          <w:szCs w:val="32"/>
        </w:rPr>
      </w:pPr>
      <w:bookmarkStart w:id="42" w:name="_Toc87993500"/>
      <w:r>
        <w:rPr>
          <w:rFonts w:ascii="Times New Roman" w:hAnsi="Times New Roman" w:eastAsia="仿宋_GB2312"/>
          <w:b/>
          <w:sz w:val="32"/>
          <w:szCs w:val="32"/>
        </w:rPr>
        <w:t>2.1.1提升传统支柱产业</w:t>
      </w:r>
      <w:bookmarkEnd w:id="42"/>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“十三五”期间全县通过标准化生产、规模化种养、品牌化加工，稳定和提升粮、棉、油及生态养殖等传统支柱产业。全县粮食作物面积常年稳定在 125万亩以上，产量50万吨以上，其中水稻105万亩，连续九年获得省粮食生产先进县或标兵县称号；全县常年种植油菜65 万亩左右，约占全市的15%，优质油菜覆盖率98%以上。澧县的“城头山大米”、“澧县双低油菜籽”被列为国家地理标志保护产品。</w:t>
      </w:r>
      <w:r>
        <w:rPr>
          <w:rFonts w:ascii="Times New Roman" w:hAnsi="Times New Roman" w:eastAsia="仿宋_GB2312"/>
          <w:kern w:val="0"/>
          <w:sz w:val="32"/>
          <w:szCs w:val="32"/>
        </w:rPr>
        <w:t>澧县是国家优质棉基地县之一，全县棉花种植面积稳定在12.5万亩以上，产值2.2亿元以上。全年生猪存栏42.28万头，生猪出栏53.3万头，家禽存笼650.67万只，家禽出笼834.9万羽，全年肉类总产量5.74万吨，禽蛋产量6.39万吨，水产品产量6.11万吨。</w:t>
      </w:r>
    </w:p>
    <w:p>
      <w:pPr>
        <w:spacing w:line="580" w:lineRule="exact"/>
        <w:outlineLvl w:val="2"/>
        <w:rPr>
          <w:rFonts w:ascii="Times New Roman" w:hAnsi="Times New Roman" w:eastAsia="仿宋_GB2312"/>
          <w:b/>
          <w:sz w:val="32"/>
          <w:szCs w:val="32"/>
        </w:rPr>
      </w:pPr>
      <w:bookmarkStart w:id="43" w:name="_Toc87993501"/>
      <w:r>
        <w:rPr>
          <w:rFonts w:ascii="Times New Roman" w:hAnsi="Times New Roman" w:eastAsia="仿宋_GB2312"/>
          <w:b/>
          <w:sz w:val="32"/>
          <w:szCs w:val="32"/>
        </w:rPr>
        <w:t>2.1.2打造特色优势产业</w:t>
      </w:r>
      <w:bookmarkEnd w:id="43"/>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澧县紧紧围绕农业产业、资源环境、农村社会可持续发展目标，加速从农业大县向农业强县转型，着力培育了葡萄、茶叶、柑橘、花木、虾蟹、蔬菜、中药材七大农业特色产业，大力推进特色产业规模化、标准化、品牌化建设。葡萄种植面积已达6.7万亩，产值超15亿，其中阳光玫瑰5万亩，是全国阳光玫瑰种植面积最大的种植县，被中国农学会葡萄分会授予“中国阳光玫瑰葡萄标准化生产示范县”称号；茶叶种植，着力在生态、有机、无公害、深加工上做文章，产值分别达1.31亿元；柑橘种植面积20万亩，产量50万吨左右，产值10亿元以上；花木产业种植面积5.3万亩，产值6亿元。虾蟹产业养殖面积近10万亩，其中稻虾共生面积7万多亩，产值达7.87亿元；蔬菜年播种面积24.4万亩，产量40万吨，产值7亿元；中药材种植面积近6万亩，产值8亿元，跻身全省20个中药材种植基地示范县之列，成功引进“中国中药”“丽珠医药集团”“金六谷药业”等大型药企落地澧县。</w:t>
      </w:r>
    </w:p>
    <w:p>
      <w:pPr>
        <w:spacing w:line="580" w:lineRule="exact"/>
        <w:outlineLvl w:val="2"/>
        <w:rPr>
          <w:rFonts w:ascii="Times New Roman" w:hAnsi="Times New Roman" w:eastAsia="仿宋_GB2312"/>
          <w:b/>
          <w:sz w:val="32"/>
          <w:szCs w:val="32"/>
        </w:rPr>
      </w:pPr>
      <w:bookmarkStart w:id="44" w:name="_Toc87993502"/>
      <w:r>
        <w:rPr>
          <w:rFonts w:ascii="Times New Roman" w:hAnsi="Times New Roman" w:eastAsia="仿宋_GB2312"/>
          <w:b/>
          <w:sz w:val="32"/>
          <w:szCs w:val="32"/>
        </w:rPr>
        <w:t>2.1.3培育新型经营主体</w:t>
      </w:r>
      <w:bookmarkEnd w:id="44"/>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全县规上农业企业69家，其中省级龙头企业8家、市级龙头企业61家。重点培育了洞庭春米业、锦绣千村、农康葡萄、绿丰柑橘、海福中药材、黄家套蔬菜等一批农业龙头企业，其中洞庭春米业稻米加工能力10万吨以上，销售产值近18个亿，计划申报国家级农业产业化龙头企业，腾宏米业稻米年加工能力3万吨，产值过亿元。培育农民专业合作社1201家，家庭农场1513家，其中锦绣千村、农康葡萄合作社被评为全国百强农民合作社，锦绣千村合作社社会化服务模式入选全国农民专业合作社发展典型十大案例，龚佑琼获评全国“十佳农民”。</w:t>
      </w:r>
    </w:p>
    <w:p>
      <w:pPr>
        <w:spacing w:line="580" w:lineRule="exact"/>
        <w:outlineLvl w:val="2"/>
        <w:rPr>
          <w:rFonts w:ascii="Times New Roman" w:hAnsi="Times New Roman" w:eastAsia="仿宋_GB2312"/>
          <w:b/>
          <w:sz w:val="32"/>
          <w:szCs w:val="32"/>
        </w:rPr>
      </w:pPr>
      <w:bookmarkStart w:id="45" w:name="_Toc87993503"/>
      <w:r>
        <w:rPr>
          <w:rFonts w:ascii="Times New Roman" w:hAnsi="Times New Roman" w:eastAsia="仿宋_GB2312"/>
          <w:b/>
          <w:sz w:val="32"/>
          <w:szCs w:val="32"/>
        </w:rPr>
        <w:t>2.1.4强化农业社会化服务</w:t>
      </w:r>
      <w:bookmarkEnd w:id="45"/>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积极实施“科技入户工程”和“高素质农民培训工程”，建立县、镇、村三级联动的“三农”服务网络，为县级农业技术推广机构+镇街“三农”农业服务中心+村级农民技术员的模式提供服务保障。澧县积极探索四种合作社模式：即加工企业主导型的“洞庭春”模式，粮食大户领办型的“方大”模式，农机社会化服务型的“锦绣千村”模式及机手互助合作型的联合模式。湖南锦绣千村农业合作社，以县建总社、乡镇设立分社、村级建服务站的方式，形成完整的三级服务体系，覆盖澧县、津市、临澧等地的29个乡镇。依托农资采购配送平台、生产服务平台、农产品购销平台和内部资金互助平台为服务对象提供“全程、多元、高效”服务，效果显著、广受欢迎。全县通过社会化服务使20多万小农户与现代农业实现了有机衔接。目前全县水稻综合机械化水平达到76%，比全省平均水平高 3%。</w:t>
      </w:r>
    </w:p>
    <w:p>
      <w:pPr>
        <w:spacing w:line="580" w:lineRule="exact"/>
        <w:outlineLvl w:val="2"/>
        <w:rPr>
          <w:rFonts w:ascii="Times New Roman" w:hAnsi="Times New Roman" w:eastAsia="仿宋_GB2312"/>
          <w:b/>
          <w:sz w:val="32"/>
          <w:szCs w:val="32"/>
        </w:rPr>
      </w:pPr>
      <w:bookmarkStart w:id="46" w:name="_Toc87993504"/>
      <w:r>
        <w:rPr>
          <w:rFonts w:ascii="Times New Roman" w:hAnsi="Times New Roman" w:eastAsia="仿宋_GB2312"/>
          <w:b/>
          <w:sz w:val="32"/>
          <w:szCs w:val="32"/>
        </w:rPr>
        <w:t>2.1.5推动产业融合发展</w:t>
      </w:r>
      <w:bookmarkEnd w:id="46"/>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积极创建省级农村产业融合发展示范园，农村一二三产业发展加快融合，新型农业经营主体发展壮大，农村资源要素初步激活，社会资本、技术、人才等返乡下乡积极性提高，新产业新业态新模式蓬勃发展。国家农业可持续发展试验示范区建设步伐加快，农业绿色发展先行先试积极推进，“稻田+”立体种植模式在全县得到示范和推广。澧县城头山景区依托古城文化、稻作文化，不断推进当地一二三产业融合发展。全县大力推进农旅融合，如绿之源生态农业、大美绿色家园获湖南休闲农业与乡村旅游之“澧水漫游回归自然”精品旅游线路等农旅融合示范试点，依托特色餐饮、农事体验、科普教育等多种农业观光项目，促产业融合初见成效。目前我县休闲农业发展在全市保持领先地位。年营业额在50万元以上的休闲农业经营主体达到83家，从业人员4300人，年营业7.95亿元，利润9300万元。全县国、省星级农庄13家，其中国五星3家、省五星8家，固定资产投入均在1000万元以上。</w:t>
      </w:r>
    </w:p>
    <w:p>
      <w:pPr>
        <w:spacing w:line="580" w:lineRule="exact"/>
        <w:outlineLvl w:val="2"/>
        <w:rPr>
          <w:rFonts w:ascii="Times New Roman" w:hAnsi="Times New Roman" w:eastAsia="仿宋_GB2312"/>
          <w:b/>
          <w:sz w:val="32"/>
          <w:szCs w:val="32"/>
        </w:rPr>
      </w:pPr>
      <w:bookmarkStart w:id="47" w:name="_Toc87993505"/>
      <w:r>
        <w:rPr>
          <w:rFonts w:ascii="Times New Roman" w:hAnsi="Times New Roman" w:eastAsia="仿宋_GB2312"/>
          <w:b/>
          <w:sz w:val="32"/>
          <w:szCs w:val="32"/>
        </w:rPr>
        <w:t>2.1.6狠抓农产品质量安全</w:t>
      </w:r>
      <w:bookmarkEnd w:id="47"/>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持续抓好省级农产品质量安全县、乡镇监管示范创建工作，开展农产品质量安全利剑行动，坚持把农产品质量作为强品牌的基础，全县15个镇已建立农产品质量安全监管站，加强投入品市场管理和农产品质量检测，主要农产品质量安全监测总体合格率达100%；鼓励企业开展“二品一标”认证，我县“二品一标”农产品认证总数已达99个，其中地理标志农产品认证5个、有机认证37个、绿色认证57个。</w:t>
      </w:r>
    </w:p>
    <w:p>
      <w:pPr>
        <w:spacing w:line="580" w:lineRule="exact"/>
        <w:outlineLvl w:val="2"/>
        <w:rPr>
          <w:rFonts w:ascii="Times New Roman" w:hAnsi="Times New Roman" w:eastAsia="仿宋_GB2312"/>
          <w:b/>
          <w:sz w:val="32"/>
          <w:szCs w:val="32"/>
        </w:rPr>
      </w:pPr>
      <w:bookmarkStart w:id="48" w:name="_Toc87993506"/>
      <w:r>
        <w:rPr>
          <w:rFonts w:ascii="Times New Roman" w:hAnsi="Times New Roman" w:eastAsia="仿宋_GB2312"/>
          <w:b/>
          <w:sz w:val="32"/>
          <w:szCs w:val="32"/>
        </w:rPr>
        <w:t>2.1.7建立农户利益保障机制</w:t>
      </w:r>
      <w:bookmarkEnd w:id="48"/>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坚持把精准脱贫作为最大的政治任务，按照“五个一批”“六个精准”的要求，围绕“两不愁三保障”目标，强化扶贫政策和帮扶责任落实。产业扶贫、教育扶贫、健康扶贫、生态扶贫等稳步推进，贫困地区农民收入增速持续快于全国平均水平，集中连片特困地区内生发展动力明显增强。全县共有42个建档立卡贫困村、15373户45964人建档立卡贫困人口，2020年实现全部脱贫。“十三五”期间，全县积极推广“龙头企业＋基地+农户”型、农村经纪人或中介组织带动型等多种专业服务组织；全县出台产业扶贫实施方案，做到农业产业扶贫项目落地生效，多渠道、多途径加大贫困农户农业生产技术培训，进一步提高贫困农民通过发展生产脱贫致富的农业技术和本领。</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实施重点产业扶贫项目，我县有2018年2个、2019年4个、2020年7个省重点产业扶贫项目，共13家主体带动4777个贫困人口参与产业扶贫，涉及优质稻、中药材、葡萄等产业，使贫困户稳定致富。通过脱贫攻坚补短板综合财力补助资金项目，扶持澧县大团中草药种植专业合作社等4家主体，带动134户贫困户稳定增收。以葡萄、茶叶、柑橘、花木、虾蟹、蔬菜、中药材等产业为重点，培育了一批“龙头”企业，打造了一批“拳头”产品。过强基地、扶龙头、树品牌，有力地推动产业转型升级，采取“龙头企业＋专业合作社＋基地＋农户”利益联结机制，进行标准化生产、集约化管理、规模化经营、品牌化销售，全产业链发展。通过辐射带动作用，提升农业生产装备水平，推进农业产业化经营，带动农户就业，促进农民增收。充分发挥市场配套资源的决定性作用，探索建立农户利益保障机制，让农民分享更多二三产业的增值收益，实现产业兴旺与生活富裕同步、企业发展与农民增收双赢。鼓励龙头企业采用“企业+农户”、“企业+基地”、“企业+合作社+农户”、“企业+合作社+基地+农户”等多种形式，在“平等自愿、互利共赢”的原则下与农户建立以市场联结、订单农业、专业合作社（协会）、土地流转、农企对接为主的利益联结机制，形成“风险共担、利益均沾”的利益共同体。</w:t>
      </w:r>
    </w:p>
    <w:p>
      <w:pPr>
        <w:spacing w:line="580" w:lineRule="exact"/>
        <w:outlineLvl w:val="2"/>
        <w:rPr>
          <w:rFonts w:ascii="Times New Roman" w:hAnsi="Times New Roman" w:eastAsia="仿宋_GB2312"/>
          <w:b/>
          <w:sz w:val="32"/>
          <w:szCs w:val="32"/>
        </w:rPr>
      </w:pPr>
      <w:bookmarkStart w:id="49" w:name="_Toc87993507"/>
      <w:r>
        <w:rPr>
          <w:rFonts w:ascii="Times New Roman" w:hAnsi="Times New Roman" w:eastAsia="仿宋_GB2312"/>
          <w:b/>
          <w:sz w:val="32"/>
          <w:szCs w:val="32"/>
        </w:rPr>
        <w:t>2.1.8创新利益联结模式</w:t>
      </w:r>
      <w:bookmarkEnd w:id="49"/>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全县推介探索出“订单生产+保底收购”模式，“龙头企业+基地”模式，“村社合一+产业带动”模式提高了农民积极性，有效带动全镇农民增产增收。</w:t>
      </w:r>
      <w:r>
        <w:rPr>
          <w:rFonts w:ascii="Times New Roman" w:hAnsi="Times New Roman" w:eastAsia="仿宋_GB2312"/>
          <w:b/>
          <w:sz w:val="32"/>
          <w:szCs w:val="32"/>
        </w:rPr>
        <w:t>“订单生产+保底收购”模式。</w:t>
      </w:r>
      <w:r>
        <w:rPr>
          <w:rFonts w:ascii="Times New Roman" w:hAnsi="Times New Roman" w:eastAsia="仿宋_GB2312"/>
          <w:sz w:val="32"/>
          <w:szCs w:val="32"/>
        </w:rPr>
        <w:t>湖南锦绣千村农业合作社、洞庭春米业、三湘春米业开展的优质稻订单生产累计面积达到30万亩，覆盖了全县所有粮食主产区。</w:t>
      </w:r>
      <w:r>
        <w:rPr>
          <w:rFonts w:ascii="Times New Roman" w:hAnsi="Times New Roman" w:eastAsia="仿宋_GB2312"/>
          <w:b/>
          <w:sz w:val="32"/>
          <w:szCs w:val="32"/>
        </w:rPr>
        <w:t>“龙头企业+基地”模式。</w:t>
      </w:r>
      <w:r>
        <w:rPr>
          <w:rFonts w:ascii="Times New Roman" w:hAnsi="Times New Roman" w:eastAsia="仿宋_GB2312"/>
          <w:sz w:val="32"/>
          <w:szCs w:val="32"/>
        </w:rPr>
        <w:t>常德正新农业发展有机蔬菜基地1万亩、涔怀现代农业发展有限公司发展有机稻、蔬菜近万亩、黄家套现代农业产业园发展设施蔬菜2000亩，通过土地流转及务工增加了贫困户的收入。</w:t>
      </w:r>
      <w:r>
        <w:rPr>
          <w:rFonts w:ascii="Times New Roman" w:hAnsi="Times New Roman" w:eastAsia="仿宋_GB2312"/>
          <w:b/>
          <w:sz w:val="32"/>
          <w:szCs w:val="32"/>
        </w:rPr>
        <w:t>“村社合一+产业带动”模式。</w:t>
      </w:r>
      <w:r>
        <w:rPr>
          <w:rFonts w:ascii="Times New Roman" w:hAnsi="Times New Roman" w:eastAsia="仿宋_GB2312"/>
          <w:sz w:val="32"/>
          <w:szCs w:val="32"/>
        </w:rPr>
        <w:t>码头铺镇三观寺村桂蕊特种柑橘种植专业合作社、如东镇永镇村水果种植合作社等一批通过村社合一把贫困户联结到产业利益链条上，大幅提高了贫困户年收益。</w:t>
      </w:r>
    </w:p>
    <w:p>
      <w:pPr>
        <w:spacing w:line="580" w:lineRule="exact"/>
        <w:outlineLvl w:val="1"/>
        <w:rPr>
          <w:rFonts w:ascii="Times New Roman" w:hAnsi="Times New Roman" w:eastAsia="楷体"/>
          <w:b/>
          <w:sz w:val="32"/>
          <w:szCs w:val="32"/>
        </w:rPr>
      </w:pPr>
      <w:bookmarkStart w:id="50" w:name="_Toc87993508"/>
      <w:r>
        <w:rPr>
          <w:rFonts w:ascii="Times New Roman" w:hAnsi="Times New Roman" w:eastAsia="楷体"/>
          <w:b/>
          <w:sz w:val="32"/>
          <w:szCs w:val="32"/>
        </w:rPr>
        <w:t>2.2存在的困难与问题</w:t>
      </w:r>
      <w:bookmarkEnd w:id="50"/>
    </w:p>
    <w:p>
      <w:pPr>
        <w:spacing w:line="580" w:lineRule="exact"/>
        <w:outlineLvl w:val="2"/>
        <w:rPr>
          <w:rFonts w:ascii="Times New Roman" w:hAnsi="Times New Roman" w:eastAsia="仿宋_GB2312"/>
          <w:b/>
          <w:sz w:val="32"/>
          <w:szCs w:val="32"/>
        </w:rPr>
      </w:pPr>
      <w:bookmarkStart w:id="51" w:name="_Toc87993509"/>
      <w:r>
        <w:rPr>
          <w:rFonts w:ascii="Times New Roman" w:hAnsi="Times New Roman" w:eastAsia="仿宋_GB2312"/>
          <w:b/>
          <w:sz w:val="32"/>
          <w:szCs w:val="32"/>
        </w:rPr>
        <w:t>2.2.1特色产业规模不大</w:t>
      </w:r>
      <w:bookmarkEnd w:id="51"/>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澧县特色产业种类较多，葡萄、茶叶、柑橘、花木、虾蟹、蔬菜、中药材七大农业特色产业除了柑橘产业面积基地有20万亩外，其他产业基地面积都不够大，技术人员难以集中进行技术和销售工作的指导，发展较好的葡萄产业也仅6.7万亩左右，茶叶产业面积也仅2.55万亩，花木产业面积5.3万亩。产业发展势头良好，但基地规模小，难以起到示范带动作用，不能通过市场化的手段带动相应产业发展。</w:t>
      </w:r>
    </w:p>
    <w:p>
      <w:pPr>
        <w:spacing w:line="580" w:lineRule="exact"/>
        <w:outlineLvl w:val="2"/>
        <w:rPr>
          <w:rFonts w:ascii="Times New Roman" w:hAnsi="Times New Roman" w:eastAsia="仿宋_GB2312"/>
          <w:b/>
          <w:sz w:val="32"/>
          <w:szCs w:val="32"/>
        </w:rPr>
      </w:pPr>
      <w:bookmarkStart w:id="52" w:name="_Toc87993510"/>
      <w:r>
        <w:rPr>
          <w:rFonts w:ascii="Times New Roman" w:hAnsi="Times New Roman" w:eastAsia="仿宋_GB2312"/>
          <w:b/>
          <w:sz w:val="32"/>
          <w:szCs w:val="32"/>
        </w:rPr>
        <w:t>2.2.2产业服务体系不健全</w:t>
      </w:r>
      <w:bookmarkEnd w:id="52"/>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农业产业特别是特色优势产业的服务体系还不健全，如，葡萄生产技术专业性相当强，操作时效要求相当高。目前全县葡萄产业组织化发展程度不足，技术指导能力有待加强，同时存在专业性劳动力工人短缺问题，尤其是葡萄疏果期，短期内需要大量专业性熟练的农民工，本地熟练农民工极其短缺，影响葡萄产量质量。</w:t>
      </w:r>
    </w:p>
    <w:p>
      <w:pPr>
        <w:spacing w:line="580" w:lineRule="exact"/>
        <w:outlineLvl w:val="2"/>
        <w:rPr>
          <w:rFonts w:ascii="Times New Roman" w:hAnsi="Times New Roman" w:eastAsia="仿宋_GB2312"/>
          <w:b/>
          <w:sz w:val="32"/>
          <w:szCs w:val="32"/>
        </w:rPr>
      </w:pPr>
      <w:bookmarkStart w:id="53" w:name="_Toc87993511"/>
      <w:r>
        <w:rPr>
          <w:rFonts w:ascii="Times New Roman" w:hAnsi="Times New Roman" w:eastAsia="仿宋_GB2312"/>
          <w:b/>
          <w:sz w:val="32"/>
          <w:szCs w:val="32"/>
        </w:rPr>
        <w:t>2.2.3农业品牌效应不强</w:t>
      </w:r>
      <w:bookmarkEnd w:id="53"/>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县内农业产品品牌多而不优、品质参差不齐、发展后劲不足，有市场影响力的少。受资金、技术和设备等条件限制，大部分品牌建设滞后，加之农产品质量良莠不齐现象也不利于品牌树立与推广。如：全县没有知名大米品牌，导致了澧县大米的贱卖；棉花产业品种多达120多个，但皮棉品质一致性差；茶叶品牌多而杂，缺乏以地域特色为代表的公共品牌领头羊；柑橘产业基本依托石门柑橘借船出海，品牌效益低下。</w:t>
      </w:r>
    </w:p>
    <w:p>
      <w:pPr>
        <w:spacing w:line="580" w:lineRule="exact"/>
        <w:outlineLvl w:val="2"/>
        <w:rPr>
          <w:rFonts w:ascii="Times New Roman" w:hAnsi="Times New Roman" w:eastAsia="仿宋_GB2312"/>
          <w:b/>
          <w:sz w:val="32"/>
          <w:szCs w:val="32"/>
        </w:rPr>
      </w:pPr>
      <w:bookmarkStart w:id="54" w:name="_Toc87993512"/>
      <w:r>
        <w:rPr>
          <w:rFonts w:ascii="Times New Roman" w:hAnsi="Times New Roman" w:eastAsia="仿宋_GB2312"/>
          <w:b/>
          <w:sz w:val="32"/>
          <w:szCs w:val="32"/>
        </w:rPr>
        <w:t>2.2.4农产品市场体系功能不完善</w:t>
      </w:r>
      <w:bookmarkEnd w:id="54"/>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澧县农产品产地与销地市场对接不紧密，对于农产品产量扩大后可能出现的销售问题，缺乏准备和预案，农业应对市场风险的能力较差。电子商务平台还未形成规模化运作，农产品市场的运行和管理尚未摆脱传统模式，特色农产品与品牌农产品推广力度不足，冷链物流配送等环节需要进一步完善，缺乏集中农特产品加工及物流产业园区，农产品加工、冷链建设受到极大制约。随着市场消费多样化、个性化，选择性日益增强，培育与现代农业生产力水平和消费趋势相适应的产销对接体系成为当前迫切需要解决的问题。</w:t>
      </w:r>
    </w:p>
    <w:p>
      <w:pPr>
        <w:spacing w:line="580" w:lineRule="exact"/>
        <w:outlineLvl w:val="2"/>
        <w:rPr>
          <w:rFonts w:ascii="Times New Roman" w:hAnsi="Times New Roman" w:eastAsia="仿宋_GB2312"/>
          <w:b/>
          <w:sz w:val="32"/>
          <w:szCs w:val="32"/>
        </w:rPr>
      </w:pPr>
      <w:bookmarkStart w:id="55" w:name="_Toc87993513"/>
      <w:r>
        <w:rPr>
          <w:rFonts w:ascii="Times New Roman" w:hAnsi="Times New Roman" w:eastAsia="仿宋_GB2312"/>
          <w:b/>
          <w:sz w:val="32"/>
          <w:szCs w:val="32"/>
        </w:rPr>
        <w:t>2.2.5从业人员素质有待提高</w:t>
      </w:r>
      <w:bookmarkEnd w:id="55"/>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农村劳动力结构变化的挑战日益突出，农村“空心化”现象突出，农村劳动力呈现出年龄、性别、素质等结构性矛盾和农业用工季节性短缺问题，特别是农村实用型人才“青黄不接”；基层农技服务部门后继乏人，引进难、培养难、留住难的问题相当突出，尤其是基层农技、畜牧、水利、农机等技术服务人才“断层现象”严重，现代农业科技人才、管理人才、高层次技术工人短缺，用人留才机制不活，无法吸引和留住高层次人才，直接导致农产品加工企业只生产初加工产品，没有技术优势人力资源状况难以满足澧县新时期特色产业发展的需要。</w:t>
      </w:r>
    </w:p>
    <w:p>
      <w:pPr>
        <w:spacing w:line="580" w:lineRule="exact"/>
        <w:outlineLvl w:val="2"/>
        <w:rPr>
          <w:rFonts w:ascii="Times New Roman" w:hAnsi="Times New Roman" w:eastAsia="仿宋_GB2312"/>
          <w:b/>
          <w:sz w:val="32"/>
          <w:szCs w:val="32"/>
        </w:rPr>
      </w:pPr>
      <w:bookmarkStart w:id="56" w:name="_Toc87993514"/>
      <w:r>
        <w:rPr>
          <w:rFonts w:ascii="Times New Roman" w:hAnsi="Times New Roman" w:eastAsia="仿宋_GB2312"/>
          <w:b/>
          <w:sz w:val="32"/>
          <w:szCs w:val="32"/>
        </w:rPr>
        <w:t>2.2.6农产品产业链延伸不足</w:t>
      </w:r>
      <w:bookmarkEnd w:id="56"/>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澧县多数农特产品产业仍属于传统的原料型、资源型产业，深加工能力不足，产业链不长，产品附加值低，抗市场风险能力弱，配套产业和产业集群发展滞后，产业链延伸不够，产业趋同现象严重、集中度不高。主要是第一产业与二、三产业的融合不够，导致当地农产品的附加值不高，消化不畅，反向制约了上游农业生产种植养殖者的积极性，农业产业化发展步子不快，效益不高。农业产业融合度不高，农业产业化发展缓慢是提高农业经济效益，制约我县农业大县向农业强县迈进的主要瓶颈之一。</w:t>
      </w:r>
    </w:p>
    <w:p>
      <w:pPr>
        <w:spacing w:line="580" w:lineRule="exact"/>
        <w:outlineLvl w:val="2"/>
        <w:rPr>
          <w:rFonts w:ascii="Times New Roman" w:hAnsi="Times New Roman" w:eastAsia="仿宋_GB2312"/>
          <w:b/>
          <w:sz w:val="32"/>
          <w:szCs w:val="32"/>
        </w:rPr>
      </w:pPr>
      <w:bookmarkStart w:id="57" w:name="_Toc87993515"/>
      <w:r>
        <w:rPr>
          <w:rFonts w:ascii="Times New Roman" w:hAnsi="Times New Roman" w:eastAsia="仿宋_GB2312"/>
          <w:b/>
          <w:sz w:val="32"/>
          <w:szCs w:val="32"/>
        </w:rPr>
        <w:t>2.2.7现代化手段与科技支撑不足</w:t>
      </w:r>
      <w:bookmarkEnd w:id="57"/>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农业高新技术研发水平不高，技术成果转化能力滞后，整体科技实力不强，一定程度上影响了农业产业升级的步伐。特别是在优势主导产业良种选育、病虫害防治、废弃物资源化、农业生态环境保护、农产品深加工、营售渠道等环节缺乏先进的科技支撑。农业科技资金投入不足，使农业科技的推广和应用受到极大限制。另外，激励机制、动力机制、市场机制不够灵活，难以满足现代农业发展需求。农业科研力量相对薄弱，基础性研究相对滞后，农业推广转化体系不健全，迫切需要与外部智力建立稳定的合作关系或通过培育本地农业科研机构、引进科研实力较强的龙头企业，提升全县农业科技研发能力。</w:t>
      </w:r>
    </w:p>
    <w:p>
      <w:pPr>
        <w:spacing w:line="580" w:lineRule="exact"/>
        <w:outlineLvl w:val="1"/>
        <w:rPr>
          <w:rFonts w:ascii="Times New Roman" w:hAnsi="Times New Roman" w:eastAsia="楷体"/>
          <w:b/>
          <w:sz w:val="32"/>
          <w:szCs w:val="32"/>
        </w:rPr>
      </w:pPr>
      <w:bookmarkStart w:id="58" w:name="_Toc87993516"/>
      <w:r>
        <w:rPr>
          <w:rFonts w:ascii="Times New Roman" w:hAnsi="Times New Roman" w:eastAsia="楷体"/>
          <w:b/>
          <w:sz w:val="32"/>
          <w:szCs w:val="32"/>
        </w:rPr>
        <w:t>2.3面临的机遇和挑战</w:t>
      </w:r>
      <w:bookmarkEnd w:id="58"/>
    </w:p>
    <w:p>
      <w:pPr>
        <w:spacing w:line="580" w:lineRule="exact"/>
        <w:outlineLvl w:val="2"/>
        <w:rPr>
          <w:rFonts w:ascii="Times New Roman" w:hAnsi="Times New Roman" w:eastAsia="仿宋_GB2312"/>
          <w:b/>
          <w:sz w:val="32"/>
          <w:szCs w:val="32"/>
        </w:rPr>
      </w:pPr>
      <w:bookmarkStart w:id="59" w:name="_Toc87993517"/>
      <w:r>
        <w:rPr>
          <w:rFonts w:ascii="Times New Roman" w:hAnsi="Times New Roman" w:eastAsia="仿宋_GB2312"/>
          <w:b/>
          <w:sz w:val="32"/>
          <w:szCs w:val="32"/>
        </w:rPr>
        <w:t>2.3.1机遇</w:t>
      </w:r>
      <w:bookmarkEnd w:id="59"/>
    </w:p>
    <w:p>
      <w:pPr>
        <w:spacing w:line="580" w:lineRule="exact"/>
        <w:ind w:firstLine="643" w:firstLineChars="200"/>
        <w:rPr>
          <w:rFonts w:ascii="Times New Roman" w:hAnsi="Times New Roman" w:eastAsia="仿宋_GB2312"/>
          <w:b/>
          <w:sz w:val="32"/>
          <w:szCs w:val="32"/>
        </w:rPr>
      </w:pPr>
      <w:r>
        <w:rPr>
          <w:rFonts w:ascii="Times New Roman" w:hAnsi="Times New Roman" w:eastAsia="仿宋_GB2312"/>
          <w:b/>
          <w:sz w:val="32"/>
          <w:szCs w:val="32"/>
        </w:rPr>
        <w:t>1、各级政策环境良好的机遇</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长期以来，中央和各级党委、政府高度重视“三农”工作，把强化农业、惠及农村、富裕农民放在重要战略位置，而深入推进农业供给侧结构性改革为特色农业发展提供了强有力的政策保障。湖南省委省政府把推进农业现代化、解决“三农”问题作为全省工作的重中之重，深入实施三个“百千万”工程，大力推进“六大强农”行动，突出打造优势特色千亿产业，出台一系列政策措施，省级财政投入力度不断增大，“三大”政策组合强势推动，为澧县特色产业发展提供了良好的发展环境。</w:t>
      </w:r>
    </w:p>
    <w:p>
      <w:pPr>
        <w:spacing w:line="580" w:lineRule="exact"/>
        <w:ind w:firstLine="643" w:firstLineChars="200"/>
        <w:rPr>
          <w:rFonts w:ascii="Times New Roman" w:hAnsi="Times New Roman" w:eastAsia="仿宋_GB2312"/>
          <w:b/>
          <w:sz w:val="32"/>
          <w:szCs w:val="32"/>
        </w:rPr>
      </w:pPr>
      <w:r>
        <w:rPr>
          <w:rFonts w:ascii="Times New Roman" w:hAnsi="Times New Roman" w:eastAsia="仿宋_GB2312"/>
          <w:b/>
          <w:sz w:val="32"/>
          <w:szCs w:val="32"/>
        </w:rPr>
        <w:t>2、乡村振兴战略助推产业兴旺的机遇</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实施乡村振兴战略，是党的十九大作出的重大决策部署。乡村振兴战略提出了产业兴旺、生态宜居、乡风文明、治理有效、生活富裕的总要求，为农村新产业新业态的发展提供了非常大的空间，为企业家提供了新的舞台。乡村振兴战略不同于以往解决“三农”问题的思路，它的框架是更为宏观的，而且，它并非以解决单个的农村发展问题为目标，战略带有前瞻性与规划性，是对乡村未来发展方向的一种智慧性的把握与判断，以经济振兴为出发点，然后实现乡村的全面振兴，国家大力实施乡村振兴战略，对农业农村现代化建设的投入必将显著加大，且随着农业供给侧结构性改革深入推进，转变农业发展方式，优化农业生产力布局，使澧县现代农业发展的空间变得更加广阔。</w:t>
      </w:r>
    </w:p>
    <w:p>
      <w:pPr>
        <w:spacing w:line="580" w:lineRule="exact"/>
        <w:ind w:firstLine="643" w:firstLineChars="200"/>
        <w:rPr>
          <w:rFonts w:ascii="Times New Roman" w:hAnsi="Times New Roman" w:eastAsia="仿宋_GB2312"/>
          <w:b/>
          <w:sz w:val="32"/>
          <w:szCs w:val="32"/>
        </w:rPr>
      </w:pPr>
      <w:r>
        <w:rPr>
          <w:rFonts w:ascii="Times New Roman" w:hAnsi="Times New Roman" w:eastAsia="仿宋_GB2312"/>
          <w:b/>
          <w:sz w:val="32"/>
          <w:szCs w:val="32"/>
        </w:rPr>
        <w:t>3、津澧融合助力农业农村发展的机遇</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澧县是国家新型城镇化和中小城市综合改革试点地区，省政府审核通过《津澧新城总体规划（2016-2030）》，确定津澧新城为湘鄂边界及澧水流域中心城市、常德市域副中心。进入“十四五”时期，津澧行政合并进入实质性推进阶段，澧县将面临前所未有的城市转型、要素调配、空间腾挪、产业升级、深度融合的特殊时期，经济社会持续快速发展，城乡建设全面加强。随着城乡消费结构的优化升级，人民群众对优质农产品、生态农产品、乡村旅游的需求更加迫切，质量和效益成为新时代农业农村发展主题，乡村经济将进一步加快转型升级。</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4、“互联网+”与现代农业融合发展的机遇</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工业化和信息化的迅猛发展，为“互联网+”现代农业提供了现代科学的管理方法、技术指导和支撑。城镇化的快速推进促使广大农民向城镇不断地迁移，为现代农业的发展创造了良好的空间和条件。多元化的农业经营主体和农业结构有力支撑“互联网+”与现代农业融合发展，农业电商的发展，改变了农产品传统的流通销售模式，拓展了农产品销售的市场空间、突破了时间和空间的闲置，拓宽了销售渠道和销售区域，拓展了消费群体，为现代农业发展增添了新活力。“互联网+”现代农业开创了大众参与的农业众筹模式。一方面，互联网+农业促进专业化分工，提高组织化程度，降低交易成本，优化资源配置，可逐渐打破小农经济对澧县现代农业发展的制约；另一方面，互联网+农业通过便利、实时、感知、智能等手段，为农产品营销、农业科技推广、农业企业管理等提供了精确、动态、科学的信息服务，在经济新常态背景下，“互联网+”与现代农业深度融合发展有效促进了农业结构调整和产业转型升级，必将成为解决现代农业发展瓶颈的有效突破口，成为澧县发展现代农业的新引擎。</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5、改革提供前进动力的机遇</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农村集体产权制度改革、农业农村发展用地保障机制改革、财政支农投入使用机制改革、农村金融创新改革等一系列改革，正在有条不紊地进行，将有力破解现代农业发展中遇到的各类深层次矛盾和问题，不断释放改革红利，增强发展活力，通过不断深化农村改革，扩大农业有效供给，解决供需结构性矛盾，将有利于澧县加快农业生产要素自由流动，为特色产业发展提供新的动能。国家大力推进农业供给侧结构性改革，以调整和优化农业结构为改革的核心内容，完善农业扶持政策，加大智慧农业的发展力度，鼓励创新销售模式，在改善环境负效应、增强农业竞争力等发挥积极作用。澧县必须充分发挥农业大县的优势，在新时期深入推进农业供给侧结构性改革，为农业农村现代化发展提供源源不断的强大动力。</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6、市场消费需求升级的机遇</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当前城市居民物质文化生活水平得到显著提升，个性化、体验化、高端化日益成为农产品消费需求增长的重点，优质稻米、生态肉类产品、优质食用油、绿色果蔬等高品质农产品需求增加。此外受全球新冠疫情蔓延的影响，投资及进出口贸易等要素在不断萎缩，扩大内需是有效应对风险挑战、稳增长、调结构、惠民生的长远战略，将为澧县特色产业发展提供更大的空间。</w:t>
      </w:r>
    </w:p>
    <w:p>
      <w:pPr>
        <w:spacing w:line="580" w:lineRule="exact"/>
        <w:outlineLvl w:val="2"/>
        <w:rPr>
          <w:rFonts w:ascii="Times New Roman" w:hAnsi="Times New Roman" w:eastAsia="仿宋_GB2312"/>
          <w:b/>
          <w:sz w:val="32"/>
          <w:szCs w:val="32"/>
        </w:rPr>
      </w:pPr>
      <w:bookmarkStart w:id="60" w:name="_Toc87993518"/>
      <w:r>
        <w:rPr>
          <w:rFonts w:ascii="Times New Roman" w:hAnsi="Times New Roman" w:eastAsia="仿宋_GB2312"/>
          <w:b/>
          <w:sz w:val="32"/>
          <w:szCs w:val="32"/>
        </w:rPr>
        <w:t>2.3.2挑战</w:t>
      </w:r>
      <w:bookmarkEnd w:id="60"/>
    </w:p>
    <w:p>
      <w:pPr>
        <w:spacing w:line="580" w:lineRule="exact"/>
        <w:ind w:firstLine="643" w:firstLineChars="200"/>
        <w:rPr>
          <w:rFonts w:ascii="Times New Roman" w:hAnsi="Times New Roman" w:eastAsia="仿宋_GB2312"/>
          <w:b/>
          <w:sz w:val="32"/>
          <w:szCs w:val="32"/>
        </w:rPr>
      </w:pPr>
      <w:r>
        <w:rPr>
          <w:rFonts w:ascii="Times New Roman" w:hAnsi="Times New Roman" w:eastAsia="仿宋_GB2312"/>
          <w:b/>
          <w:sz w:val="32"/>
          <w:szCs w:val="32"/>
        </w:rPr>
        <w:t>1、发展环境正处于世界动荡变革期</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当今世界正经历百年未有之大变局，且大变局加速演进、不断变化，国际环境日趋复杂，不稳定性不确定性明显增加。同时，我国步入由全面建成小康社会向基本实现社会主义现代化迈进的关键时期，工业化城镇化处于深化期，经济竞争优势处于重塑期，需求结构进入调整期。这些变化将对澧县经济转型带来严峻挑战。</w:t>
      </w:r>
    </w:p>
    <w:p>
      <w:pPr>
        <w:spacing w:line="580" w:lineRule="exact"/>
        <w:ind w:firstLine="643" w:firstLineChars="200"/>
        <w:rPr>
          <w:rFonts w:ascii="Times New Roman" w:hAnsi="Times New Roman" w:eastAsia="仿宋_GB2312"/>
          <w:b/>
          <w:sz w:val="32"/>
          <w:szCs w:val="32"/>
        </w:rPr>
      </w:pPr>
      <w:r>
        <w:rPr>
          <w:rFonts w:ascii="Times New Roman" w:hAnsi="Times New Roman" w:eastAsia="仿宋_GB2312"/>
          <w:b/>
          <w:sz w:val="32"/>
          <w:szCs w:val="32"/>
        </w:rPr>
        <w:t>2、基础设施不完善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近年来脱贫攻坚和乡村振兴的推进，澧县农村基础设施和公共服务设施有较大改观，但生产标准化、绿色高效技术应用等方面较为欠缺，乡村产业发展的环境保护设备配套和运行能力较弱，公共服务设施的利用效率和农村基本公共服务供给提升空间很大，农业农村发展面临补齐“双基”短板与提档升级的挑战。澧县农田水利设施破损严重，旱不能灌，涝不能排，抗自然灾害能力差，尤其是与高标准的、符合现代农业发展的农业基础设施还存在较大的差距。如蔬菜产业方面，大多数菜农都是露地种植，设施种植不到总面积的3%，基础设施差、排灌设施落后。养殖基础设施严重老化，池埂垮塌，道路等基础设施年久失修，养殖投入品及水产品进出困难，电网老化，如虾蟹养殖基地配套设施设备差，稻田养殖沟为农户自行开挖，不符合养殖标准要求，基地没有防逃设施、捕捞工具，严重影响了虾蟹养殖经济效益。</w:t>
      </w:r>
    </w:p>
    <w:p>
      <w:pPr>
        <w:spacing w:line="580" w:lineRule="exact"/>
        <w:ind w:firstLine="643" w:firstLineChars="200"/>
        <w:rPr>
          <w:rFonts w:ascii="Times New Roman" w:hAnsi="Times New Roman" w:eastAsia="仿宋_GB2312"/>
          <w:b/>
          <w:sz w:val="32"/>
          <w:szCs w:val="32"/>
        </w:rPr>
      </w:pPr>
      <w:r>
        <w:rPr>
          <w:rFonts w:ascii="Times New Roman" w:hAnsi="Times New Roman" w:eastAsia="仿宋_GB2312"/>
          <w:b/>
          <w:sz w:val="32"/>
          <w:szCs w:val="32"/>
        </w:rPr>
        <w:t>3、产品加工滞后</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农产品精深加工不足。部分经营主体特色产品加工以初加工产品为主，“拳头”产品和优势产品少，产品附加值小，市场综合竞争力不强。品牌宣传意识不强。许多经营主体缺乏品牌策划规划，销售方式不够灵活，营销水平低。市场信息对接不畅。对外贸出口国的需求和贸易政策缺乏了解渠道，掌握信息有限，出口贸易存在盲目性。电商缺乏竞争力。已建电商平台及企业网站服务模式单一，集商流、物流、信息流、资金流为一体的全流程电子商务体系尚未完全形成。</w:t>
      </w:r>
    </w:p>
    <w:p>
      <w:pPr>
        <w:spacing w:line="580" w:lineRule="exact"/>
        <w:ind w:firstLine="643" w:firstLineChars="200"/>
        <w:rPr>
          <w:rFonts w:ascii="Times New Roman" w:hAnsi="Times New Roman" w:eastAsia="仿宋_GB2312"/>
          <w:b/>
          <w:sz w:val="32"/>
          <w:szCs w:val="32"/>
        </w:rPr>
      </w:pPr>
      <w:r>
        <w:rPr>
          <w:rFonts w:ascii="Times New Roman" w:hAnsi="Times New Roman" w:eastAsia="仿宋_GB2312"/>
          <w:b/>
          <w:sz w:val="32"/>
          <w:szCs w:val="32"/>
        </w:rPr>
        <w:t>4、经营主体实力不强</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产业链条短。农民专业合作社、家庭农场等经营主体规模不大、组织化程度低、科技力量不足、与农户市场联结不紧密，难以实现规模效益。发展动能不足。随着经济增速减缓，生产原料价格、生产成本、劳务工资上扬，劳动力结构性短缺、境内外主要农产品市场竞争激烈，经营主体面临成本和市场双重压力。金融融资困难。融资困难仍是制约龙头企业发展的瓶颈，金融激励扶持机制不健全。四是灾害侵袭频繁。农业生产自然灾害频繁，农业保险滞后，金融激励扶持机制不健全。</w:t>
      </w:r>
    </w:p>
    <w:p>
      <w:pPr>
        <w:spacing w:line="580" w:lineRule="exact"/>
        <w:ind w:firstLine="643" w:firstLineChars="200"/>
        <w:rPr>
          <w:rFonts w:ascii="Times New Roman" w:hAnsi="Times New Roman" w:eastAsia="仿宋_GB2312"/>
          <w:b/>
          <w:sz w:val="32"/>
          <w:szCs w:val="32"/>
        </w:rPr>
      </w:pPr>
      <w:r>
        <w:rPr>
          <w:rFonts w:ascii="Times New Roman" w:hAnsi="Times New Roman" w:eastAsia="仿宋_GB2312"/>
          <w:b/>
          <w:sz w:val="32"/>
          <w:szCs w:val="32"/>
        </w:rPr>
        <w:t>5、农业技改较慢</w:t>
      </w:r>
    </w:p>
    <w:p>
      <w:pPr>
        <w:pStyle w:val="46"/>
        <w:spacing w:line="580" w:lineRule="exact"/>
        <w:ind w:firstLine="640"/>
        <w:rPr>
          <w:rFonts w:ascii="Times New Roman" w:hAnsi="Times New Roman" w:eastAsia="仿宋_GB2312"/>
          <w:sz w:val="32"/>
          <w:szCs w:val="32"/>
        </w:rPr>
      </w:pPr>
      <w:r>
        <w:rPr>
          <w:rFonts w:ascii="Times New Roman" w:hAnsi="Times New Roman" w:eastAsia="仿宋_GB2312"/>
          <w:sz w:val="32"/>
          <w:szCs w:val="32"/>
        </w:rPr>
        <w:t>由于农业科技推广渠道不畅通，农民对新技术、新品种应用较为保守，极大程度限制了土地和劳动生产率的提高。部分农户为获得更高的经济效益，片面追求高产量，不按照标准化要求进行生产，造成后期生产管理难度加大，质量水平不一。如澧县山区乡镇盛产桔、柚，由于部分种植户技术不到位，产品质量意识较差，形成果次价低，品种退化，品质难以得到保证。</w:t>
      </w:r>
    </w:p>
    <w:p>
      <w:pPr>
        <w:spacing w:line="580" w:lineRule="exact"/>
        <w:ind w:firstLine="643" w:firstLineChars="200"/>
        <w:rPr>
          <w:rFonts w:ascii="Times New Roman" w:hAnsi="Times New Roman" w:eastAsia="仿宋_GB2312"/>
          <w:b/>
          <w:sz w:val="32"/>
          <w:szCs w:val="32"/>
        </w:rPr>
      </w:pPr>
      <w:r>
        <w:rPr>
          <w:rFonts w:ascii="Times New Roman" w:hAnsi="Times New Roman" w:eastAsia="仿宋_GB2312"/>
          <w:b/>
          <w:sz w:val="32"/>
          <w:szCs w:val="32"/>
        </w:rPr>
        <w:t>6、一二三产联结形式不牢</w:t>
      </w:r>
    </w:p>
    <w:p>
      <w:pPr>
        <w:pStyle w:val="46"/>
        <w:spacing w:line="580" w:lineRule="exact"/>
        <w:ind w:firstLine="640"/>
        <w:rPr>
          <w:rFonts w:ascii="Times New Roman" w:hAnsi="Times New Roman" w:eastAsia="仿宋_GB2312"/>
          <w:sz w:val="32"/>
          <w:szCs w:val="32"/>
        </w:rPr>
      </w:pPr>
      <w:r>
        <w:rPr>
          <w:rFonts w:ascii="Times New Roman" w:hAnsi="Times New Roman" w:eastAsia="仿宋_GB2312"/>
          <w:sz w:val="32"/>
          <w:szCs w:val="32"/>
        </w:rPr>
        <w:t>一是原料供应不对称。忽视农产品供应价格和产品收购价格的逆差，导致适应企业的原材料短缺，农户存在销售困难的问题。二是利益联结不稳固。经营主体与农户基本上还是松散的买卖关系，没有形成一种稳固的契约关系或真正的利益共同体。三是旅游要素有待提升。旅游产业融合度低，“吃、住、行、游、购、娱”等旅游要素吸引力不强，旅游消费低。</w:t>
      </w:r>
    </w:p>
    <w:p>
      <w:pPr>
        <w:widowControl/>
        <w:jc w:val="left"/>
        <w:rPr>
          <w:rFonts w:ascii="Times New Roman" w:hAnsi="Times New Roman" w:eastAsia="仿宋"/>
          <w:sz w:val="32"/>
          <w:szCs w:val="32"/>
        </w:rPr>
      </w:pPr>
      <w:r>
        <w:rPr>
          <w:rFonts w:ascii="Times New Roman" w:hAnsi="Times New Roman" w:eastAsia="仿宋"/>
          <w:sz w:val="32"/>
          <w:szCs w:val="32"/>
        </w:rPr>
        <w:br w:type="page"/>
      </w:r>
    </w:p>
    <w:bookmarkEnd w:id="39"/>
    <w:bookmarkEnd w:id="40"/>
    <w:bookmarkEnd w:id="41"/>
    <w:p>
      <w:pPr>
        <w:pStyle w:val="47"/>
        <w:numPr>
          <w:ilvl w:val="0"/>
          <w:numId w:val="1"/>
        </w:numPr>
        <w:spacing w:line="580" w:lineRule="exact"/>
        <w:ind w:firstLineChars="0"/>
        <w:jc w:val="center"/>
        <w:outlineLvl w:val="0"/>
        <w:rPr>
          <w:rFonts w:ascii="Times New Roman" w:hAnsi="Times New Roman" w:eastAsia="黑体"/>
          <w:sz w:val="32"/>
          <w:szCs w:val="32"/>
        </w:rPr>
      </w:pPr>
      <w:bookmarkStart w:id="61" w:name="_Toc524629040"/>
      <w:bookmarkStart w:id="62" w:name="_Toc87993519"/>
      <w:r>
        <w:rPr>
          <w:rFonts w:ascii="Times New Roman" w:hAnsi="Times New Roman" w:eastAsia="黑体"/>
          <w:sz w:val="32"/>
          <w:szCs w:val="32"/>
        </w:rPr>
        <w:t>总体</w:t>
      </w:r>
      <w:bookmarkEnd w:id="61"/>
      <w:r>
        <w:rPr>
          <w:rFonts w:ascii="Times New Roman" w:hAnsi="Times New Roman" w:eastAsia="黑体"/>
          <w:sz w:val="32"/>
          <w:szCs w:val="32"/>
        </w:rPr>
        <w:t>思路</w:t>
      </w:r>
      <w:bookmarkEnd w:id="62"/>
    </w:p>
    <w:p>
      <w:pPr>
        <w:spacing w:line="580" w:lineRule="exact"/>
        <w:outlineLvl w:val="1"/>
        <w:rPr>
          <w:rFonts w:ascii="Times New Roman" w:hAnsi="Times New Roman" w:eastAsia="楷体"/>
          <w:b/>
          <w:sz w:val="32"/>
          <w:szCs w:val="32"/>
        </w:rPr>
      </w:pPr>
      <w:bookmarkStart w:id="63" w:name="_Toc524329465"/>
      <w:bookmarkStart w:id="64" w:name="_Toc524629041"/>
      <w:bookmarkStart w:id="65" w:name="_Toc87993520"/>
      <w:r>
        <w:rPr>
          <w:rFonts w:ascii="Times New Roman" w:hAnsi="Times New Roman" w:eastAsia="楷体"/>
          <w:b/>
          <w:sz w:val="32"/>
          <w:szCs w:val="32"/>
        </w:rPr>
        <w:t>3.1指导思想</w:t>
      </w:r>
      <w:bookmarkEnd w:id="63"/>
      <w:bookmarkEnd w:id="64"/>
      <w:bookmarkEnd w:id="65"/>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坚持以习近平新时代中国特色社会主义思想为指导，全面贯彻党的十九大和十九届二中、三中、四中、五中、六中全会精神，统筹推进“五位一体”总体布局，协调推进“四个全面”战略布局，坚持稳中求进工作总基调，协调处理好发展速度和质量效益的关系，推动发展农业发展方式转变、产业结构优化、增长动力转换。以巩固拓展脱贫攻坚成果同乡村振兴有效衔接为目标，以农业农村优先发展为总方针，以农业供给侧结构性改革为主线，以创新城乡融合发展体制机制为保障，以“生态优先、绿色发展”为牵引，推进脱贫攻坚与乡村振兴有效衔接，保障重要农产品高效供给，以改革创新、科技进步、产业融合发展为动力，打造澧县优势特色产业。以提高农业质量效益和竞争力、培育壮大新型农业经营主体，围绕澧县农村一二三产业融合发展，着力强化农业基础设施建设，重点增强农业支撑服务功能，龙头企业带动，现代生产研发、示范、服务等相互融合，推动澧县粮、棉、油、猪、水产大农业支柱产业转型升级，推进葡萄、茶叶、柑橘、花木、虾蟹、蔬菜、中药材七大农业特色产业集聚壮大，农业产业与文化旅游及其他关联产业齐头并进。聚集资源要素，强化创新引领，培育发展新动能，延长产业链、提升价值链、打造供应链，大力推进主导特色产业发展，全面构建现代特色农业产业体系，夯实乡村振兴产业基础，实现农业增效、农民增收、农村发展，助力澧县农业强县建设，为农业农村现代化发展夯实坚实基础，推进澧县乡村社会全面进步和农业经济全面增长，农民全面增收。</w:t>
      </w:r>
    </w:p>
    <w:p>
      <w:pPr>
        <w:spacing w:line="580" w:lineRule="exact"/>
        <w:outlineLvl w:val="1"/>
        <w:rPr>
          <w:rFonts w:ascii="Times New Roman" w:hAnsi="Times New Roman" w:eastAsia="楷体"/>
          <w:b/>
          <w:sz w:val="32"/>
          <w:szCs w:val="32"/>
        </w:rPr>
      </w:pPr>
      <w:bookmarkStart w:id="66" w:name="_Toc524329466"/>
      <w:bookmarkStart w:id="67" w:name="_Toc524629042"/>
      <w:bookmarkStart w:id="68" w:name="_Toc87993521"/>
      <w:r>
        <w:rPr>
          <w:rFonts w:ascii="Times New Roman" w:hAnsi="Times New Roman" w:eastAsia="楷体"/>
          <w:b/>
          <w:sz w:val="32"/>
          <w:szCs w:val="32"/>
        </w:rPr>
        <w:t>3.2基本原则</w:t>
      </w:r>
      <w:bookmarkEnd w:id="66"/>
      <w:bookmarkEnd w:id="67"/>
      <w:bookmarkEnd w:id="68"/>
    </w:p>
    <w:p>
      <w:pPr>
        <w:spacing w:line="580" w:lineRule="exact"/>
        <w:outlineLvl w:val="2"/>
        <w:rPr>
          <w:rFonts w:ascii="Times New Roman" w:hAnsi="Times New Roman" w:eastAsia="仿宋_GB2312"/>
          <w:b/>
          <w:sz w:val="32"/>
          <w:szCs w:val="32"/>
        </w:rPr>
      </w:pPr>
      <w:bookmarkStart w:id="69" w:name="_Toc87993522"/>
      <w:bookmarkStart w:id="70" w:name="_Toc524329467"/>
      <w:bookmarkStart w:id="71" w:name="_Toc524629043"/>
      <w:r>
        <w:rPr>
          <w:rFonts w:ascii="Times New Roman" w:hAnsi="Times New Roman" w:eastAsia="仿宋_GB2312"/>
          <w:b/>
          <w:sz w:val="32"/>
          <w:szCs w:val="32"/>
        </w:rPr>
        <w:t>3.2.1坚持统筹谋划，科学布局</w:t>
      </w:r>
      <w:bookmarkEnd w:id="69"/>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综合考虑农业产业基础、资源禀赋、区位条件等因素，并结合省总体规划和相关市县总体规划，进一步优化特色产业布局，以差异化、特色化及优势化为导向，因地制宜、精准施策、突出重点，分类指导产业发展，最大限度的调动资源潜力，形成科学合理的产业布局，从而提高农业的综合效益。</w:t>
      </w:r>
    </w:p>
    <w:p>
      <w:pPr>
        <w:spacing w:line="580" w:lineRule="exact"/>
        <w:outlineLvl w:val="2"/>
        <w:rPr>
          <w:rFonts w:ascii="Times New Roman" w:hAnsi="Times New Roman" w:eastAsia="仿宋_GB2312"/>
          <w:b/>
          <w:sz w:val="32"/>
          <w:szCs w:val="32"/>
        </w:rPr>
      </w:pPr>
      <w:bookmarkStart w:id="72" w:name="_Toc87993523"/>
      <w:r>
        <w:rPr>
          <w:rFonts w:ascii="Times New Roman" w:hAnsi="Times New Roman" w:eastAsia="仿宋_GB2312"/>
          <w:b/>
          <w:sz w:val="32"/>
          <w:szCs w:val="32"/>
        </w:rPr>
        <w:t>3.2.2坚持政府引导，市场主导</w:t>
      </w:r>
      <w:bookmarkEnd w:id="72"/>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积极发挥政府的引导性作用，加大农业政策和资金支持，充分发挥市场在农业资源配置中的决定性作用，合理配置各类生产要素，重点发展市场占有率高、市场前景广阔的优势特色农产品，组织适度规模生产，满足市场需求的多样化、优质化、动态化要求。尊重农民的意愿，切实发挥农民在农业农村发展中的主体作用，积极调动广大农民的积极性、主动性、创造性，自觉维护农民群众的根本利益，促进农民持续增收和共同富裕，不断提升农民群众的获得感、幸福感和安全感。</w:t>
      </w:r>
    </w:p>
    <w:p>
      <w:pPr>
        <w:spacing w:line="580" w:lineRule="exact"/>
        <w:outlineLvl w:val="2"/>
        <w:rPr>
          <w:rFonts w:ascii="Times New Roman" w:hAnsi="Times New Roman" w:eastAsia="仿宋_GB2312"/>
          <w:b/>
          <w:sz w:val="32"/>
          <w:szCs w:val="32"/>
        </w:rPr>
      </w:pPr>
      <w:bookmarkStart w:id="73" w:name="_Toc87993524"/>
      <w:r>
        <w:rPr>
          <w:rFonts w:ascii="Times New Roman" w:hAnsi="Times New Roman" w:eastAsia="仿宋_GB2312"/>
          <w:b/>
          <w:sz w:val="32"/>
          <w:szCs w:val="32"/>
        </w:rPr>
        <w:t>3.2.3坚持绿色发展，效益并重</w:t>
      </w:r>
      <w:bookmarkEnd w:id="73"/>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正确处理好经济发展同生态环境保护的关系，牢固树立保护生态环境就是保护生产力、改善生态环境就是发展生产力的理念，把绿色、生态发展作为澧县农业产业发展的基础和根本。牢固树立和践行绿水青山就是金山银山的理念，严守生态保护红线，落实节约优先、保护优先、自然恢复为主的方针，实现整个区域生态、绿色、健康、创新融合发展。着力推进环境友好型、资源节约型的绿色农业、循环农业和低碳农业的发展，形成高效利用资源和保护生态环境的空间格局和生产方式，促进农业的可持续发展和资源的可持续利用。同时，要兼顾产业发展和经营体系构建，注重经济、社会和生态效益，提升综合效益。</w:t>
      </w:r>
    </w:p>
    <w:p>
      <w:pPr>
        <w:spacing w:line="580" w:lineRule="exact"/>
        <w:outlineLvl w:val="2"/>
        <w:rPr>
          <w:rFonts w:ascii="Times New Roman" w:hAnsi="Times New Roman" w:eastAsia="仿宋_GB2312"/>
          <w:b/>
          <w:sz w:val="32"/>
          <w:szCs w:val="32"/>
        </w:rPr>
      </w:pPr>
      <w:bookmarkStart w:id="74" w:name="_Toc87993525"/>
      <w:r>
        <w:rPr>
          <w:rFonts w:ascii="Times New Roman" w:hAnsi="Times New Roman" w:eastAsia="仿宋_GB2312"/>
          <w:b/>
          <w:sz w:val="32"/>
          <w:szCs w:val="32"/>
        </w:rPr>
        <w:t>3.2.4坚持创新驱动，协调发展</w:t>
      </w:r>
      <w:bookmarkEnd w:id="74"/>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坚持以新理念、新思维引领农业向广度和深度发展，推进农业科技创新和体制机制创新，增强创新驱动发展新动力；优化特色产业结构，促进产业融合，加快构建种养加一体、一二三产业融合的发展格局。</w:t>
      </w:r>
    </w:p>
    <w:p>
      <w:pPr>
        <w:spacing w:line="580" w:lineRule="exact"/>
        <w:outlineLvl w:val="2"/>
        <w:rPr>
          <w:rFonts w:ascii="Times New Roman" w:hAnsi="Times New Roman" w:eastAsia="仿宋_GB2312"/>
          <w:b/>
          <w:sz w:val="32"/>
          <w:szCs w:val="32"/>
        </w:rPr>
      </w:pPr>
      <w:bookmarkStart w:id="75" w:name="_Toc87993526"/>
      <w:r>
        <w:rPr>
          <w:rFonts w:ascii="Times New Roman" w:hAnsi="Times New Roman" w:eastAsia="仿宋_GB2312"/>
          <w:b/>
          <w:sz w:val="32"/>
          <w:szCs w:val="32"/>
        </w:rPr>
        <w:t>3.2.5坚持特色引领，夯实内涵</w:t>
      </w:r>
      <w:bookmarkEnd w:id="75"/>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提炼农业产业发展特色内涵，深入挖掘澧县生态优势突出、地理区位特殊、院校参与开发的产业发展特色资源，进一步加强特色资源的整合和宣传，始终坚持特色发展对产业发展的引领作用，努力将澧县脱贫主导特色产业进一步做特、做精、做强。</w:t>
      </w:r>
    </w:p>
    <w:p>
      <w:pPr>
        <w:spacing w:line="580" w:lineRule="exact"/>
        <w:outlineLvl w:val="2"/>
        <w:rPr>
          <w:rFonts w:ascii="Times New Roman" w:hAnsi="Times New Roman" w:eastAsia="仿宋_GB2312"/>
          <w:b/>
          <w:sz w:val="32"/>
          <w:szCs w:val="32"/>
        </w:rPr>
      </w:pPr>
      <w:bookmarkStart w:id="76" w:name="_Toc87993527"/>
      <w:r>
        <w:rPr>
          <w:rFonts w:ascii="Times New Roman" w:hAnsi="Times New Roman" w:eastAsia="仿宋_GB2312"/>
          <w:b/>
          <w:sz w:val="32"/>
          <w:szCs w:val="32"/>
        </w:rPr>
        <w:t>3.2.6坚持科技创新，打造品牌</w:t>
      </w:r>
      <w:bookmarkEnd w:id="76"/>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转变农业发展方式，推进农业现代化进程，加快扶持和培育优势特色产业，以科技创新促进产业提质增效，解决农业主导产业发展中的关键技术攻关，进行农业产业新品种、新技术的研发、推广，进行新产品的开发，提高农业产业科技水平，提高农业产业链的科技含量。不断完善产学研合作模式，加大科技成果的产业应用和转化力度；依靠科技创新和机制创新，加快对新技术、新品种、新品牌和新模式的研究开发，实施品牌战略，通过品牌打造，带动农业产业提质增效和提升农产品竞争力。</w:t>
      </w:r>
    </w:p>
    <w:p>
      <w:pPr>
        <w:spacing w:line="580" w:lineRule="exact"/>
        <w:outlineLvl w:val="1"/>
        <w:rPr>
          <w:rFonts w:ascii="Times New Roman" w:hAnsi="Times New Roman" w:eastAsia="楷体"/>
          <w:b/>
          <w:sz w:val="32"/>
          <w:szCs w:val="32"/>
        </w:rPr>
      </w:pPr>
      <w:bookmarkStart w:id="77" w:name="_Toc87993528"/>
      <w:r>
        <w:rPr>
          <w:rFonts w:ascii="Times New Roman" w:hAnsi="Times New Roman" w:eastAsia="楷体"/>
          <w:b/>
          <w:sz w:val="32"/>
          <w:szCs w:val="32"/>
        </w:rPr>
        <w:t>3.3发展目标</w:t>
      </w:r>
      <w:bookmarkEnd w:id="77"/>
    </w:p>
    <w:p>
      <w:pPr>
        <w:spacing w:line="580" w:lineRule="exact"/>
        <w:outlineLvl w:val="2"/>
        <w:rPr>
          <w:rFonts w:ascii="Times New Roman" w:hAnsi="Times New Roman" w:eastAsia="仿宋_GB2312"/>
          <w:b/>
          <w:sz w:val="32"/>
          <w:szCs w:val="32"/>
        </w:rPr>
      </w:pPr>
      <w:bookmarkStart w:id="78" w:name="_Toc87993529"/>
      <w:r>
        <w:rPr>
          <w:rFonts w:ascii="Times New Roman" w:hAnsi="Times New Roman" w:eastAsia="仿宋_GB2312"/>
          <w:b/>
          <w:sz w:val="32"/>
          <w:szCs w:val="32"/>
        </w:rPr>
        <w:t>3.3.1目标任务</w:t>
      </w:r>
      <w:bookmarkEnd w:id="78"/>
    </w:p>
    <w:bookmarkEnd w:id="70"/>
    <w:bookmarkEnd w:id="71"/>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到2025年，城乡融合发展制度框架和政策体系进一步健全，乡村振兴取得重大进展，农业综合效益进一步提高，乡村发展活力进一步激发。</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绿色高效的现代农业发展体系基本确立。</w:t>
      </w:r>
      <w:r>
        <w:rPr>
          <w:rFonts w:ascii="Times New Roman" w:hAnsi="Times New Roman" w:eastAsia="仿宋_GB2312"/>
          <w:sz w:val="32"/>
          <w:szCs w:val="32"/>
        </w:rPr>
        <w:t>农业产业体系、生产体系和经营体系逐步完善，技术物质装备水平、农业经营管理水平不断提升，粮、棉、油、猪、水产五大支柱产业和葡萄、茶叶、柑橘、花木、虾蟹、蔬菜、中药材七大特色产业的产品供给质量和效率显著提高。</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主导产业规模聚集化方面，主导特色产业总规模达到120万亩，主导特色产业综合总产值达到125亿元，主导特色产业总产值年均增速达到15%，农副产品深加工率达到45%。</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现代生产要素集聚化方面，主要农作物良种覆盖率达到90%，农业科技进步贡献率达到90%，农业科技成果转化率达到80%，农民科技培训率达到70%。</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利益联结机制健全化方面，农民可支配收入达到27433元，农民专业合作社达到2000个，农户参加农民合作社比重达到60%，家庭农场达到2000个，带动扶贫就业9000人。</w:t>
      </w:r>
    </w:p>
    <w:p>
      <w:pPr>
        <w:spacing w:line="580" w:lineRule="exact"/>
        <w:ind w:firstLine="640" w:firstLineChars="200"/>
        <w:rPr>
          <w:rFonts w:hint="eastAsia" w:ascii="Times New Roman" w:hAnsi="Times New Roman" w:eastAsia="仿宋_GB2312"/>
          <w:sz w:val="32"/>
          <w:szCs w:val="32"/>
        </w:rPr>
      </w:pPr>
      <w:r>
        <w:rPr>
          <w:rFonts w:ascii="Times New Roman" w:hAnsi="Times New Roman" w:eastAsia="仿宋_GB2312"/>
          <w:sz w:val="32"/>
          <w:szCs w:val="32"/>
        </w:rPr>
        <w:t>产业综合效益显著化方面，单位耕地面积农作物总产量达到7.5吨/公顷，单位耕地面积农业产值达到4000元/亩，农业产业化龙头企业数量达到60个，驰名商标达到10个，农产品加工业产值与农业总产值比值达到2.8:1。</w:t>
      </w:r>
    </w:p>
    <w:p>
      <w:pPr>
        <w:spacing w:line="580" w:lineRule="exact"/>
        <w:ind w:firstLine="640" w:firstLineChars="200"/>
        <w:rPr>
          <w:rFonts w:ascii="Times New Roman" w:hAnsi="Times New Roman" w:eastAsia="仿宋_GB2312"/>
          <w:color w:val="FF0000"/>
          <w:sz w:val="32"/>
          <w:szCs w:val="32"/>
        </w:rPr>
      </w:pPr>
    </w:p>
    <w:p>
      <w:pPr>
        <w:spacing w:line="360" w:lineRule="auto"/>
        <w:jc w:val="center"/>
        <w:rPr>
          <w:rFonts w:ascii="Times New Roman" w:hAnsi="Times New Roman" w:eastAsia="仿宋_GB2312"/>
          <w:sz w:val="30"/>
          <w:szCs w:val="30"/>
        </w:rPr>
      </w:pPr>
      <w:r>
        <w:rPr>
          <w:rFonts w:ascii="Times New Roman" w:hAnsi="Times New Roman" w:eastAsia="仿宋_GB2312"/>
          <w:sz w:val="30"/>
          <w:szCs w:val="30"/>
        </w:rPr>
        <w:t>表3-1澧县“十四五”脱贫主导特色产业主要指标表</w:t>
      </w:r>
    </w:p>
    <w:tbl>
      <w:tblPr>
        <w:tblStyle w:val="29"/>
        <w:tblW w:w="5020" w:type="pct"/>
        <w:jc w:val="center"/>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Layout w:type="autofit"/>
        <w:tblCellMar>
          <w:top w:w="15" w:type="dxa"/>
          <w:left w:w="15" w:type="dxa"/>
          <w:bottom w:w="15" w:type="dxa"/>
          <w:right w:w="15" w:type="dxa"/>
        </w:tblCellMar>
      </w:tblPr>
      <w:tblGrid>
        <w:gridCol w:w="784"/>
        <w:gridCol w:w="3486"/>
        <w:gridCol w:w="983"/>
        <w:gridCol w:w="1698"/>
        <w:gridCol w:w="1424"/>
      </w:tblGrid>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356" w:hRule="atLeast"/>
          <w:jc w:val="center"/>
        </w:trPr>
        <w:tc>
          <w:tcPr>
            <w:tcW w:w="468" w:type="pct"/>
            <w:vMerge w:val="restart"/>
            <w:tcBorders>
              <w:top w:val="single" w:color="auto" w:sz="12"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b/>
                <w:sz w:val="24"/>
              </w:rPr>
            </w:pPr>
            <w:r>
              <w:rPr>
                <w:rFonts w:ascii="Times New Roman" w:hAnsi="Times New Roman" w:eastAsia="仿宋_GB2312"/>
                <w:b/>
                <w:sz w:val="24"/>
              </w:rPr>
              <w:t>序号</w:t>
            </w:r>
          </w:p>
        </w:tc>
        <w:tc>
          <w:tcPr>
            <w:tcW w:w="2081" w:type="pct"/>
            <w:vMerge w:val="restart"/>
            <w:tcBorders>
              <w:top w:val="single" w:color="auto" w:sz="12"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
                <w:sz w:val="24"/>
              </w:rPr>
            </w:pPr>
            <w:r>
              <w:rPr>
                <w:rFonts w:ascii="Times New Roman" w:hAnsi="Times New Roman" w:eastAsia="仿宋_GB2312"/>
                <w:b/>
                <w:sz w:val="24"/>
              </w:rPr>
              <w:t>指标名称</w:t>
            </w:r>
          </w:p>
        </w:tc>
        <w:tc>
          <w:tcPr>
            <w:tcW w:w="587" w:type="pct"/>
            <w:vMerge w:val="restart"/>
            <w:tcBorders>
              <w:top w:val="single" w:color="auto" w:sz="12"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
                <w:sz w:val="24"/>
              </w:rPr>
            </w:pPr>
            <w:r>
              <w:rPr>
                <w:rFonts w:ascii="Times New Roman" w:hAnsi="Times New Roman" w:eastAsia="仿宋_GB2312"/>
                <w:b/>
                <w:sz w:val="24"/>
              </w:rPr>
              <w:t>单位</w:t>
            </w:r>
          </w:p>
        </w:tc>
        <w:tc>
          <w:tcPr>
            <w:tcW w:w="1014" w:type="pct"/>
            <w:tcBorders>
              <w:top w:val="single" w:color="auto" w:sz="12"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
                <w:sz w:val="24"/>
              </w:rPr>
            </w:pPr>
            <w:r>
              <w:rPr>
                <w:rFonts w:ascii="Times New Roman" w:hAnsi="Times New Roman" w:eastAsia="仿宋_GB2312"/>
                <w:b/>
                <w:sz w:val="24"/>
              </w:rPr>
              <w:t>基期值</w:t>
            </w:r>
          </w:p>
        </w:tc>
        <w:tc>
          <w:tcPr>
            <w:tcW w:w="850" w:type="pct"/>
            <w:tcBorders>
              <w:top w:val="single" w:color="auto" w:sz="12"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
                <w:sz w:val="24"/>
              </w:rPr>
            </w:pPr>
            <w:r>
              <w:rPr>
                <w:rFonts w:ascii="Times New Roman" w:hAnsi="Times New Roman" w:eastAsia="仿宋_GB2312"/>
                <w:b/>
                <w:sz w:val="24"/>
              </w:rPr>
              <w:t>目标值</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375" w:hRule="atLeast"/>
          <w:jc w:val="center"/>
        </w:trPr>
        <w:tc>
          <w:tcPr>
            <w:tcW w:w="468" w:type="pct"/>
            <w:vMerge w:val="continue"/>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p>
        </w:tc>
        <w:tc>
          <w:tcPr>
            <w:tcW w:w="2081" w:type="pct"/>
            <w:vMerge w:val="continue"/>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p>
        </w:tc>
        <w:tc>
          <w:tcPr>
            <w:tcW w:w="587" w:type="pct"/>
            <w:vMerge w:val="continue"/>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b/>
                <w:sz w:val="24"/>
              </w:rPr>
              <w:t>（2020年）</w:t>
            </w: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b/>
                <w:sz w:val="24"/>
              </w:rPr>
              <w:t>（2025年）</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308" w:hRule="atLeast"/>
          <w:jc w:val="center"/>
        </w:trPr>
        <w:tc>
          <w:tcPr>
            <w:tcW w:w="468" w:type="pct"/>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b/>
                <w:bCs/>
                <w:sz w:val="24"/>
              </w:rPr>
            </w:pPr>
            <w:r>
              <w:rPr>
                <w:rFonts w:ascii="Times New Roman" w:hAnsi="Times New Roman" w:eastAsia="仿宋_GB2312"/>
                <w:b/>
                <w:bCs/>
                <w:sz w:val="24"/>
              </w:rPr>
              <w:t>一</w:t>
            </w:r>
          </w:p>
        </w:tc>
        <w:tc>
          <w:tcPr>
            <w:tcW w:w="2668" w:type="pct"/>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
                <w:bCs/>
                <w:sz w:val="24"/>
              </w:rPr>
            </w:pPr>
            <w:r>
              <w:rPr>
                <w:rFonts w:ascii="Times New Roman" w:hAnsi="Times New Roman" w:eastAsia="仿宋_GB2312"/>
                <w:b/>
                <w:bCs/>
                <w:sz w:val="24"/>
              </w:rPr>
              <w:t>主导特色产业规模聚集化</w:t>
            </w: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
                <w:sz w:val="24"/>
              </w:rPr>
            </w:pP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
                <w:sz w:val="24"/>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97" w:hRule="atLeast"/>
          <w:jc w:val="center"/>
        </w:trPr>
        <w:tc>
          <w:tcPr>
            <w:tcW w:w="468" w:type="pct"/>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1</w:t>
            </w:r>
          </w:p>
        </w:tc>
        <w:tc>
          <w:tcPr>
            <w:tcW w:w="2081"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主导特色产业总规模</w:t>
            </w:r>
          </w:p>
        </w:tc>
        <w:tc>
          <w:tcPr>
            <w:tcW w:w="587"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万亩</w:t>
            </w: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111.11</w:t>
            </w: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120</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308" w:hRule="atLeast"/>
          <w:jc w:val="center"/>
        </w:trPr>
        <w:tc>
          <w:tcPr>
            <w:tcW w:w="468" w:type="pct"/>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2</w:t>
            </w:r>
          </w:p>
        </w:tc>
        <w:tc>
          <w:tcPr>
            <w:tcW w:w="2081"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主导特色产业综合总产值</w:t>
            </w:r>
          </w:p>
        </w:tc>
        <w:tc>
          <w:tcPr>
            <w:tcW w:w="587"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亿元</w:t>
            </w: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110.82</w:t>
            </w: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125</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308" w:hRule="atLeast"/>
          <w:jc w:val="center"/>
        </w:trPr>
        <w:tc>
          <w:tcPr>
            <w:tcW w:w="468" w:type="pct"/>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3</w:t>
            </w:r>
          </w:p>
        </w:tc>
        <w:tc>
          <w:tcPr>
            <w:tcW w:w="2081"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主导特色产业总产值年均增速</w:t>
            </w:r>
          </w:p>
        </w:tc>
        <w:tc>
          <w:tcPr>
            <w:tcW w:w="587"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w:t>
            </w: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11.4</w:t>
            </w: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15</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308" w:hRule="atLeast"/>
          <w:jc w:val="center"/>
        </w:trPr>
        <w:tc>
          <w:tcPr>
            <w:tcW w:w="468" w:type="pct"/>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4</w:t>
            </w:r>
          </w:p>
        </w:tc>
        <w:tc>
          <w:tcPr>
            <w:tcW w:w="2081"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农副产品深加工率</w:t>
            </w:r>
          </w:p>
        </w:tc>
        <w:tc>
          <w:tcPr>
            <w:tcW w:w="587"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w:t>
            </w: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39</w:t>
            </w: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45</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97" w:hRule="atLeast"/>
          <w:jc w:val="center"/>
        </w:trPr>
        <w:tc>
          <w:tcPr>
            <w:tcW w:w="468" w:type="pct"/>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b/>
                <w:bCs/>
                <w:sz w:val="24"/>
              </w:rPr>
            </w:pPr>
            <w:r>
              <w:rPr>
                <w:rFonts w:ascii="Times New Roman" w:hAnsi="Times New Roman" w:eastAsia="仿宋_GB2312"/>
                <w:b/>
                <w:bCs/>
                <w:sz w:val="24"/>
              </w:rPr>
              <w:t>二</w:t>
            </w:r>
          </w:p>
        </w:tc>
        <w:tc>
          <w:tcPr>
            <w:tcW w:w="2668" w:type="pct"/>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
                <w:bCs/>
                <w:sz w:val="24"/>
              </w:rPr>
            </w:pPr>
            <w:r>
              <w:rPr>
                <w:rFonts w:ascii="Times New Roman" w:hAnsi="Times New Roman" w:eastAsia="仿宋_GB2312"/>
                <w:b/>
                <w:bCs/>
                <w:sz w:val="24"/>
              </w:rPr>
              <w:t>现代生产要素集聚化</w:t>
            </w: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
                <w:sz w:val="24"/>
              </w:rPr>
            </w:pP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308" w:hRule="atLeast"/>
          <w:jc w:val="center"/>
        </w:trPr>
        <w:tc>
          <w:tcPr>
            <w:tcW w:w="468" w:type="pct"/>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1</w:t>
            </w:r>
          </w:p>
        </w:tc>
        <w:tc>
          <w:tcPr>
            <w:tcW w:w="2081"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主要农作物良种覆盖率</w:t>
            </w:r>
          </w:p>
        </w:tc>
        <w:tc>
          <w:tcPr>
            <w:tcW w:w="587"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w:t>
            </w: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80</w:t>
            </w: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90</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308" w:hRule="atLeast"/>
          <w:jc w:val="center"/>
        </w:trPr>
        <w:tc>
          <w:tcPr>
            <w:tcW w:w="468" w:type="pct"/>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2</w:t>
            </w:r>
          </w:p>
        </w:tc>
        <w:tc>
          <w:tcPr>
            <w:tcW w:w="2081"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农业科技进步贡献率</w:t>
            </w:r>
          </w:p>
        </w:tc>
        <w:tc>
          <w:tcPr>
            <w:tcW w:w="587"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w:t>
            </w: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82</w:t>
            </w: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90</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308" w:hRule="atLeast"/>
          <w:jc w:val="center"/>
        </w:trPr>
        <w:tc>
          <w:tcPr>
            <w:tcW w:w="468" w:type="pct"/>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3</w:t>
            </w:r>
          </w:p>
        </w:tc>
        <w:tc>
          <w:tcPr>
            <w:tcW w:w="2081"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农业科技成果转化率</w:t>
            </w:r>
          </w:p>
        </w:tc>
        <w:tc>
          <w:tcPr>
            <w:tcW w:w="587"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w:t>
            </w: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65</w:t>
            </w: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80</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308" w:hRule="atLeast"/>
          <w:jc w:val="center"/>
        </w:trPr>
        <w:tc>
          <w:tcPr>
            <w:tcW w:w="468" w:type="pct"/>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4</w:t>
            </w:r>
          </w:p>
        </w:tc>
        <w:tc>
          <w:tcPr>
            <w:tcW w:w="2081"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农民科技培训率</w:t>
            </w:r>
          </w:p>
        </w:tc>
        <w:tc>
          <w:tcPr>
            <w:tcW w:w="587"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w:t>
            </w: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56</w:t>
            </w: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70</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97" w:hRule="atLeast"/>
          <w:jc w:val="center"/>
        </w:trPr>
        <w:tc>
          <w:tcPr>
            <w:tcW w:w="468" w:type="pct"/>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b/>
                <w:bCs/>
                <w:sz w:val="24"/>
              </w:rPr>
            </w:pPr>
            <w:r>
              <w:rPr>
                <w:rFonts w:ascii="Times New Roman" w:hAnsi="Times New Roman" w:eastAsia="仿宋_GB2312"/>
                <w:b/>
                <w:bCs/>
                <w:sz w:val="24"/>
              </w:rPr>
              <w:t>三</w:t>
            </w:r>
          </w:p>
        </w:tc>
        <w:tc>
          <w:tcPr>
            <w:tcW w:w="2668" w:type="pct"/>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
                <w:bCs/>
                <w:sz w:val="24"/>
              </w:rPr>
            </w:pPr>
            <w:r>
              <w:rPr>
                <w:rFonts w:ascii="Times New Roman" w:hAnsi="Times New Roman" w:eastAsia="仿宋_GB2312"/>
                <w:b/>
                <w:sz w:val="24"/>
              </w:rPr>
              <w:t>利益联结机制健全化</w:t>
            </w: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
                <w:sz w:val="24"/>
                <w:highlight w:val="yellow"/>
              </w:rPr>
            </w:pP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highlight w:val="yellow"/>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335" w:hRule="atLeast"/>
          <w:jc w:val="center"/>
        </w:trPr>
        <w:tc>
          <w:tcPr>
            <w:tcW w:w="468" w:type="pct"/>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1</w:t>
            </w:r>
          </w:p>
        </w:tc>
        <w:tc>
          <w:tcPr>
            <w:tcW w:w="2081"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农民可支配收入</w:t>
            </w:r>
          </w:p>
        </w:tc>
        <w:tc>
          <w:tcPr>
            <w:tcW w:w="587"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元</w:t>
            </w: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21157</w:t>
            </w: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27433</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285" w:hRule="atLeast"/>
          <w:jc w:val="center"/>
        </w:trPr>
        <w:tc>
          <w:tcPr>
            <w:tcW w:w="468" w:type="pct"/>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2</w:t>
            </w:r>
          </w:p>
        </w:tc>
        <w:tc>
          <w:tcPr>
            <w:tcW w:w="2081"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农民专业合作社</w:t>
            </w:r>
          </w:p>
        </w:tc>
        <w:tc>
          <w:tcPr>
            <w:tcW w:w="587"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个</w:t>
            </w: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1305</w:t>
            </w: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2000</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468" w:type="pct"/>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3</w:t>
            </w:r>
          </w:p>
        </w:tc>
        <w:tc>
          <w:tcPr>
            <w:tcW w:w="2081"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农户参加农民合作社比重</w:t>
            </w:r>
          </w:p>
        </w:tc>
        <w:tc>
          <w:tcPr>
            <w:tcW w:w="587"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w:t>
            </w: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40</w:t>
            </w: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60</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308" w:hRule="atLeast"/>
          <w:jc w:val="center"/>
        </w:trPr>
        <w:tc>
          <w:tcPr>
            <w:tcW w:w="468" w:type="pct"/>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4</w:t>
            </w:r>
          </w:p>
        </w:tc>
        <w:tc>
          <w:tcPr>
            <w:tcW w:w="2081"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家庭农场</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个</w:t>
            </w: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1320</w:t>
            </w: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2000</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308" w:hRule="atLeast"/>
          <w:jc w:val="center"/>
        </w:trPr>
        <w:tc>
          <w:tcPr>
            <w:tcW w:w="468" w:type="pct"/>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5</w:t>
            </w:r>
          </w:p>
        </w:tc>
        <w:tc>
          <w:tcPr>
            <w:tcW w:w="2081"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带动扶贫就业</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万人</w:t>
            </w: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0.5</w:t>
            </w: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0.9</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308" w:hRule="atLeast"/>
          <w:jc w:val="center"/>
        </w:trPr>
        <w:tc>
          <w:tcPr>
            <w:tcW w:w="468" w:type="pct"/>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b/>
                <w:sz w:val="24"/>
              </w:rPr>
            </w:pPr>
            <w:r>
              <w:rPr>
                <w:rFonts w:ascii="Times New Roman" w:hAnsi="Times New Roman" w:eastAsia="仿宋_GB2312"/>
                <w:b/>
                <w:bCs/>
                <w:sz w:val="24"/>
              </w:rPr>
              <w:t>四</w:t>
            </w:r>
          </w:p>
        </w:tc>
        <w:tc>
          <w:tcPr>
            <w:tcW w:w="1" w:type="pct"/>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
                <w:sz w:val="24"/>
              </w:rPr>
            </w:pPr>
            <w:r>
              <w:rPr>
                <w:rFonts w:ascii="Times New Roman" w:hAnsi="Times New Roman" w:eastAsia="仿宋_GB2312"/>
                <w:b/>
                <w:sz w:val="24"/>
              </w:rPr>
              <w:t>产业综合效益显著化</w:t>
            </w: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308" w:hRule="atLeast"/>
          <w:jc w:val="center"/>
        </w:trPr>
        <w:tc>
          <w:tcPr>
            <w:tcW w:w="468" w:type="pct"/>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1</w:t>
            </w:r>
          </w:p>
        </w:tc>
        <w:tc>
          <w:tcPr>
            <w:tcW w:w="2081"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单位耕地面积农作物总产量</w:t>
            </w:r>
          </w:p>
        </w:tc>
        <w:tc>
          <w:tcPr>
            <w:tcW w:w="587"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吨/公顷</w:t>
            </w: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6</w:t>
            </w: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7.5</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308" w:hRule="atLeast"/>
          <w:jc w:val="center"/>
        </w:trPr>
        <w:tc>
          <w:tcPr>
            <w:tcW w:w="468" w:type="pct"/>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2</w:t>
            </w:r>
          </w:p>
        </w:tc>
        <w:tc>
          <w:tcPr>
            <w:tcW w:w="2081"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单位耕地面积农业产值</w:t>
            </w:r>
          </w:p>
        </w:tc>
        <w:tc>
          <w:tcPr>
            <w:tcW w:w="587"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万元/亩</w:t>
            </w: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0.3</w:t>
            </w: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0.4</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308" w:hRule="atLeast"/>
          <w:jc w:val="center"/>
        </w:trPr>
        <w:tc>
          <w:tcPr>
            <w:tcW w:w="468" w:type="pct"/>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3</w:t>
            </w:r>
          </w:p>
        </w:tc>
        <w:tc>
          <w:tcPr>
            <w:tcW w:w="2081"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农业产业化龙头企业数量</w:t>
            </w:r>
          </w:p>
        </w:tc>
        <w:tc>
          <w:tcPr>
            <w:tcW w:w="587"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个</w:t>
            </w: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49</w:t>
            </w: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60</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308" w:hRule="atLeast"/>
          <w:jc w:val="center"/>
        </w:trPr>
        <w:tc>
          <w:tcPr>
            <w:tcW w:w="468" w:type="pct"/>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4</w:t>
            </w:r>
          </w:p>
        </w:tc>
        <w:tc>
          <w:tcPr>
            <w:tcW w:w="2081"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驰名商标</w:t>
            </w:r>
          </w:p>
        </w:tc>
        <w:tc>
          <w:tcPr>
            <w:tcW w:w="587"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个</w:t>
            </w: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4</w:t>
            </w: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10</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15" w:type="dxa"/>
            <w:left w:w="15" w:type="dxa"/>
            <w:bottom w:w="15" w:type="dxa"/>
            <w:right w:w="15" w:type="dxa"/>
          </w:tblCellMar>
        </w:tblPrEx>
        <w:trPr>
          <w:trHeight w:val="308" w:hRule="atLeast"/>
          <w:jc w:val="center"/>
        </w:trPr>
        <w:tc>
          <w:tcPr>
            <w:tcW w:w="468" w:type="pct"/>
            <w:tcBorders>
              <w:top w:val="single" w:color="000000" w:sz="4" w:space="0"/>
              <w:left w:val="single" w:color="auto" w:sz="12"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5</w:t>
            </w:r>
          </w:p>
        </w:tc>
        <w:tc>
          <w:tcPr>
            <w:tcW w:w="2081"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农产品加工业产值与农业总产值比值</w:t>
            </w:r>
          </w:p>
        </w:tc>
        <w:tc>
          <w:tcPr>
            <w:tcW w:w="587"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sz w:val="24"/>
              </w:rPr>
            </w:pPr>
            <w:r>
              <w:rPr>
                <w:rFonts w:ascii="Times New Roman" w:hAnsi="Times New Roman" w:eastAsia="仿宋_GB2312"/>
                <w:sz w:val="24"/>
              </w:rPr>
              <w:t>\</w:t>
            </w:r>
          </w:p>
        </w:tc>
        <w:tc>
          <w:tcPr>
            <w:tcW w:w="1014"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2.4:1</w:t>
            </w:r>
          </w:p>
        </w:tc>
        <w:tc>
          <w:tcPr>
            <w:tcW w:w="850" w:type="pct"/>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Times New Roman" w:hAnsi="Times New Roman" w:eastAsia="仿宋_GB2312"/>
                <w:bCs/>
                <w:sz w:val="24"/>
              </w:rPr>
            </w:pPr>
            <w:r>
              <w:rPr>
                <w:rFonts w:ascii="Times New Roman" w:hAnsi="Times New Roman" w:eastAsia="仿宋_GB2312"/>
                <w:bCs/>
                <w:sz w:val="24"/>
              </w:rPr>
              <w:t>2.8:1</w:t>
            </w:r>
          </w:p>
        </w:tc>
      </w:tr>
    </w:tbl>
    <w:p>
      <w:pPr>
        <w:spacing w:line="360" w:lineRule="auto"/>
        <w:jc w:val="center"/>
        <w:rPr>
          <w:rFonts w:ascii="Times New Roman" w:hAnsi="Times New Roman" w:eastAsia="黑体"/>
          <w:sz w:val="24"/>
        </w:rPr>
      </w:pPr>
    </w:p>
    <w:p>
      <w:pPr>
        <w:widowControl/>
        <w:jc w:val="left"/>
        <w:rPr>
          <w:rFonts w:ascii="Times New Roman" w:hAnsi="Times New Roman" w:eastAsia="仿宋_GB2312"/>
          <w:sz w:val="32"/>
          <w:szCs w:val="32"/>
        </w:rPr>
        <w:sectPr>
          <w:footerReference r:id="rId6" w:type="default"/>
          <w:pgSz w:w="11906" w:h="16838"/>
          <w:pgMar w:top="1440" w:right="1797" w:bottom="1440" w:left="1797" w:header="851" w:footer="992" w:gutter="0"/>
          <w:pgNumType w:start="1"/>
          <w:cols w:space="425" w:num="1"/>
          <w:docGrid w:linePitch="312" w:charSpace="0"/>
        </w:sectPr>
      </w:pPr>
    </w:p>
    <w:bookmarkEnd w:id="0"/>
    <w:p>
      <w:pPr>
        <w:pStyle w:val="47"/>
        <w:numPr>
          <w:ilvl w:val="0"/>
          <w:numId w:val="1"/>
        </w:numPr>
        <w:adjustRightInd w:val="0"/>
        <w:snapToGrid w:val="0"/>
        <w:spacing w:line="580" w:lineRule="exact"/>
        <w:ind w:firstLineChars="0"/>
        <w:jc w:val="center"/>
        <w:outlineLvl w:val="0"/>
        <w:rPr>
          <w:rFonts w:ascii="Times New Roman" w:hAnsi="Times New Roman" w:eastAsia="黑体"/>
          <w:sz w:val="32"/>
          <w:szCs w:val="32"/>
        </w:rPr>
      </w:pPr>
      <w:bookmarkStart w:id="79" w:name="_Toc87993530"/>
      <w:bookmarkStart w:id="80" w:name="_Toc525302379"/>
      <w:bookmarkStart w:id="81" w:name="_Toc525631030"/>
      <w:r>
        <w:rPr>
          <w:rFonts w:ascii="Times New Roman" w:hAnsi="Times New Roman" w:eastAsia="黑体"/>
          <w:sz w:val="32"/>
          <w:szCs w:val="32"/>
        </w:rPr>
        <w:t>重点任务</w:t>
      </w:r>
      <w:bookmarkEnd w:id="79"/>
    </w:p>
    <w:p>
      <w:pPr>
        <w:spacing w:line="580" w:lineRule="exact"/>
        <w:outlineLvl w:val="1"/>
        <w:rPr>
          <w:rFonts w:ascii="Times New Roman" w:hAnsi="Times New Roman" w:eastAsia="楷体"/>
          <w:b/>
          <w:sz w:val="32"/>
          <w:szCs w:val="32"/>
        </w:rPr>
      </w:pPr>
      <w:bookmarkStart w:id="82" w:name="_Toc87993531"/>
      <w:r>
        <w:rPr>
          <w:rFonts w:ascii="Times New Roman" w:hAnsi="Times New Roman" w:eastAsia="楷体"/>
          <w:b/>
          <w:sz w:val="32"/>
          <w:szCs w:val="32"/>
        </w:rPr>
        <w:t>4.1主导产业</w:t>
      </w:r>
      <w:bookmarkEnd w:id="82"/>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重点突出粮食、油菜、棉花、生猪、水产</w:t>
      </w:r>
      <w:r>
        <w:rPr>
          <w:rFonts w:ascii="Times New Roman" w:hAnsi="Times New Roman" w:eastAsia="仿宋_GB2312"/>
          <w:b/>
          <w:sz w:val="32"/>
          <w:szCs w:val="32"/>
        </w:rPr>
        <w:t>五大优势主导产业集群</w:t>
      </w:r>
      <w:r>
        <w:rPr>
          <w:rFonts w:ascii="Times New Roman" w:hAnsi="Times New Roman" w:eastAsia="仿宋_GB2312"/>
          <w:sz w:val="32"/>
          <w:szCs w:val="32"/>
        </w:rPr>
        <w:t>，积极发展各类农村专业合作组织，着力推广“龙头企业+合作社+农户+基地”模式，建设一批标准化产业基地，形成现代农业、田园综合体聚集带。</w:t>
      </w:r>
    </w:p>
    <w:p>
      <w:pPr>
        <w:spacing w:line="580" w:lineRule="exact"/>
        <w:outlineLvl w:val="2"/>
        <w:rPr>
          <w:rFonts w:ascii="Times New Roman" w:hAnsi="Times New Roman" w:eastAsia="仿宋_GB2312"/>
          <w:b/>
          <w:sz w:val="32"/>
          <w:szCs w:val="32"/>
        </w:rPr>
      </w:pPr>
      <w:bookmarkStart w:id="83" w:name="_Toc87993532"/>
      <w:r>
        <w:rPr>
          <w:rFonts w:ascii="Times New Roman" w:hAnsi="Times New Roman" w:eastAsia="仿宋_GB2312"/>
          <w:b/>
          <w:sz w:val="32"/>
          <w:szCs w:val="32"/>
        </w:rPr>
        <w:t>4.1.1粮食产业</w:t>
      </w:r>
      <w:bookmarkEnd w:id="83"/>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布局：</w:t>
      </w:r>
      <w:r>
        <w:rPr>
          <w:rFonts w:ascii="Times New Roman" w:hAnsi="Times New Roman" w:eastAsia="仿宋_GB2312"/>
          <w:sz w:val="32"/>
          <w:szCs w:val="32"/>
        </w:rPr>
        <w:t>粮食生产功能区主要布局在澧阳平原镇街（城头山镇、涔南镇、澧阳街道）、山丘区镇（甘溪滩镇、码头铺镇）、湖区镇（澧南镇、小渡口镇、官垸镇），主要发展中高档优质稻、种植，在澧阳平原镇街主要发展双季稻和高档优质稻，在山丘区镇主要发展一季中稻和中档优质稻，在湖区镇主要发展一季晚稻和高档优质稻，坚持粮食主产区定位，精心打造优质商品粮生产基地，发挥区位优势，巩固全省粮食生产标兵县地位。以城头山世界稻作之源为品牌之基，在高档优质稻核心区建立野生稻、原始稻、香稻紫米稻核心生产区，收纳优质野生稻种质资源，为推出“城头山高档野生稻米”提供优质生产基地，提炼总结有机生态大米生产技术。</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主目标：</w:t>
      </w:r>
      <w:r>
        <w:rPr>
          <w:rFonts w:ascii="Times New Roman" w:hAnsi="Times New Roman" w:eastAsia="仿宋_GB2312"/>
          <w:sz w:val="32"/>
          <w:szCs w:val="32"/>
        </w:rPr>
        <w:t>到2025年，粮食种植面积稳定在125万亩左右，总产50万吨以上，其中水稻面积稳定在105万亩左右。主攻高档优质稻生产，种植面积达40万亩以上，其中订单生产达80%以上，建成无公害优质稻绿色生产示范基地30万亩，年加工精制米30万吨，年产值25亿元以上。</w:t>
      </w:r>
    </w:p>
    <w:p>
      <w:pPr>
        <w:spacing w:line="580" w:lineRule="exact"/>
        <w:ind w:firstLine="640"/>
        <w:jc w:val="left"/>
        <w:rPr>
          <w:rFonts w:ascii="Times New Roman" w:hAnsi="Times New Roman" w:eastAsia="仿宋_GB2312"/>
          <w:sz w:val="32"/>
          <w:szCs w:val="32"/>
        </w:rPr>
      </w:pPr>
      <w:r>
        <w:rPr>
          <w:rFonts w:ascii="Times New Roman" w:hAnsi="Times New Roman" w:eastAsia="仿宋_GB2312"/>
          <w:b/>
          <w:sz w:val="32"/>
          <w:szCs w:val="32"/>
        </w:rPr>
        <w:t>突出区位优势</w:t>
      </w:r>
      <w:r>
        <w:rPr>
          <w:rFonts w:ascii="Times New Roman" w:hAnsi="Times New Roman" w:eastAsia="仿宋_GB2312"/>
          <w:sz w:val="32"/>
          <w:szCs w:val="32"/>
        </w:rPr>
        <w:t>，做优做精水稻生产，坚持“稳粮、扩面、提质、增效”原则，大力实施湘米工程，加大对农资市场管控，特别是种子市场管理，淘汰劣质品种，逐步形成与完善良田、良种、良法、良机、良制相配套的粮食稳产高产标准体系。</w:t>
      </w:r>
    </w:p>
    <w:p>
      <w:pPr>
        <w:spacing w:line="580" w:lineRule="exact"/>
        <w:ind w:firstLine="640"/>
        <w:jc w:val="left"/>
        <w:rPr>
          <w:rFonts w:ascii="Times New Roman" w:hAnsi="Times New Roman" w:eastAsia="仿宋_GB2312"/>
          <w:sz w:val="32"/>
          <w:szCs w:val="32"/>
        </w:rPr>
      </w:pPr>
      <w:r>
        <w:rPr>
          <w:rFonts w:ascii="Times New Roman" w:hAnsi="Times New Roman" w:eastAsia="仿宋_GB2312"/>
          <w:b/>
          <w:sz w:val="32"/>
          <w:szCs w:val="32"/>
        </w:rPr>
        <w:t>加强种业基地建设。</w:t>
      </w:r>
      <w:r>
        <w:rPr>
          <w:rFonts w:ascii="Times New Roman" w:hAnsi="Times New Roman" w:eastAsia="仿宋_GB2312"/>
          <w:sz w:val="32"/>
          <w:szCs w:val="32"/>
        </w:rPr>
        <w:t>成立一家种业集团，建立生物育种科研创新中心，科学布局制种基地，建设制种优势保护区，由政府制订水稻种子生产优势保护区标准和保护制度，实行“村级合作组织+制种企业+农户”模式，在水稻种子生产保护区签订政府、企业、村社（农民）三方协议，明确种子生产保护区的用地性质和三方义务。政府负责完善保护区基础设施，包括田型调整、农田排灌渠系建设、田间耕作道路完善等；企业负责基地种子生产配套设施、设备完善，包括建立企业自己的种子初加工中心、库房、晒场等，以及用于基地生产、加工、检测的各种农机具、烘干、加工、清选及种子检测检验设备；制种农户不得擅自改变土地用途，保护区内土地严格规定用于种子生产。将澧县打造成为一个“以水稻制种为核心，集水稻种子科研、种植、加工、包装、仓储、运输、销售为一体的种业硅谷”。</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发展高档优质稻</w:t>
      </w:r>
      <w:r>
        <w:rPr>
          <w:rFonts w:ascii="Times New Roman" w:hAnsi="Times New Roman" w:eastAsia="仿宋_GB2312"/>
          <w:sz w:val="32"/>
          <w:szCs w:val="32"/>
        </w:rPr>
        <w:t>，打造“城头山”优质大米品牌，做优做强粮食产业，将高档优质稻开发与“稻虾（蛙、鱼、鳖、鸭等）”综合种养推广有机结合。加大对规模种粮大户补贴力度和粮食加工企业的扶持力度，特别是种植高档优质稻、农业机械购置等方面的力度，对种粮大户销售稻谷进行订单或交国储绿卡销售，提高种粮积极性。</w:t>
      </w:r>
    </w:p>
    <w:p>
      <w:pPr>
        <w:spacing w:line="580" w:lineRule="exact"/>
        <w:ind w:firstLine="640"/>
        <w:jc w:val="left"/>
        <w:rPr>
          <w:rFonts w:ascii="Times New Roman" w:hAnsi="Times New Roman" w:eastAsia="仿宋_GB2312"/>
          <w:sz w:val="32"/>
          <w:szCs w:val="32"/>
        </w:rPr>
      </w:pPr>
      <w:r>
        <w:rPr>
          <w:rFonts w:ascii="Times New Roman" w:hAnsi="Times New Roman" w:eastAsia="仿宋_GB2312"/>
          <w:b/>
          <w:sz w:val="32"/>
          <w:szCs w:val="32"/>
        </w:rPr>
        <w:t>完善农田水利基础设施建设</w:t>
      </w:r>
      <w:r>
        <w:rPr>
          <w:rFonts w:ascii="Times New Roman" w:hAnsi="Times New Roman" w:eastAsia="仿宋_GB2312"/>
          <w:sz w:val="32"/>
          <w:szCs w:val="32"/>
        </w:rPr>
        <w:t>，建议土地由村级统一管理，统一流转，解决规模大户耕整、种植、收割等方面不方便问题。推广精确定量栽培、测土配方、绿色防控等新技术，不断提高水稻生产能力。</w:t>
      </w:r>
    </w:p>
    <w:p>
      <w:pPr>
        <w:spacing w:line="580" w:lineRule="exact"/>
        <w:ind w:firstLine="643" w:firstLineChars="200"/>
        <w:rPr>
          <w:rFonts w:ascii="Times New Roman" w:hAnsi="Times New Roman" w:eastAsia="仿宋_GB2312"/>
          <w:kern w:val="0"/>
          <w:sz w:val="32"/>
          <w:szCs w:val="32"/>
        </w:rPr>
      </w:pPr>
      <w:r>
        <w:rPr>
          <w:rFonts w:ascii="Times New Roman" w:hAnsi="Times New Roman" w:eastAsia="仿宋_GB2312"/>
          <w:b/>
          <w:sz w:val="32"/>
          <w:szCs w:val="32"/>
        </w:rPr>
        <w:t>强化公共品牌建设</w:t>
      </w:r>
      <w:r>
        <w:rPr>
          <w:rFonts w:ascii="Times New Roman" w:hAnsi="Times New Roman" w:eastAsia="仿宋_GB2312"/>
          <w:sz w:val="32"/>
          <w:szCs w:val="32"/>
        </w:rPr>
        <w:t>，主推绿色、优质、高效标准化生产技术，大力推广全程机械化生产方式，扶持规模种植大户，重点培植湖南洞庭春米业和湖南春华秋实现代农业发展有限公司，实施“龙头企业+基地+农户”模式，开展订单生产，打造“金洞庭春”“佑琼”等企业品牌和“澧州米店”区域公共品牌。加强“澧州米店”建设。整合各方资源，统一品牌，搭建澧县大米专业合作社与澧县外出打工人员合作平台，鼓励外出创业人员在所在城市开设“澧州米店”2000家，同时</w:t>
      </w:r>
      <w:r>
        <w:rPr>
          <w:rFonts w:ascii="Times New Roman" w:hAnsi="Times New Roman" w:eastAsia="仿宋_GB2312"/>
          <w:bCs/>
          <w:sz w:val="32"/>
          <w:szCs w:val="32"/>
        </w:rPr>
        <w:t>以</w:t>
      </w:r>
      <w:r>
        <w:rPr>
          <w:rFonts w:ascii="Times New Roman" w:hAnsi="Times New Roman" w:eastAsia="仿宋_GB2312"/>
          <w:sz w:val="32"/>
          <w:szCs w:val="32"/>
        </w:rPr>
        <w:t>“澧州米店”建设的契机，打造澧县大米区域公共品牌。“澧州米店”连锁门店是</w:t>
      </w:r>
      <w:r>
        <w:rPr>
          <w:rFonts w:ascii="Times New Roman" w:hAnsi="Times New Roman" w:eastAsia="仿宋_GB2312"/>
          <w:kern w:val="0"/>
          <w:sz w:val="32"/>
          <w:szCs w:val="32"/>
        </w:rPr>
        <w:t>由政府出资搭建微盈利公益平台或以民</w:t>
      </w:r>
      <w:r>
        <w:rPr>
          <w:rFonts w:ascii="Times New Roman" w:hAnsi="Times New Roman" w:eastAsia="仿宋_GB2312"/>
          <w:sz w:val="32"/>
          <w:szCs w:val="32"/>
        </w:rPr>
        <w:t>间众筹的</w:t>
      </w:r>
      <w:r>
        <w:rPr>
          <w:rFonts w:ascii="Times New Roman" w:hAnsi="Times New Roman" w:eastAsia="仿宋_GB2312"/>
          <w:kern w:val="0"/>
          <w:sz w:val="32"/>
          <w:szCs w:val="32"/>
        </w:rPr>
        <w:t>形式，筹集项目推动资金，按照“服务平台（澧县农业产业创业创新服务有限公司）+加工企业+专业合作社+门店”的协作模式进行运营，构建服务平台、专业合作社、企业、门店等多方共赢的盈利格局。</w:t>
      </w:r>
    </w:p>
    <w:p>
      <w:pPr>
        <w:spacing w:line="580" w:lineRule="exact"/>
        <w:ind w:firstLine="643" w:firstLineChars="200"/>
        <w:rPr>
          <w:rFonts w:ascii="Times New Roman" w:hAnsi="Times New Roman" w:eastAsia="仿宋_GB2312"/>
          <w:b/>
          <w:kern w:val="0"/>
          <w:sz w:val="32"/>
          <w:szCs w:val="32"/>
        </w:rPr>
      </w:pPr>
      <w:r>
        <w:rPr>
          <w:rFonts w:ascii="Times New Roman" w:hAnsi="Times New Roman" w:eastAsia="仿宋_GB2312"/>
          <w:b/>
          <w:kern w:val="0"/>
          <w:sz w:val="32"/>
          <w:szCs w:val="32"/>
        </w:rPr>
        <w:t>培育新型经营主体。</w:t>
      </w:r>
      <w:r>
        <w:rPr>
          <w:rFonts w:ascii="Times New Roman" w:hAnsi="Times New Roman" w:eastAsia="仿宋_GB2312"/>
          <w:kern w:val="0"/>
          <w:sz w:val="32"/>
          <w:szCs w:val="32"/>
        </w:rPr>
        <w:t>通过政策引导，扶持一批种植大户、农民专业合作社、土地股份合作社等新型经营主体，鼓励采用多种形式，实现适度规模经营。通过贴息补助、投资参股和税收优惠等政策，着力培育农业加工龙头企业，发展农产品初精深加工，扩张产业链、产品链和技术链，实现规模经营。创新农业生产经营新机制，培育农业生产经营新组织，提升农业生产规模化、组织化、集约化水平，促进农民持续稳定增收和农村经济发展。</w:t>
      </w:r>
    </w:p>
    <w:p>
      <w:pPr>
        <w:spacing w:line="580" w:lineRule="exact"/>
        <w:ind w:firstLine="643" w:firstLineChars="200"/>
        <w:rPr>
          <w:rFonts w:ascii="Times New Roman" w:hAnsi="Times New Roman" w:eastAsia="仿宋_GB2312"/>
          <w:kern w:val="0"/>
          <w:sz w:val="32"/>
          <w:szCs w:val="32"/>
        </w:rPr>
      </w:pPr>
      <w:r>
        <w:rPr>
          <w:rFonts w:ascii="Times New Roman" w:hAnsi="Times New Roman" w:eastAsia="仿宋_GB2312"/>
          <w:b/>
          <w:kern w:val="0"/>
          <w:sz w:val="32"/>
          <w:szCs w:val="32"/>
        </w:rPr>
        <w:t>推进产业链延伸。</w:t>
      </w:r>
      <w:r>
        <w:rPr>
          <w:rFonts w:ascii="Times New Roman" w:hAnsi="Times New Roman" w:eastAsia="仿宋_GB2312"/>
          <w:kern w:val="0"/>
          <w:sz w:val="32"/>
          <w:szCs w:val="32"/>
        </w:rPr>
        <w:t>引进国内知名粮食加工企业1家，扶持洞庭春米业与克明面业合作，延伸稻米加工产业链。支持锦绣千村建设水稻产业园，推进三产融合。支持千里马农庄建设农耕文化展示园，传承稻作文明，发展休闲和体验农业。</w:t>
      </w:r>
    </w:p>
    <w:p>
      <w:pPr>
        <w:spacing w:line="580" w:lineRule="exact"/>
        <w:ind w:firstLine="643" w:firstLineChars="200"/>
        <w:rPr>
          <w:rFonts w:ascii="Times New Roman" w:hAnsi="Times New Roman" w:eastAsia="仿宋_GB2312"/>
          <w:kern w:val="0"/>
          <w:sz w:val="32"/>
          <w:szCs w:val="32"/>
        </w:rPr>
      </w:pPr>
      <w:r>
        <w:rPr>
          <w:rFonts w:ascii="Times New Roman" w:hAnsi="Times New Roman" w:eastAsia="仿宋_GB2312"/>
          <w:b/>
          <w:kern w:val="0"/>
          <w:sz w:val="32"/>
          <w:szCs w:val="32"/>
        </w:rPr>
        <w:t>大力推进绿色生产。</w:t>
      </w:r>
      <w:r>
        <w:rPr>
          <w:rFonts w:ascii="Times New Roman" w:hAnsi="Times New Roman" w:eastAsia="仿宋_GB2312"/>
          <w:kern w:val="0"/>
          <w:sz w:val="32"/>
          <w:szCs w:val="32"/>
        </w:rPr>
        <w:t>调优高档优质稻耕作模式，合理搭配早晚稻品种；避免单双季混种，减少病虫害的桥梁田；推广“高档优质一季晚稻+油菜（蔬菜、绿肥等）”水旱轮作，实现养地与用地有机结合。发展生态种养模式，将高档优质稻开发与“稻虾（蛙、鱼、鳖、鸭等）”综合种养推广有机结合。实施化肥农药零增长行动，推进专业化统防统治，大力应用绿色防控技术及物化产品、广泛应用高效低毒低残留农药、普及推广高效植保器械；发展绿肥种植。</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健全粮食储备体系</w:t>
      </w:r>
      <w:r>
        <w:rPr>
          <w:rFonts w:ascii="Times New Roman" w:hAnsi="Times New Roman" w:eastAsia="仿宋_GB2312"/>
          <w:sz w:val="32"/>
          <w:szCs w:val="32"/>
        </w:rPr>
        <w:t>，对储备规模重新测算，不足部分，尽快建立，储存到位。抓好粮食收购、加快消化粮食库存，保证粮食供应和市场稳定。</w:t>
      </w:r>
    </w:p>
    <w:p>
      <w:pPr>
        <w:spacing w:line="580" w:lineRule="exact"/>
        <w:outlineLvl w:val="2"/>
        <w:rPr>
          <w:rFonts w:ascii="Times New Roman" w:hAnsi="Times New Roman" w:eastAsia="仿宋_GB2312"/>
          <w:b/>
          <w:sz w:val="32"/>
          <w:szCs w:val="32"/>
        </w:rPr>
      </w:pPr>
      <w:bookmarkStart w:id="84" w:name="_Toc87993533"/>
      <w:r>
        <w:rPr>
          <w:rFonts w:ascii="Times New Roman" w:hAnsi="Times New Roman" w:eastAsia="仿宋_GB2312"/>
          <w:b/>
          <w:sz w:val="32"/>
          <w:szCs w:val="32"/>
        </w:rPr>
        <w:t>4.1.2油菜产业</w:t>
      </w:r>
      <w:bookmarkEnd w:id="84"/>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布局：</w:t>
      </w:r>
      <w:r>
        <w:rPr>
          <w:rFonts w:ascii="Times New Roman" w:hAnsi="Times New Roman" w:eastAsia="仿宋_GB2312"/>
          <w:sz w:val="32"/>
          <w:szCs w:val="32"/>
        </w:rPr>
        <w:t>油料作物功能区主要包括甘溪滩镇、火连坡镇、码头铺镇、王家厂镇、大堰当镇、金罗镇、复兴镇、盐井镇、官垸镇、小渡口镇、如东镇、澧南镇。依托“澧县双低油菜籽”被列为国家地理标志保护产品的优势，加快“双低”油菜生产标准化建设，完善机耕道等设施，提高油菜产业机械化水平，加强油菜新品种、新技术、新产品的研发，示范推广“稻-稻-油”轮作高产技术、“稻-油”轮作高产技术、“棉-油”轮作高产技术。</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目标：</w:t>
      </w:r>
      <w:r>
        <w:rPr>
          <w:rFonts w:ascii="Times New Roman" w:hAnsi="Times New Roman" w:eastAsia="仿宋_GB2312"/>
          <w:sz w:val="32"/>
          <w:szCs w:val="32"/>
        </w:rPr>
        <w:t>到2025年，全县油菜种植面积稳定在65万亩左右，亩产量150公斤以上，年总产菜籽10万吨左右，其中“双低”油菜覆盖率95%以上，稳定45万亩绿色原料（双低油菜）生产基地。扶持创建油料生产专业合作社一镇一家以上，家庭农场（种植大户）300个以上（一村一个以上），培植骨干油脂企业1家，联结基地20万亩以上。</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加快油菜生产标准化建设。</w:t>
      </w:r>
      <w:r>
        <w:rPr>
          <w:rFonts w:ascii="Times New Roman" w:hAnsi="Times New Roman" w:eastAsia="仿宋_GB2312"/>
          <w:sz w:val="32"/>
          <w:szCs w:val="32"/>
        </w:rPr>
        <w:t>结合粮食产能建设，在油料生产基地适度安排田间工程，改善田间生产条件。建设高产示范基地，每个油料品种由政府建立一个标准化生产示范基地或示范点；全面推进标准化生产，积极开发“统一供种育苗，统一肥水管理，统一收获，统一加工销售”的配套服务，实现统一品种连片规模化种植，单收单储，提高油菜质量安全水平，打造精品品牌，辐射带动全县基地生产，推行生物防治，实行良种良法相配套，促进不同区域均衡增产，实现生产面积稳定扩大，单产和总产，品质和效益的显著提高，从整体上提升澧县油菜生产能力。</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提高油菜产业机械化水平。</w:t>
      </w:r>
      <w:r>
        <w:rPr>
          <w:rFonts w:ascii="Times New Roman" w:hAnsi="Times New Roman" w:eastAsia="仿宋_GB2312"/>
          <w:sz w:val="32"/>
          <w:szCs w:val="32"/>
        </w:rPr>
        <w:t>加快油菜产业机械化，推进全程机械化水平，鼓励推广农业社会化服务模式。引进和推广油菜种植、收获和加工的专用机械和全程机械化生产设备，提高生产加工机械化水平。大力发展农机专业合作组织，提高油菜生产全程机械化服务能力和水平。对油菜籽生产进行精准补贴，对油菜生产中农户购买耕整播种和收购机械，给与补贴，增强油菜种植积极性。加快推进油菜生产机械精量直播、机防、机械联合收获，提高油菜生产全程机械化水平。在油菜主产镇建立优质油菜绿色生产基地，大力推广油菜的机耕、机播、机收、机防全程机械化。</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加大新品种的筛选推广力度</w:t>
      </w:r>
      <w:r>
        <w:rPr>
          <w:rFonts w:ascii="Times New Roman" w:hAnsi="Times New Roman" w:eastAsia="仿宋_GB2312"/>
          <w:sz w:val="32"/>
          <w:szCs w:val="32"/>
        </w:rPr>
        <w:t>，结合澧县油菜生产条件及油菜机械化生产，研发出生育期适中、抗性好、含油率高、产量高、适宜机械化收割的新品种，并大力广泛推广。</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提升油菜产业水平，</w:t>
      </w:r>
      <w:r>
        <w:rPr>
          <w:rFonts w:ascii="Times New Roman" w:hAnsi="Times New Roman" w:eastAsia="仿宋_GB2312"/>
          <w:sz w:val="32"/>
          <w:szCs w:val="32"/>
        </w:rPr>
        <w:t>根据不同地区地形和品种，按照油菜标准化生产要求和主推品种的特性特征，制定油菜生产技术规程，提高栽种水平。支持龙头企业与科研单位和种子生产部门合作，形成利益共同体，对农户实行统一供种、技术服务和订单收购，同时培育油菜产业农民专业合作组织的发展，提高油菜生产的组织化水平，推进油菜生产的产业化经营。</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创新生产经营模式。</w:t>
      </w:r>
      <w:r>
        <w:rPr>
          <w:rFonts w:ascii="Times New Roman" w:hAnsi="Times New Roman" w:eastAsia="仿宋_GB2312"/>
          <w:sz w:val="32"/>
          <w:szCs w:val="32"/>
        </w:rPr>
        <w:t>大力实施品牌战略，积极扶持龙头企业，创建优质油脂知名品牌。通过科技创新，信贷支持，信息服务，项目倾斜等，培育一批有规模的龙头企业。支持龙头企业建立原料生产基地，对农民实行统一供种，技术服务和订单收购，充分发挥龙头企业的辐射带动作用；加快培育油料产业农民专业合作社等专业组织，完善“企业+基地+农民”等生产经营模式，大力推广沣油、华油杂系列新品种，集成配套栽培技术，通过新型经营主体的带动，实现标准化、规模化格局。</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加强与科研机构和生产企业的产学研合作</w:t>
      </w:r>
      <w:r>
        <w:rPr>
          <w:rFonts w:ascii="Times New Roman" w:hAnsi="Times New Roman" w:eastAsia="仿宋_GB2312"/>
          <w:sz w:val="32"/>
          <w:szCs w:val="32"/>
        </w:rPr>
        <w:t>，通过试验示范筛选并推广出适应性强、轻简、实用的油菜开沟、耕整、播种、施肥、打药、收割、烘干成套机械设备，克服现有生产中机械不配套、不实用、效率低、损耗大、成本高等弊端，有效推进机械化进程。</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建立油菜观光带、花海</w:t>
      </w:r>
      <w:r>
        <w:rPr>
          <w:rFonts w:ascii="Times New Roman" w:hAnsi="Times New Roman" w:eastAsia="仿宋_GB2312"/>
          <w:sz w:val="32"/>
          <w:szCs w:val="32"/>
        </w:rPr>
        <w:t>，开启乡村油菜化节旅游，通过举办“油菜花节”，打开“澧县双低油菜籽”（国家地理标志登记保护产品）市场知名度。</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开发油菜多功能用途</w:t>
      </w:r>
      <w:r>
        <w:rPr>
          <w:rFonts w:ascii="Times New Roman" w:hAnsi="Times New Roman" w:eastAsia="仿宋_GB2312"/>
          <w:sz w:val="32"/>
          <w:szCs w:val="32"/>
        </w:rPr>
        <w:t>，拓展油菜的“油菜”“油肥”“油花”等新用途，提高种植油菜社会效益、经济效益与生态效益。加快油菜多功能利用研究与推广，整合油菜苔种质资源和技术优势，建立稳定的油菜苔示范生产基地，努力拓展油菜苔外销市场，建立冷链物流，培育油菜苔深加工企业，开展规模化生产加工，为油菜产业开辟新的增收路径。打造以甘溪滩镇为中心，延伸至火连坡镇的以油菜花观赏为主的“美丽山谷”；抓好城头山景区周边的秋冬观光农业；打造澧南镇的万亩油菜花海。</w:t>
      </w:r>
    </w:p>
    <w:p>
      <w:pPr>
        <w:spacing w:line="580" w:lineRule="exact"/>
        <w:outlineLvl w:val="2"/>
        <w:rPr>
          <w:rFonts w:ascii="Times New Roman" w:hAnsi="Times New Roman" w:eastAsia="仿宋_GB2312"/>
          <w:b/>
          <w:sz w:val="32"/>
          <w:szCs w:val="32"/>
        </w:rPr>
      </w:pPr>
      <w:bookmarkStart w:id="85" w:name="_Toc87993534"/>
      <w:r>
        <w:rPr>
          <w:rFonts w:ascii="Times New Roman" w:hAnsi="Times New Roman" w:eastAsia="仿宋_GB2312"/>
          <w:b/>
          <w:sz w:val="32"/>
          <w:szCs w:val="32"/>
        </w:rPr>
        <w:t>4.1.3棉花产业</w:t>
      </w:r>
      <w:bookmarkEnd w:id="85"/>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布局：</w:t>
      </w:r>
      <w:r>
        <w:rPr>
          <w:rFonts w:ascii="Times New Roman" w:hAnsi="Times New Roman" w:eastAsia="仿宋_GB2312"/>
          <w:sz w:val="32"/>
          <w:szCs w:val="32"/>
        </w:rPr>
        <w:t>棉花生产功能区主要布局在小渡口镇、官垸镇、如东镇、复兴镇、盐井镇、金罗镇，充分尊重农民自主经营的意愿和保护农民的土地承包经营权，通过宣传引导和政策鼓励，鼓励农民参与棉花功能保护区的划定、建设和管护，加强对重点乡镇的指导和督促，推广示范“棉花-油菜”模式，发挥典型示范作用，建立以生产45万支以上高档精梳纱为目标产品的高品质长绒棉核心生产区，对接下游棉纺企业，实行优质优价订单生产，努力提升棉花种植效益，同时为棉纺企业建立稳定的后方生产基地。</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主要目标：</w:t>
      </w:r>
      <w:r>
        <w:rPr>
          <w:rFonts w:ascii="Times New Roman" w:hAnsi="Times New Roman" w:eastAsia="仿宋_GB2312"/>
          <w:sz w:val="32"/>
          <w:szCs w:val="32"/>
        </w:rPr>
        <w:t>到2025年，稳定全县棉花种植面积达12.5万亩以上，总产量1.5万吨，其中发展优质专用棉生产基地8万亩，皮棉单产100公斤以上；培育加工产值或销售额5000万元以上的棉花加工和经营型龙头企业5家，亿元以上龙头企业1家，带动农户由1.5万户增加到2.5万户。</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深耕精细生产，</w:t>
      </w:r>
      <w:r>
        <w:rPr>
          <w:rFonts w:ascii="Times New Roman" w:hAnsi="Times New Roman" w:eastAsia="仿宋_GB2312"/>
          <w:sz w:val="32"/>
          <w:szCs w:val="32"/>
        </w:rPr>
        <w:t>以小渡口镇为核心，建设棉花高效生产技术示范基地，落实落细轻简化栽培技术，完善棉-油、棉-豆等多种套种轮作方式，建立省工省时高效生产技术体系，通过辐射带动和技术推广，提高棉花种植效益，促进农民增产增收，激发广大群众植棉积极性。</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发展优质棉，</w:t>
      </w:r>
      <w:r>
        <w:rPr>
          <w:rFonts w:ascii="Times New Roman" w:hAnsi="Times New Roman" w:eastAsia="仿宋_GB2312"/>
          <w:sz w:val="32"/>
          <w:szCs w:val="32"/>
        </w:rPr>
        <w:t>加强与高校和省棉所合作，在棉花生产保护区重点发展优质专用棉生产基地，提高棉花单产、纤维成熟度和品质一致性。</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强化龙头企业引进与培育，</w:t>
      </w:r>
      <w:r>
        <w:rPr>
          <w:rFonts w:ascii="Times New Roman" w:hAnsi="Times New Roman" w:eastAsia="仿宋_GB2312"/>
          <w:sz w:val="32"/>
          <w:szCs w:val="32"/>
        </w:rPr>
        <w:t>采取内引外联、重组、兼并、收购、股份合作等形式，培育一些大规模、高起点、外向型、具有较强牵动力的棉花生产加工销售龙头企业。</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突出财政支持，</w:t>
      </w:r>
      <w:r>
        <w:rPr>
          <w:rFonts w:ascii="Times New Roman" w:hAnsi="Times New Roman" w:eastAsia="仿宋_GB2312"/>
          <w:sz w:val="32"/>
          <w:szCs w:val="32"/>
        </w:rPr>
        <w:t>在棉花功能保护区的棉花生产、科研、良种繁育推广、棉田基本建设及技术培训等方面，科学合理利用好国家产棉大县棉花奖励资金和相关项目资金，县财政给予一定资金支持，</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鼓励订单生产，</w:t>
      </w:r>
      <w:r>
        <w:rPr>
          <w:rFonts w:ascii="Times New Roman" w:hAnsi="Times New Roman" w:eastAsia="仿宋_GB2312"/>
          <w:sz w:val="32"/>
          <w:szCs w:val="32"/>
        </w:rPr>
        <w:t>鼓励农民特别是种棉大户发展棉花生产，通过发展订单生产，保障棉农收益。</w:t>
      </w:r>
    </w:p>
    <w:p>
      <w:pPr>
        <w:spacing w:line="580" w:lineRule="exact"/>
        <w:outlineLvl w:val="2"/>
        <w:rPr>
          <w:rFonts w:hint="eastAsia" w:ascii="Times New Roman" w:hAnsi="Times New Roman" w:eastAsia="仿宋_GB2312"/>
          <w:b/>
          <w:sz w:val="32"/>
          <w:szCs w:val="32"/>
        </w:rPr>
      </w:pPr>
      <w:bookmarkStart w:id="86" w:name="_Toc87993535"/>
    </w:p>
    <w:p>
      <w:pPr>
        <w:spacing w:line="580" w:lineRule="exact"/>
        <w:outlineLvl w:val="2"/>
        <w:rPr>
          <w:rFonts w:ascii="Times New Roman" w:hAnsi="Times New Roman" w:eastAsia="仿宋_GB2312"/>
          <w:b/>
          <w:sz w:val="32"/>
          <w:szCs w:val="32"/>
        </w:rPr>
      </w:pPr>
      <w:r>
        <w:rPr>
          <w:rFonts w:ascii="Times New Roman" w:hAnsi="Times New Roman" w:eastAsia="仿宋_GB2312"/>
          <w:b/>
          <w:sz w:val="32"/>
          <w:szCs w:val="32"/>
        </w:rPr>
        <w:t>4.1.4生猪产业</w:t>
      </w:r>
      <w:bookmarkEnd w:id="86"/>
    </w:p>
    <w:p>
      <w:pPr>
        <w:spacing w:line="580" w:lineRule="exact"/>
        <w:ind w:firstLine="643" w:firstLineChars="200"/>
        <w:rPr>
          <w:rFonts w:ascii="Times New Roman" w:hAnsi="Times New Roman" w:eastAsia="仿宋_GB2312"/>
          <w:b/>
          <w:sz w:val="32"/>
          <w:szCs w:val="32"/>
        </w:rPr>
      </w:pPr>
      <w:r>
        <w:rPr>
          <w:rFonts w:ascii="Times New Roman" w:hAnsi="Times New Roman" w:eastAsia="仿宋_GB2312"/>
          <w:b/>
          <w:sz w:val="32"/>
          <w:szCs w:val="32"/>
        </w:rPr>
        <w:t>布局：</w:t>
      </w:r>
      <w:r>
        <w:rPr>
          <w:rFonts w:ascii="Times New Roman" w:hAnsi="Times New Roman" w:eastAsia="仿宋_GB2312"/>
          <w:sz w:val="32"/>
          <w:szCs w:val="32"/>
        </w:rPr>
        <w:t>生猪产业主要布局在梦溪镇、澧南镇、王家厂镇、码头铺镇、甘溪滩镇、火连坡、盐井镇七大核心乡镇。推行畜禽养殖的标准化，大力推广“猪-沼-林”、“猪-沼-果”、“猪-沼-茶”等健康养殖模式，推进规模化绿色养殖，实现生猪养殖“零排放”。以澧澹街道，梦溪镇，澧阳街道，澧西街道，如东镇为核心，健全科学有效的生猪疫病防控机制，提升猪肉产品加工能力水平。</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主要目标：</w:t>
      </w:r>
      <w:r>
        <w:rPr>
          <w:rFonts w:ascii="Times New Roman" w:hAnsi="Times New Roman" w:eastAsia="仿宋_GB2312"/>
          <w:sz w:val="32"/>
          <w:szCs w:val="32"/>
        </w:rPr>
        <w:t>到2025年，在全县建成2个生猪标准化规模养殖小区，建成“猪-沼-林、猪-沼-果、猪-沼-茶”生态养殖场40个。大力推行畜禽养殖的标准化，创建国家级标准化示范场2个、省级标准化示范场40个。规模化养殖水平达到60%以上，畜禽粪便综合利用率达95%以上。实现生猪产业优质高产高效、生态安全、持续健康稳步发展，推动澧县从“调猪大县”向“调肉大县”转变。</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全面推进生猪规模化标准化健康养殖工作</w:t>
      </w:r>
      <w:r>
        <w:rPr>
          <w:rFonts w:ascii="Times New Roman" w:hAnsi="Times New Roman" w:eastAsia="仿宋_GB2312"/>
          <w:sz w:val="32"/>
          <w:szCs w:val="32"/>
        </w:rPr>
        <w:t>，加强猪肉产品质量安全、重大动物疫病防控、技术推广服务等工作。加快良种推广体系建设，推广长白猪、大约克猪、杜洛克猪等优良品种，健全科学有效的生猪疫病防控机制，提升猪肉产品加工能力水平，推进蔡家坡、小渡口生猪交易中心建设。</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提高猪肉质量安全水平。</w:t>
      </w:r>
      <w:r>
        <w:rPr>
          <w:rFonts w:ascii="Times New Roman" w:hAnsi="Times New Roman" w:eastAsia="仿宋_GB2312"/>
          <w:sz w:val="32"/>
          <w:szCs w:val="32"/>
        </w:rPr>
        <w:t>加大饲料质量安全监管力度，严厉打击违法添加“瘦肉精”等行为，完善饲料生产经营诚信体系，推动饲料生产规模化、标准化、集约化，建立完善饲料质量安全风险防控机制。加强生猪质量检验检测体系建设，探索建立质量安全追溯系统，将质量安全监管责任落实到位。</w:t>
      </w:r>
    </w:p>
    <w:p>
      <w:pPr>
        <w:spacing w:line="580" w:lineRule="exact"/>
        <w:ind w:firstLine="643" w:firstLineChars="200"/>
        <w:rPr>
          <w:rFonts w:ascii="Times New Roman" w:hAnsi="Times New Roman" w:eastAsia="仿宋_GB2312"/>
          <w:b/>
          <w:sz w:val="32"/>
          <w:szCs w:val="32"/>
        </w:rPr>
      </w:pPr>
      <w:r>
        <w:rPr>
          <w:rFonts w:ascii="Times New Roman" w:hAnsi="Times New Roman" w:eastAsia="仿宋_GB2312"/>
          <w:b/>
          <w:sz w:val="32"/>
          <w:szCs w:val="32"/>
        </w:rPr>
        <w:t>强化生猪疫病防控。</w:t>
      </w:r>
      <w:r>
        <w:rPr>
          <w:rFonts w:ascii="Times New Roman" w:hAnsi="Times New Roman" w:eastAsia="仿宋_GB2312"/>
          <w:sz w:val="32"/>
          <w:szCs w:val="32"/>
        </w:rPr>
        <w:t>进一步加大生猪疫病防控力度，切实落实免疫、监测、检疫监管、消毒、无害化处理以及养殖环节防疫管理等各项防控措施，努力确保不发生区域性生猪重大疫情。加强养猪场综合防疫管理，重点防范非洲猪瘟等外来动物疫病传入，不断提高生物安全水平。</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提高养殖废弃物综合利用率。</w:t>
      </w:r>
      <w:r>
        <w:rPr>
          <w:rFonts w:ascii="Times New Roman" w:hAnsi="Times New Roman" w:eastAsia="仿宋_GB2312"/>
          <w:sz w:val="32"/>
          <w:szCs w:val="32"/>
        </w:rPr>
        <w:t>推广高效、经济、适用的畜禽养殖粪污综合利用模式，促进粪污的资源化利用。坚持减量化、资源化废弃物综合利用原则，合理布局生猪养殖，大力推行养猪业与种植业、林果业有机结合的生态养殖方式，引导在耕地、山地、园林中建设相应的配套牧场，推进生猪养殖生产生态协调发展。落实规模养殖场设施改造、投入品使用、生产记录、产品检测、质量追溯等管理制度，积极推广工业化粪污处理技术，采取沼气发电、污水净化和粪肥加工等方式，促进粪污资源化、综合化利用。</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发展“订单养殖”“公司+家庭农场”发展模式</w:t>
      </w:r>
      <w:r>
        <w:rPr>
          <w:rFonts w:ascii="Times New Roman" w:hAnsi="Times New Roman" w:eastAsia="仿宋_GB2312"/>
          <w:sz w:val="32"/>
          <w:szCs w:val="32"/>
        </w:rPr>
        <w:t>，重点支持规模大户和龙头企业，将生猪良种补贴和政策性保险提高到更高的层次和更广的范围。</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实施生态畜牧业物联网工程。</w:t>
      </w:r>
      <w:r>
        <w:rPr>
          <w:rFonts w:ascii="Times New Roman" w:hAnsi="Times New Roman" w:eastAsia="仿宋_GB2312"/>
          <w:sz w:val="32"/>
          <w:szCs w:val="32"/>
        </w:rPr>
        <w:t>将网络技术、传感技术、互联网技术等与生猪养殖业相结合，开展生猪养殖业物联网技术的研究、示范与推广。从生猪个体的编码与标识，生产过程的数据采集与传输，生猪个体的精细饲养控制，到猪肉产品全程质量安全溯源等环节，均制定相应的标准与规范，有效保障猪肉产品质量安全。</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提升加工能力水平。</w:t>
      </w:r>
      <w:r>
        <w:rPr>
          <w:rFonts w:ascii="Times New Roman" w:hAnsi="Times New Roman" w:eastAsia="仿宋_GB2312"/>
          <w:sz w:val="32"/>
          <w:szCs w:val="32"/>
        </w:rPr>
        <w:t>以现有畜禽加工企业为基础，采取招商引资、股份制等多形式，多渠道融资，引进新技术和新的成套加工设备，对猪肉产品进行深加工，达到年加工50-70万头的能力，打造无公害、绿色、有机名特优产品品牌，推动产品由初级加工向精深加工、由单一品种向产品多元化转变，提高产品档次，满足社会多样化的需求。注重培育一批产业化程度高、竞争力强的大型龙头企业，作为稳固市场的支撑力量。</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加强流通体系建设。</w:t>
      </w:r>
      <w:r>
        <w:rPr>
          <w:rFonts w:ascii="Times New Roman" w:hAnsi="Times New Roman" w:eastAsia="仿宋_GB2312"/>
          <w:sz w:val="32"/>
          <w:szCs w:val="32"/>
        </w:rPr>
        <w:t>抓好市场规划，确定澧水片建设蔡家坡、小渡口生猪交易中心。推动市场升级，扩建市场规模，提升市场信息化水平，规范市场经营行为，力争蔡家坡交易市场年交易量达30万头以上，小渡口交易市场年交易量达20万头以上。加强猪肉产品销售环节的冷链设施建设，拓展销售区域。</w:t>
      </w:r>
    </w:p>
    <w:p>
      <w:pPr>
        <w:spacing w:line="580" w:lineRule="exact"/>
        <w:outlineLvl w:val="2"/>
        <w:rPr>
          <w:rFonts w:ascii="Times New Roman" w:hAnsi="Times New Roman" w:eastAsia="仿宋_GB2312"/>
          <w:b/>
          <w:sz w:val="32"/>
          <w:szCs w:val="32"/>
        </w:rPr>
      </w:pPr>
      <w:bookmarkStart w:id="87" w:name="_Toc87993536"/>
      <w:r>
        <w:rPr>
          <w:rFonts w:ascii="Times New Roman" w:hAnsi="Times New Roman" w:eastAsia="仿宋_GB2312"/>
          <w:b/>
          <w:sz w:val="32"/>
          <w:szCs w:val="32"/>
        </w:rPr>
        <w:t>4.1.5水产产业</w:t>
      </w:r>
      <w:bookmarkEnd w:id="87"/>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布局：</w:t>
      </w:r>
      <w:r>
        <w:rPr>
          <w:rFonts w:ascii="Times New Roman" w:hAnsi="Times New Roman" w:eastAsia="仿宋_GB2312"/>
          <w:sz w:val="32"/>
          <w:szCs w:val="32"/>
        </w:rPr>
        <w:t>水产产业主要布局在澧、涔、澹、道、松滋五水流域。以官垸、小渡口、如东镇（北部丘陵区除外）等湖区乡镇为重点建设水产健康养殖基地，在涔河曾家河至小渡口段建立一个名优鱼综合养殖中心，在梦溪镇建立全县优质高产高效养殖示范区，在宋鲁湖、北民湖、王家厂水库、牛浪湖等处建立集养殖、垂钓、休闲、娱乐于一体的休闲渔业中心。</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主要目标：</w:t>
      </w:r>
      <w:r>
        <w:rPr>
          <w:rFonts w:ascii="Times New Roman" w:hAnsi="Times New Roman" w:eastAsia="仿宋_GB2312"/>
          <w:sz w:val="32"/>
          <w:szCs w:val="32"/>
        </w:rPr>
        <w:t>到2025年，完成水产业产值38亿元全县养殖面积发展到15万亩，年创养殖产值12亿元;流通水产品15万吨，实现流通产值20亿元;加工水产品2万吨，实现产值4.2亿元;发展休闲渔业产值1.8亿元。加快新型主体及产业培育。形成销售额上千万元的虾蟹经营型龙头企业5家，在全县培育发展休闲渔业示范场3家，家庭农场示范场5家，国家级专业合作社2家，做强做大渔业品牌。</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加快养殖结构调整，</w:t>
      </w:r>
      <w:r>
        <w:rPr>
          <w:rFonts w:ascii="Times New Roman" w:hAnsi="Times New Roman" w:eastAsia="仿宋_GB2312"/>
          <w:sz w:val="32"/>
          <w:szCs w:val="32"/>
        </w:rPr>
        <w:t>以生态渔业为导向，调整水产增养殖结构，加大对稻蟹、小龙虾、中华鳖、鳜鱼、鲈鱼等高效养殖产业的扶持力度，提高特种养殖在全县渔业经济的比率。建设澧县水产苗种繁育基地，推进全县水产良种覆盖率。</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加大标准池塘改造力度，</w:t>
      </w:r>
      <w:r>
        <w:rPr>
          <w:rFonts w:ascii="Times New Roman" w:hAnsi="Times New Roman" w:eastAsia="仿宋_GB2312"/>
          <w:sz w:val="32"/>
          <w:szCs w:val="32"/>
        </w:rPr>
        <w:t>改善养殖基础设施，全面开展水产养殖排放尾水的治理，创新应用生态循环养殖模式，加大节能减排技术和高效循环养殖技术应用。开展大规模增殖放流行动，净化水质。</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培育与引进养殖加工龙头企业，</w:t>
      </w:r>
      <w:r>
        <w:rPr>
          <w:rFonts w:ascii="Times New Roman" w:hAnsi="Times New Roman" w:eastAsia="仿宋_GB2312"/>
          <w:sz w:val="32"/>
          <w:szCs w:val="32"/>
        </w:rPr>
        <w:t>提高水产产品加工能力，以淡水鱼为重点，大力发展速冻鱼片风味鱼制品，冷冻鲜鱼制品加工。</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发展订单农业，</w:t>
      </w:r>
      <w:r>
        <w:rPr>
          <w:rFonts w:ascii="Times New Roman" w:hAnsi="Times New Roman" w:eastAsia="仿宋_GB2312"/>
          <w:sz w:val="32"/>
          <w:szCs w:val="32"/>
        </w:rPr>
        <w:t>通过订单生产、合作协议、产供销对接等方式，拓展渔业产业链，强化一二三产业的有机融合，建设集生态养殖和观光旅游与一体的休闲渔业基地。</w:t>
      </w:r>
    </w:p>
    <w:p>
      <w:pPr>
        <w:spacing w:line="580" w:lineRule="exact"/>
        <w:ind w:firstLine="640" w:firstLineChars="200"/>
        <w:rPr>
          <w:rFonts w:ascii="Times New Roman" w:hAnsi="Times New Roman" w:eastAsia="仿宋_GB2312"/>
          <w:sz w:val="32"/>
          <w:szCs w:val="32"/>
        </w:rPr>
      </w:pPr>
    </w:p>
    <w:p>
      <w:pPr>
        <w:spacing w:line="580" w:lineRule="exact"/>
        <w:ind w:firstLine="640" w:firstLineChars="200"/>
        <w:rPr>
          <w:rFonts w:ascii="Times New Roman" w:hAnsi="Times New Roman" w:eastAsia="仿宋_GB2312"/>
          <w:sz w:val="32"/>
          <w:szCs w:val="32"/>
        </w:rPr>
      </w:pPr>
    </w:p>
    <w:p>
      <w:pPr>
        <w:spacing w:line="580" w:lineRule="exact"/>
        <w:ind w:firstLine="640" w:firstLineChars="200"/>
        <w:rPr>
          <w:rFonts w:ascii="Times New Roman" w:hAnsi="Times New Roman" w:eastAsia="仿宋_GB2312"/>
          <w:sz w:val="32"/>
          <w:szCs w:val="32"/>
        </w:rPr>
      </w:pPr>
    </w:p>
    <w:p>
      <w:pPr>
        <w:spacing w:line="580" w:lineRule="exact"/>
        <w:ind w:firstLine="640" w:firstLineChars="200"/>
        <w:rPr>
          <w:rFonts w:ascii="Times New Roman" w:hAnsi="Times New Roman" w:eastAsia="仿宋_GB2312"/>
          <w:sz w:val="32"/>
          <w:szCs w:val="32"/>
        </w:rPr>
      </w:pPr>
    </w:p>
    <w:p>
      <w:pPr>
        <w:spacing w:line="580" w:lineRule="exact"/>
        <w:ind w:firstLine="640" w:firstLineChars="200"/>
        <w:rPr>
          <w:rFonts w:ascii="Times New Roman" w:hAnsi="Times New Roman" w:eastAsia="仿宋_GB2312"/>
          <w:sz w:val="32"/>
          <w:szCs w:val="32"/>
        </w:rPr>
      </w:pPr>
    </w:p>
    <w:tbl>
      <w:tblPr>
        <w:tblStyle w:val="2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Borders>
              <w:bottom w:val="single" w:color="auto" w:sz="4" w:space="0"/>
            </w:tcBorders>
            <w:shd w:val="clear" w:color="auto" w:fill="009999"/>
          </w:tcPr>
          <w:p>
            <w:pPr>
              <w:snapToGrid w:val="0"/>
              <w:spacing w:line="380" w:lineRule="exact"/>
              <w:ind w:firstLine="560" w:firstLineChars="200"/>
              <w:jc w:val="center"/>
              <w:rPr>
                <w:rFonts w:ascii="Times New Roman" w:hAnsi="Times New Roman" w:eastAsia="楷体_GB2312"/>
                <w:bCs/>
                <w:color w:val="000000"/>
                <w:sz w:val="28"/>
                <w:szCs w:val="28"/>
              </w:rPr>
            </w:pPr>
            <w:r>
              <w:rPr>
                <w:rFonts w:ascii="Times New Roman" w:hAnsi="Times New Roman" w:eastAsia="楷体_GB2312"/>
                <w:bCs/>
                <w:color w:val="000000"/>
                <w:sz w:val="28"/>
                <w:szCs w:val="28"/>
              </w:rPr>
              <w:t>专栏1主导产业提质增效工程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8" w:hRule="atLeast"/>
        </w:trPr>
        <w:tc>
          <w:tcPr>
            <w:tcW w:w="8522" w:type="dxa"/>
            <w:shd w:val="clear" w:color="auto" w:fill="99CCFF"/>
          </w:tcPr>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1.在城头山镇、大堰</w:t>
            </w:r>
            <w:r>
              <w:rPr>
                <w:rFonts w:hint="eastAsia" w:ascii="宋体" w:hAnsi="宋体" w:cs="宋体"/>
                <w:color w:val="000000"/>
                <w:kern w:val="0"/>
                <w:sz w:val="24"/>
              </w:rPr>
              <w:t>垱</w:t>
            </w:r>
            <w:r>
              <w:rPr>
                <w:rFonts w:hint="eastAsia" w:ascii="仿宋_GB2312" w:hAnsi="仿宋_GB2312" w:eastAsia="仿宋_GB2312" w:cs="仿宋_GB2312"/>
                <w:color w:val="000000"/>
                <w:kern w:val="0"/>
                <w:sz w:val="24"/>
              </w:rPr>
              <w:t>镇、涔南镇、梦溪镇等镇开展</w:t>
            </w:r>
            <w:r>
              <w:rPr>
                <w:rFonts w:ascii="Times New Roman" w:hAnsi="Times New Roman" w:eastAsia="仿宋_GB2312"/>
                <w:color w:val="000000"/>
                <w:kern w:val="0"/>
                <w:sz w:val="24"/>
              </w:rPr>
              <w:t>优质稻米基地建设与品牌创建。以“公司+服务组织+种植合作社”组织形式，实行“早加+晚优”和“一季晚优+油菜”的种植模式，建立45万亩年产17万吨高档优质稻米生产基地；利用“世界城祖.稻作之源”城头山稻作文化，在全国各地开设澧州米店，打造”城头山”稻米品牌，建立优质大米年销售额35亿元以上市场营销体系；建立以引种试验、标准化栽培示范、新技术应用示范为重点的技术体系；推进洞庭春米业与锦绣千村的有机整合，提高企业市场，力争进入资本市场；扩建仓储设施，改进加工设备，提升加工技术与能力；建设高效快捷物流系统；开展技术人才引进，以及职业技能培训。</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2.以洞庭春米业、春华秋实、腾宏米业、华鑫米业等稻米加工企业为龙头，在城头山镇打造澧县“城头山”优质稻米产业园。开展订单生产50万亩，扩建提升稻米生产线和稻谷烘干仓储设施，开展稻米加工副产品二次加工利用，提升生产效益。</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3.在澧西街道、城头山镇开展油脂加工重整建设。利用“澧县双低油菜籽”地理标志，打造“澧县双低菜籽油”区域品牌；通过招商引资，盘活盈成油脂资产，重现国家级龙头企业辉煌；整合县内中小型特色油脂加工企业，创建澧县油脂加工产业园。</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4.在梦溪镇建设一条年屠宰生猪60万头,肉牛1万头,家禽30万羽的加工畜禽肉类生产线。</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5.在梦溪镇开展生猪产业化建设项目。主要内容包括：生猪良种繁育体系建设。改、扩建三个年生产10000头良种猪繁育场；生猪人工授精体系建设。新建一个生猪人工授精总站；服务体系建设。新建兽药平价超市，免疫监测、疫病诊断、投入品分析实验室；建设生猪标准化规模养殖示范场10个（每个猪场要求“零排放”发酵床养殖，大型沼气池利用的健康养殖方式）。</w:t>
            </w:r>
          </w:p>
        </w:tc>
      </w:tr>
    </w:tbl>
    <w:p>
      <w:pPr>
        <w:spacing w:line="580" w:lineRule="exact"/>
        <w:outlineLvl w:val="1"/>
        <w:rPr>
          <w:rFonts w:ascii="Times New Roman" w:hAnsi="Times New Roman" w:eastAsia="楷体"/>
          <w:b/>
          <w:sz w:val="32"/>
          <w:szCs w:val="32"/>
        </w:rPr>
      </w:pPr>
      <w:bookmarkStart w:id="88" w:name="_Toc87993537"/>
      <w:r>
        <w:rPr>
          <w:rFonts w:ascii="Times New Roman" w:hAnsi="Times New Roman" w:eastAsia="楷体"/>
          <w:b/>
          <w:sz w:val="32"/>
          <w:szCs w:val="32"/>
        </w:rPr>
        <w:t>4.2特色产业</w:t>
      </w:r>
      <w:bookmarkEnd w:id="88"/>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挖掘特色资源，充分整合，大力培优壮大特色优势产业，扩大特色产业规模，打造葡萄、茶叶、柑橘、花木、虾蟹、蔬菜、中药材</w:t>
      </w:r>
      <w:r>
        <w:rPr>
          <w:rFonts w:ascii="Times New Roman" w:hAnsi="Times New Roman" w:eastAsia="仿宋_GB2312"/>
          <w:b/>
          <w:sz w:val="32"/>
          <w:szCs w:val="32"/>
        </w:rPr>
        <w:t>七大特色产业集群</w:t>
      </w:r>
      <w:r>
        <w:rPr>
          <w:rFonts w:ascii="Times New Roman" w:hAnsi="Times New Roman" w:eastAsia="仿宋_GB2312"/>
          <w:sz w:val="32"/>
          <w:szCs w:val="32"/>
        </w:rPr>
        <w:t>。建立特色产业的标准化生产基地和地方优良农业种质资源库，通过提纯复壮、新品种选育等技术，解决传统品种的退化现象。在生产、加工、包装、管理、流通、消费等环节实行标准化、规范化、精细化和无缝化管理，全面提升农业生产品质，提高土地利用率、劳动生产率、亩均产出率。</w:t>
      </w:r>
    </w:p>
    <w:p>
      <w:pPr>
        <w:spacing w:line="580" w:lineRule="exact"/>
        <w:outlineLvl w:val="2"/>
        <w:rPr>
          <w:rFonts w:ascii="Times New Roman" w:hAnsi="Times New Roman" w:eastAsia="仿宋_GB2312"/>
          <w:b/>
          <w:sz w:val="32"/>
          <w:szCs w:val="32"/>
        </w:rPr>
      </w:pPr>
      <w:bookmarkStart w:id="89" w:name="_Toc87993538"/>
      <w:r>
        <w:rPr>
          <w:rFonts w:ascii="Times New Roman" w:hAnsi="Times New Roman" w:eastAsia="仿宋_GB2312"/>
          <w:b/>
          <w:sz w:val="32"/>
          <w:szCs w:val="32"/>
        </w:rPr>
        <w:t>4.2.1葡萄产业</w:t>
      </w:r>
      <w:bookmarkEnd w:id="89"/>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布局：</w:t>
      </w:r>
      <w:r>
        <w:rPr>
          <w:rFonts w:ascii="Times New Roman" w:hAnsi="Times New Roman" w:eastAsia="仿宋_GB2312"/>
          <w:sz w:val="32"/>
          <w:szCs w:val="32"/>
        </w:rPr>
        <w:t>葡萄产业主要布局在官垸镇、小渡口镇、如东镇、城头山镇、澧西街道、澧南镇。</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目标：</w:t>
      </w:r>
      <w:r>
        <w:rPr>
          <w:rFonts w:ascii="Times New Roman" w:hAnsi="Times New Roman" w:eastAsia="仿宋_GB2312"/>
          <w:sz w:val="32"/>
          <w:szCs w:val="32"/>
        </w:rPr>
        <w:t>到2025年，建设</w:t>
      </w:r>
      <w:r>
        <w:rPr>
          <w:rFonts w:ascii="Times New Roman" w:hAnsi="Times New Roman" w:eastAsia="仿宋_GB2312"/>
          <w:bCs/>
          <w:sz w:val="32"/>
          <w:szCs w:val="32"/>
        </w:rPr>
        <w:t>中国中部最有影响的葡萄产业基地</w:t>
      </w:r>
      <w:r>
        <w:rPr>
          <w:rFonts w:ascii="Times New Roman" w:hAnsi="Times New Roman" w:eastAsia="仿宋_GB2312"/>
          <w:sz w:val="32"/>
          <w:szCs w:val="32"/>
        </w:rPr>
        <w:t>，力争产值达30亿元。全县葡萄面积达7万亩以上，丰产后年产鲜果14万吨。</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优化葡萄品种。</w:t>
      </w:r>
      <w:r>
        <w:rPr>
          <w:rFonts w:ascii="Times New Roman" w:hAnsi="Times New Roman" w:eastAsia="仿宋_GB2312"/>
          <w:sz w:val="32"/>
          <w:szCs w:val="32"/>
        </w:rPr>
        <w:t>立足市场需求，在葡萄主产区扶持建立良种苗木繁育基地，加大本地品种改良和新品种的引进、示范和推广力度。以农康现代葡萄产业园苗圃为依托，重新打造中国南方葡萄种质资源圃，建立引进圃、采穗圃和繁育圃相配套的良种苗木繁育基地，并逐步扩大规模，提高繁育产量和质量，优化品种和品质结构，满足全县葡萄发展需求。确立具有澧县地域特色的主导品种（如阳光玫瑰），逐步取代现有老化及退化品种，在葡萄规模扩张中要逐步优化品种结构，增加品种花色，错开上市，延长葡萄鲜果供应时间。</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强化葡萄品质保障。</w:t>
      </w:r>
      <w:r>
        <w:rPr>
          <w:rFonts w:ascii="Times New Roman" w:hAnsi="Times New Roman" w:eastAsia="仿宋_GB2312"/>
          <w:sz w:val="32"/>
          <w:szCs w:val="32"/>
        </w:rPr>
        <w:t>制定葡萄生产标准，通过多种渠道广泛宣传鼓励农户重视葡萄品质，加强澧县葡萄产业合作总社职能建设，完善葡萄产业链条，推进葡萄标准示范园建设，实行六统一的管理模式，统一葡萄栽培生产技术标准，通过精细化管理，提高葡萄品质。实施“控面提质”行动，推进标准化生产，着力建设10个葡萄观摩园与51个村级标准化生产示范园。加快“一园一中心”建设进度，打造澧县葡萄产业的门面与窗口。借势项目建设，推广无土栽培技术，破解用地难题。建立“政府+专业合作社+种植大户”的技术服务体系，提高葡萄生产全过程的技术服务水平；县葡萄办对全县葡萄生产技术的指导作用，规范各专业合作社相关技术培训活动，实行技术培训备案制度；积极组织举办葡萄技术专业培训班，聘请葡萄专家、教授、本地技术能手和专业果品经销商授课，提高种植技术水平。</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加强品牌建设。</w:t>
      </w:r>
      <w:r>
        <w:rPr>
          <w:rFonts w:ascii="Times New Roman" w:hAnsi="Times New Roman" w:eastAsia="仿宋_GB2312"/>
          <w:sz w:val="32"/>
          <w:szCs w:val="32"/>
        </w:rPr>
        <w:t>进一步完善澧县葡萄的强制性生产操作规程与技术标准，为打响澧县葡萄品牌创造条件。凡不按操作规程与技术标准执行的葡萄园和种植户，不享受政府出台的扶持葡萄产业的系列政策。加强澧县葡萄“农超对接”，对接全国10个大型市场，设立专销点。积极入驻大型超市，鼓励吸引来园采购。维护“澧县葡萄”国家地理标志产品良好形象，依托优果联品牌管理公司等大型市场主体打造高端品牌，充分发挥公共资源优势，进一步加大澧县葡萄宣传力度，扩大澧县葡萄知名度，拓宽销售渠道，提高市场占有率。充分利用全国葡萄学术研讨会、国际葡萄新品种展和国际果蔬展等大型会展，大力宣传推介澧县葡萄（澧州葡萄），打响国家地理标志保护产品品牌。统一设计“澧县葡萄（澧州葡萄）”外包装，全面提升“澧县葡萄（澧州葡萄）——国家地理标志保护产品品牌”使用率，保护和充分利用“澧县葡萄（澧州葡萄）”地理标志，打造“农业区域公共品牌”，争创绿色、有机食品示范基地建设，积极培育申报湖南著名商标、中国驰名商标。</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强化产销对接。</w:t>
      </w:r>
      <w:r>
        <w:rPr>
          <w:rFonts w:ascii="Times New Roman" w:hAnsi="Times New Roman" w:eastAsia="仿宋_GB2312"/>
          <w:sz w:val="32"/>
          <w:szCs w:val="32"/>
        </w:rPr>
        <w:t>加强葡萄产业冷链物流体系建设，鼓励和扶持龙头企业、专业合作社、种植大户建设预冷库，延长产品供应周期；打造葡萄生产销售走廊，逐步形成几个葡萄产品集散中心；加强葡萄经纪人的培育，及时跟踪市场动态和信息，联络果农、客商、代销技术和产品等，有效解决葡萄的销售难题；充分利用和发挥“互联网+”产业平台职能，建立电商平台搞好网上销售，引导葡农开创订单生产、定向销售的会员经济新模式，鼓励营销大户和经纪人探索拓展市场。</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突出产业融合发展，</w:t>
      </w:r>
      <w:r>
        <w:rPr>
          <w:rFonts w:ascii="Times New Roman" w:hAnsi="Times New Roman" w:eastAsia="仿宋_GB2312"/>
          <w:sz w:val="32"/>
          <w:szCs w:val="32"/>
        </w:rPr>
        <w:t>以省农业产业融合发展示范园建设为契机、以项目建设为载体，全力推进智慧葡萄园和葡萄科技展示中心（一园一中心）建设，促进葡萄鲜果销售、酿酒加工、休闲旅游观光三产深度融合，精心谋划隆重举办澧县葡萄节，根据“澧县葡萄”国家地理标志保护产品品牌良好形象，唱响“澧县葡萄”品牌。围绕城头山、彭头山等旅游目的地，支持引导以农民为主体发展休闲农业。对符合县域经济发展规划，布局合理、特色突出、经济效益显著，经营面积达到100亩以上，给予贴息补助。尝试葡萄酒庄培育，对规划建设的中小酒庄、农户用于葡萄种植、酿造、休闲消费等的当年贷款，享受财政贴息。</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强化深度开发和利用</w:t>
      </w:r>
      <w:r>
        <w:rPr>
          <w:rFonts w:ascii="Times New Roman" w:hAnsi="Times New Roman" w:eastAsia="仿宋_GB2312"/>
          <w:sz w:val="32"/>
          <w:szCs w:val="32"/>
        </w:rPr>
        <w:t>，培育龙头企业积极与科研单位及高校联合开发如浓缩汁、果汁饮料、葡萄酒以及食醋产品等，加大对葡萄籽、葡萄皮和葡萄叶的深度开发和利用，开发白藜芦醇等保健品。</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强化产业配套。</w:t>
      </w:r>
      <w:r>
        <w:rPr>
          <w:rFonts w:ascii="Times New Roman" w:hAnsi="Times New Roman" w:eastAsia="仿宋_GB2312"/>
          <w:sz w:val="32"/>
          <w:szCs w:val="32"/>
        </w:rPr>
        <w:t>推进建设葡萄产业配套的良种繁育包装、套袋、有机肥、冷库（保鲜）、冷链物流、初加工等产业集群，打造完善的产业体系。在葡萄专用有机肥、水溶肥生物刺激素、菌肥以及周转筐等相关产业方面大力招商建厂。</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拓展葡萄产业功能</w:t>
      </w:r>
      <w:r>
        <w:rPr>
          <w:rFonts w:ascii="Times New Roman" w:hAnsi="Times New Roman" w:eastAsia="仿宋_GB2312"/>
          <w:sz w:val="32"/>
          <w:szCs w:val="32"/>
        </w:rPr>
        <w:t>，发展生态立体种植，利用葡萄下架后葡萄地的闲置时间，进行立体种植，套种高附加值的水果、蔬菜、菌类以及经济作物。生态循环经济模式：利用葡萄下架后，结果前的时间，选择适合葡萄架下养殖的家禽品种，提升葡萄种植的综合生态效益，发展绿色循环经济；发展葡萄园观光及采摘，挖掘采摘的深度旅游价值，引导游客开展“葡萄认养”等特色项目，葡萄成熟后，自由采摘，按市价出售。以葡萄现代庄园为载体，将葡萄采摘体验和葡萄品鉴作为促销主题，打造以葡萄文化为新亮点的休闲观光旅游业。</w:t>
      </w:r>
    </w:p>
    <w:p>
      <w:pPr>
        <w:spacing w:line="580" w:lineRule="exact"/>
        <w:outlineLvl w:val="2"/>
        <w:rPr>
          <w:rFonts w:ascii="Times New Roman" w:hAnsi="Times New Roman" w:eastAsia="仿宋_GB2312"/>
          <w:b/>
          <w:sz w:val="32"/>
          <w:szCs w:val="32"/>
        </w:rPr>
      </w:pPr>
      <w:bookmarkStart w:id="90" w:name="_Toc87993539"/>
      <w:r>
        <w:rPr>
          <w:rFonts w:ascii="Times New Roman" w:hAnsi="Times New Roman" w:eastAsia="仿宋_GB2312"/>
          <w:b/>
          <w:sz w:val="32"/>
          <w:szCs w:val="32"/>
        </w:rPr>
        <w:t>4.2.2茶叶产业</w:t>
      </w:r>
      <w:bookmarkEnd w:id="90"/>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布局：</w:t>
      </w:r>
      <w:r>
        <w:rPr>
          <w:rFonts w:ascii="Times New Roman" w:hAnsi="Times New Roman" w:eastAsia="仿宋_GB2312"/>
          <w:sz w:val="32"/>
          <w:szCs w:val="32"/>
        </w:rPr>
        <w:t>茶叶产业主要布局在甘溪滩镇、码头铺镇、火连坡镇、王家厂镇。</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目标：</w:t>
      </w:r>
      <w:r>
        <w:rPr>
          <w:rFonts w:ascii="Times New Roman" w:hAnsi="Times New Roman" w:eastAsia="仿宋_GB2312"/>
          <w:sz w:val="32"/>
          <w:szCs w:val="32"/>
        </w:rPr>
        <w:t>到2025年，全县茶园生产面积稳定在4万亩以上，获得有机茶园认定的茶叶生产面积5000亩以上，绿色食品认证面积10000亩以上，综合产值3.5亿元以上。</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发展有机茶园，</w:t>
      </w:r>
      <w:r>
        <w:rPr>
          <w:rFonts w:ascii="Times New Roman" w:hAnsi="Times New Roman" w:eastAsia="仿宋_GB2312"/>
          <w:sz w:val="32"/>
          <w:szCs w:val="32"/>
        </w:rPr>
        <w:t>扩大茶叶种植规模，推进老茶园改造，大力发展有机茶园，强化绿色认证。加强与湖南农大、省茶叶研究所等科研单位的合作，提升全县茶叶生产技术人员的科技素质。</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实施茶园良种化工程。</w:t>
      </w:r>
      <w:r>
        <w:rPr>
          <w:rFonts w:ascii="Times New Roman" w:hAnsi="Times New Roman" w:eastAsia="仿宋_GB2312"/>
          <w:sz w:val="32"/>
          <w:szCs w:val="32"/>
        </w:rPr>
        <w:t>建立健全茶树良种繁育体系，加强新品种的引进、选育和推广，通过低产低效茶园换种改植，推广一批优质、高效、多抗、珍稀并适制的茶树新品种。</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实施科技推广工程。</w:t>
      </w:r>
      <w:r>
        <w:rPr>
          <w:rFonts w:ascii="Times New Roman" w:hAnsi="Times New Roman" w:eastAsia="仿宋_GB2312"/>
          <w:sz w:val="32"/>
          <w:szCs w:val="32"/>
        </w:rPr>
        <w:t>在全县推广茶叶机采机制标准化技术，加大茶园机械化操作水平提升和机械化生产的应用，缓解茶叶产业劳动力不足的矛盾。继续实施无公害茶叶生产技术，推广病虫害绿色防控技术，力争茶园100%达到无公害生产要求。加强“三品”认证，打造优质茶叶基地。</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强化品牌整合，</w:t>
      </w:r>
      <w:r>
        <w:rPr>
          <w:rFonts w:ascii="Times New Roman" w:hAnsi="Times New Roman" w:eastAsia="仿宋_GB2312"/>
          <w:sz w:val="32"/>
          <w:szCs w:val="32"/>
        </w:rPr>
        <w:t>加大宣传力度，对现有的茶叶品牌进行整合，积极引导制茶企业、茶叶经营者和茶园业主提升绿茶，做精做好红茶，争取挤入常德茶叶区域品牌范畴，实现资源共享，抱团取暖目标。依托桐溪农业、华阳茶业的龙头企业，发挥中国驰名商标“双上绿芽”的品牌效应。加强监督检查，提高品牌声誉和价值。聚焦优势，精准定位，打造“以澧为茶”等高档绿茶品牌，结合千年禅寺“钦山寺”开展全国范围内的禅文化和茶文化交流活动和茶叶促销活动，做强做优茶叶产业。</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突出市场营销，</w:t>
      </w:r>
      <w:r>
        <w:rPr>
          <w:rFonts w:ascii="Times New Roman" w:hAnsi="Times New Roman" w:eastAsia="仿宋_GB2312"/>
          <w:sz w:val="32"/>
          <w:szCs w:val="32"/>
        </w:rPr>
        <w:t>依托澧县农产批发大市场，在农批市场内划定区域组建茶叶交易市场，培育壮大茶叶营销人才。通过举办农业展会、营销推介、建立专营门店等活动，深化与京东、天猫、邮政等大型电商平台的交流合作。鼓励和扶持工商企业、经营户在全国大中城市开设澧县茶叶专卖店，逐步形成立足县内、覆盖全国的茶叶营销网络，鼓励茶叶企业进行网络营销。</w:t>
      </w:r>
    </w:p>
    <w:p>
      <w:pPr>
        <w:spacing w:line="360" w:lineRule="auto"/>
        <w:ind w:firstLine="643" w:firstLineChars="200"/>
        <w:rPr>
          <w:rFonts w:ascii="Times New Roman" w:hAnsi="Times New Roman" w:eastAsia="仿宋_GB2312"/>
          <w:sz w:val="32"/>
          <w:szCs w:val="32"/>
        </w:rPr>
      </w:pPr>
      <w:r>
        <w:rPr>
          <w:rFonts w:ascii="Times New Roman" w:hAnsi="Times New Roman" w:eastAsia="仿宋_GB2312"/>
          <w:b/>
          <w:sz w:val="32"/>
          <w:szCs w:val="32"/>
        </w:rPr>
        <w:t>培育茶叶产业龙头企业。</w:t>
      </w:r>
      <w:r>
        <w:rPr>
          <w:rFonts w:ascii="Times New Roman" w:hAnsi="Times New Roman" w:eastAsia="仿宋_GB2312"/>
          <w:sz w:val="32"/>
          <w:szCs w:val="32"/>
        </w:rPr>
        <w:t>鼓励茶叶生产加工企业采取多种措施进行联合，并集中力量扶持发展1-2家科技型、外向型、带动型的茶业深加工龙头企业，促使茶业龙头企业上规模、上档次。在抓好现有绿茶、红茶、黑茶产品生产的同时，开发茶饮料、茶点心等深加工产品，延长产业链，促进茶产业升级换代。</w:t>
      </w:r>
    </w:p>
    <w:p>
      <w:pPr>
        <w:spacing w:line="580" w:lineRule="exact"/>
        <w:outlineLvl w:val="2"/>
        <w:rPr>
          <w:rFonts w:ascii="Times New Roman" w:hAnsi="Times New Roman" w:eastAsia="楷体"/>
          <w:b/>
          <w:sz w:val="32"/>
          <w:szCs w:val="32"/>
        </w:rPr>
      </w:pPr>
      <w:bookmarkStart w:id="91" w:name="_Toc87993540"/>
      <w:r>
        <w:rPr>
          <w:rFonts w:ascii="Times New Roman" w:hAnsi="Times New Roman" w:eastAsia="楷体"/>
          <w:b/>
          <w:sz w:val="32"/>
          <w:szCs w:val="32"/>
        </w:rPr>
        <w:t>4.2.3柑橘产业</w:t>
      </w:r>
      <w:bookmarkEnd w:id="91"/>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布局：</w:t>
      </w:r>
      <w:r>
        <w:rPr>
          <w:rFonts w:ascii="Times New Roman" w:hAnsi="Times New Roman" w:eastAsia="仿宋_GB2312"/>
          <w:sz w:val="32"/>
          <w:szCs w:val="32"/>
        </w:rPr>
        <w:t>柑橘产业主要布局</w:t>
      </w:r>
      <w:r>
        <w:rPr>
          <w:rFonts w:ascii="Times New Roman" w:hAnsi="Times New Roman" w:eastAsia="仿宋_GB2312"/>
          <w:b/>
          <w:sz w:val="32"/>
          <w:szCs w:val="32"/>
        </w:rPr>
        <w:t>在</w:t>
      </w:r>
      <w:r>
        <w:rPr>
          <w:rFonts w:ascii="Times New Roman" w:hAnsi="Times New Roman" w:eastAsia="仿宋_GB2312"/>
          <w:sz w:val="32"/>
          <w:szCs w:val="32"/>
        </w:rPr>
        <w:t>盐井镇、复兴镇、大堰</w:t>
      </w:r>
      <w:r>
        <w:rPr>
          <w:rFonts w:ascii="Times New Roman" w:hAnsi="Times New Roman" w:eastAsia="仿宋"/>
          <w:sz w:val="32"/>
          <w:szCs w:val="32"/>
        </w:rPr>
        <w:t>垱</w:t>
      </w:r>
      <w:r>
        <w:rPr>
          <w:rFonts w:ascii="Times New Roman" w:hAnsi="Times New Roman" w:eastAsia="仿宋_GB2312"/>
          <w:sz w:val="32"/>
          <w:szCs w:val="32"/>
        </w:rPr>
        <w:t>镇、金罗镇、火连坡镇、甘溪滩镇、码头铺镇、王家厂镇、如东镇、澧南镇、梦溪镇。</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目标：</w:t>
      </w:r>
      <w:r>
        <w:rPr>
          <w:rFonts w:ascii="Times New Roman" w:hAnsi="Times New Roman" w:eastAsia="仿宋_GB2312"/>
          <w:sz w:val="32"/>
          <w:szCs w:val="32"/>
        </w:rPr>
        <w:t>到2025年，全县柑橘面积稳定在20万亩左右，总产35万吨，总产值10亿元以上。</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确定发展区域，</w:t>
      </w:r>
      <w:r>
        <w:rPr>
          <w:rFonts w:ascii="Times New Roman" w:hAnsi="Times New Roman" w:eastAsia="仿宋_GB2312"/>
          <w:sz w:val="32"/>
          <w:szCs w:val="32"/>
        </w:rPr>
        <w:t>构建技术服务队伍，全县应以打造以复兴镇为中心的柑橘产业带和澧水右岸风景区为目标，涉及如东、梦溪、复兴、盐井、金罗、王家厂、火连坡和澧南等镇，各涉橘镇、村，分别要有专人负责柑橘生产，建立到户生产台账。县农业农村局保证3人以上的技术队伍从事柑橘技术指导，确保生产管理技术意见及时入户。</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培育行业发展队伍，</w:t>
      </w:r>
      <w:r>
        <w:rPr>
          <w:rFonts w:ascii="Times New Roman" w:hAnsi="Times New Roman" w:eastAsia="仿宋_GB2312"/>
          <w:sz w:val="32"/>
          <w:szCs w:val="32"/>
        </w:rPr>
        <w:t>搭建服务平台，积极支持“澧州柑橘产业协会”，“湖南省果品协会澧县办事处”等行业协会建设，加强培训和指导，并以此为依托，塔建“技术咨询平台”、“农业投入品供应平台”、“专业修剪队伍”、“柑橘病虫害专业飞防队”，做到专业的人做专业的事，自己的事自己做。</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培育专业合作社，</w:t>
      </w:r>
      <w:r>
        <w:rPr>
          <w:rFonts w:ascii="Times New Roman" w:hAnsi="Times New Roman" w:eastAsia="仿宋_GB2312"/>
          <w:sz w:val="32"/>
          <w:szCs w:val="32"/>
        </w:rPr>
        <w:t>提高市场竞争力。在复兴、盐井镇主产区，以小户型生产为主，镇、村要积极组建柑橘专业合作社，把单个农户组织起来实行技术指导，农业投入品供应、销售等几统一，提高农户生产、经营的组织化水平，提高果品品质，增强抗风险能力。先试点，后推行，争取“十四五”末实现合作社全覆盖。</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整合项目，加强示范基地建设。</w:t>
      </w:r>
      <w:r>
        <w:rPr>
          <w:rFonts w:ascii="Times New Roman" w:hAnsi="Times New Roman" w:eastAsia="仿宋_GB2312"/>
          <w:sz w:val="32"/>
          <w:szCs w:val="32"/>
        </w:rPr>
        <w:t>县政府协调，整合农业、水利、交通等部门项目，一是对新建果园筛选一批起点高的，在节水灌溉、园区道路、气调库建设等方面，给予项目连续支持，建设高标准果园，引领产业发展。优先扶持连片面积500亩以上的苹果柚园。</w:t>
      </w:r>
      <w:r>
        <w:rPr>
          <w:rFonts w:ascii="Times New Roman" w:hAnsi="Times New Roman" w:eastAsia="仿宋_GB2312"/>
          <w:bCs/>
          <w:sz w:val="32"/>
          <w:szCs w:val="32"/>
        </w:rPr>
        <w:t>加强低产园改造升级，</w:t>
      </w:r>
      <w:r>
        <w:rPr>
          <w:rFonts w:ascii="Times New Roman" w:hAnsi="Times New Roman" w:eastAsia="仿宋_GB2312"/>
          <w:sz w:val="32"/>
          <w:szCs w:val="32"/>
        </w:rPr>
        <w:t>五年内建成10个高标准果园；二是对现有小户型生产果园，以合作社为依托，实行品改，计划在复兴和盐井各打造一个2000亩的示范果园。</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创造条件，打造柑橘产业园。</w:t>
      </w:r>
      <w:r>
        <w:rPr>
          <w:rFonts w:ascii="Times New Roman" w:hAnsi="Times New Roman" w:eastAsia="仿宋_GB2312"/>
          <w:sz w:val="32"/>
          <w:szCs w:val="32"/>
        </w:rPr>
        <w:t>积极争取上级项目支持，在复兴镇打造一个500亩左右的产业园，包括一个规模化的柑橘交易市场，一座大型气调仓库，引进一个现代化的柑橘初加工企业，整合现有的柑橘分拣、洗果、打蜡厂进园区，并积极寻求产业链延伸的深加工企业，有机肥厂，中药材加工厂等入园进驻。</w:t>
      </w:r>
    </w:p>
    <w:p>
      <w:pPr>
        <w:spacing w:line="580" w:lineRule="exact"/>
        <w:ind w:firstLine="643" w:firstLineChars="200"/>
        <w:rPr>
          <w:rFonts w:ascii="Times New Roman" w:hAnsi="Times New Roman" w:eastAsia="仿宋_GB2312"/>
          <w:b/>
          <w:sz w:val="32"/>
          <w:szCs w:val="32"/>
        </w:rPr>
      </w:pPr>
      <w:r>
        <w:rPr>
          <w:rFonts w:ascii="Times New Roman" w:hAnsi="Times New Roman" w:eastAsia="仿宋_GB2312"/>
          <w:b/>
          <w:sz w:val="32"/>
          <w:szCs w:val="32"/>
        </w:rPr>
        <w:t>推动果园改造升级。</w:t>
      </w:r>
      <w:r>
        <w:rPr>
          <w:rFonts w:ascii="Times New Roman" w:hAnsi="Times New Roman" w:eastAsia="仿宋_GB2312"/>
          <w:sz w:val="32"/>
          <w:szCs w:val="32"/>
        </w:rPr>
        <w:t>加大技术集成和示范推广力度，推进现有果园的转型升级。打造苹果柚特色产业生产基地，建设一批优质高效的标准化示范园区，带动中低效果园的升级改造。示范推广轮作换茬、土壤改良、生物防治等果树重茬病的综合防治技术。引进推广作业平台、开沟机、弥雾机、耕翻施肥机等经济实用型果园机械，增强果树栽植、耕翻施肥、整形修剪、病虫防治、果实采收等生产管理环节的农机农艺融合程度，提高生产效率、降低人工成本，实现果园耕翻、施肥、喷药、割草等管理的全程机械化和整形修剪、果实采收半机械化，示范带动全县果园管理机械化水平的提升。</w:t>
      </w:r>
    </w:p>
    <w:p>
      <w:pPr>
        <w:spacing w:line="580" w:lineRule="exact"/>
        <w:ind w:firstLine="643" w:firstLineChars="200"/>
        <w:rPr>
          <w:rFonts w:ascii="Times New Roman" w:hAnsi="Times New Roman" w:eastAsia="仿宋_GB2312"/>
          <w:b/>
          <w:sz w:val="32"/>
          <w:szCs w:val="32"/>
        </w:rPr>
      </w:pPr>
      <w:r>
        <w:rPr>
          <w:rFonts w:ascii="Times New Roman" w:hAnsi="Times New Roman" w:eastAsia="仿宋_GB2312"/>
          <w:b/>
          <w:sz w:val="32"/>
          <w:szCs w:val="32"/>
        </w:rPr>
        <w:t>强化品牌打造，</w:t>
      </w:r>
      <w:r>
        <w:rPr>
          <w:rFonts w:ascii="Times New Roman" w:hAnsi="Times New Roman" w:eastAsia="仿宋_GB2312"/>
          <w:sz w:val="32"/>
          <w:szCs w:val="32"/>
        </w:rPr>
        <w:t>以培育龙头企业为基础，积极培育柑橘品牌。借城头山文化的魅力，扩大澧县柑橘影响，尽早创造“城头山柑橘”公共品牌。通过省内外展示展销、推介，扩大“城头山柑橘”品牌的省内外知名度。按照“政府引导，企业主体”的原则，鼓励企业合作社推进柑橘“二品”认证工作，创建自主企业品牌。</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培育引进柑橘加工龙头企业</w:t>
      </w:r>
      <w:r>
        <w:rPr>
          <w:rFonts w:ascii="Times New Roman" w:hAnsi="Times New Roman" w:eastAsia="仿宋_GB2312"/>
          <w:sz w:val="32"/>
          <w:szCs w:val="32"/>
        </w:rPr>
        <w:t>，加强柑橘产业高校安全贮藏能力建设，实现澧县柑橘鲜果商品化处理。引进1-2家柑橘深加工企业，大力发展柑橘精深加工，开发柑橘综合利用产品（柑橘果胶、柑橘香精油、柑橘膳食纤维、高蛋白饲料添加剂），提高果品附加值，形成罐头加工、果汁加工、副产品综合利用、产后处理、包装材料制造、产品研发、仓储物流、产品检验、出口通关于一体的产业集群和配套。</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强化物流体系建设，</w:t>
      </w:r>
      <w:r>
        <w:rPr>
          <w:rFonts w:ascii="Times New Roman" w:hAnsi="Times New Roman" w:eastAsia="仿宋_GB2312"/>
          <w:sz w:val="32"/>
          <w:szCs w:val="32"/>
        </w:rPr>
        <w:t>逐步完善冷库、保鲜库和冷链运输等硬件设施和柑橘市场监测预警、信息平台，形成功能齐全的鲜果物流体系。</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强化产销对接，</w:t>
      </w:r>
      <w:r>
        <w:rPr>
          <w:rFonts w:ascii="Times New Roman" w:hAnsi="Times New Roman" w:eastAsia="仿宋_GB2312"/>
          <w:sz w:val="32"/>
          <w:szCs w:val="32"/>
        </w:rPr>
        <w:t>有序组织专业合作社与经销企业和商场超市对接，建立长期稳定的产销对接合作机制。充分发挥“互联网+”的引领带动作用，利用电子商务平台，加强产销对接。鼓励引导企业、合作社建立有效的联盟或合作关系，稳定渠道成员间利益关系，发挥战略协同效应，共享渠道资源，塑造整体竞争优势，降低交易成本，提高产销对接能力。加强电子商务平台建设，推进果品的网上销售，全县网上销售率达到30%以上。</w:t>
      </w:r>
    </w:p>
    <w:p>
      <w:pPr>
        <w:spacing w:line="580" w:lineRule="exact"/>
        <w:outlineLvl w:val="2"/>
        <w:rPr>
          <w:rFonts w:ascii="Times New Roman" w:hAnsi="Times New Roman" w:eastAsia="楷体"/>
          <w:b/>
          <w:sz w:val="32"/>
          <w:szCs w:val="32"/>
        </w:rPr>
      </w:pPr>
      <w:bookmarkStart w:id="92" w:name="_Toc87993541"/>
      <w:r>
        <w:rPr>
          <w:rFonts w:ascii="Times New Roman" w:hAnsi="Times New Roman" w:eastAsia="楷体"/>
          <w:b/>
          <w:sz w:val="32"/>
          <w:szCs w:val="32"/>
        </w:rPr>
        <w:t>4.2.4花木产业</w:t>
      </w:r>
      <w:bookmarkEnd w:id="92"/>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布局：花木产业主要布局在</w:t>
      </w:r>
      <w:r>
        <w:rPr>
          <w:rFonts w:ascii="Times New Roman" w:hAnsi="Times New Roman" w:eastAsia="仿宋_GB2312"/>
          <w:sz w:val="32"/>
          <w:szCs w:val="32"/>
        </w:rPr>
        <w:t>澧澹街道、澧阳街道、澧浦街道、澧南镇、梦溪镇、码头铺镇、小渡口镇、如东镇。</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目标：到2025年，</w:t>
      </w:r>
      <w:r>
        <w:rPr>
          <w:rFonts w:ascii="Times New Roman" w:hAnsi="Times New Roman" w:eastAsia="仿宋_GB2312"/>
          <w:sz w:val="32"/>
          <w:szCs w:val="32"/>
        </w:rPr>
        <w:t>花木面积稳定在5万亩。油茶面积达5万亩，产值达8亿元。。</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扶持壮大龙头企业，</w:t>
      </w:r>
      <w:r>
        <w:rPr>
          <w:rFonts w:ascii="Times New Roman" w:hAnsi="Times New Roman" w:eastAsia="仿宋_GB2312"/>
          <w:sz w:val="32"/>
          <w:szCs w:val="32"/>
        </w:rPr>
        <w:t>按照“品种良种化、产品标准化、生产专业化、栽培容器化、设施现代化、商品品牌化”的产业发展标准，扶持壮大花木产业龙头企业，到2025年，年营业额1亿元左右的花卉企业1家，5000万以上的企业3家，培育和创建国内外知名品牌和商标2个，辐射带动花农2万人，亩均产值提高20%。</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调优种植结构，</w:t>
      </w:r>
      <w:r>
        <w:rPr>
          <w:rFonts w:ascii="Times New Roman" w:hAnsi="Times New Roman" w:eastAsia="仿宋_GB2312"/>
          <w:sz w:val="32"/>
          <w:szCs w:val="32"/>
        </w:rPr>
        <w:t>鼓励龙头企业建立研发中心，自主研发新品种，改进培育技术，扩大高品质苗木花卉种植面积和油茶面积，提升苗木规格和档次，创建花木品牌和澧县茶油品牌。</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加强精品园建设。</w:t>
      </w:r>
      <w:r>
        <w:rPr>
          <w:rFonts w:ascii="Times New Roman" w:hAnsi="Times New Roman" w:eastAsia="仿宋_GB2312"/>
          <w:sz w:val="32"/>
          <w:szCs w:val="32"/>
        </w:rPr>
        <w:t>在主要交通干道沿线及花木重点乡镇核心区域，建立10个精品花木园，每个园区面积30-60亩，主要花木品种为兰花、罗汉松、桂花、梅花、红花</w:t>
      </w:r>
      <w:r>
        <w:rPr>
          <w:rFonts w:hint="eastAsia" w:ascii="宋体" w:hAnsi="宋体" w:cs="宋体"/>
          <w:sz w:val="32"/>
          <w:szCs w:val="32"/>
        </w:rPr>
        <w:t>檵</w:t>
      </w:r>
      <w:r>
        <w:rPr>
          <w:rFonts w:ascii="Times New Roman" w:hAnsi="Times New Roman" w:eastAsia="仿宋_GB2312"/>
          <w:sz w:val="32"/>
          <w:szCs w:val="32"/>
        </w:rPr>
        <w:t>木、香樟、红豆杉、紫薇等，产品类别为大树、园艺造型树、盆景等，成为澧县花木产业的高端产品展示、交易和旅游观光景点。通过增加投入，扩大规模，园艺创新，特色培育措施，将花木园建设成集生产、展示、观赏、销售为一体的精品园区。在现有基础上新建2-3个油茶标准化示范基地。</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拓展多种功能，</w:t>
      </w:r>
      <w:r>
        <w:rPr>
          <w:rFonts w:ascii="Times New Roman" w:hAnsi="Times New Roman" w:eastAsia="仿宋_GB2312"/>
          <w:sz w:val="32"/>
          <w:szCs w:val="32"/>
        </w:rPr>
        <w:t>依托康园农业、森鑫苗木、树大园林等花木基地，开展生态农业观光旅游，鼓励龙头企业多元化发展，积极引进优质花卉品种，打造特色园艺休闲观光基地，实现育苗、销售、园林施工、科技研发和观光旅游五位一体经营，提高苗木产业综合效益和产业化水平。</w:t>
      </w:r>
    </w:p>
    <w:p>
      <w:pPr>
        <w:spacing w:line="580" w:lineRule="exact"/>
        <w:outlineLvl w:val="2"/>
        <w:rPr>
          <w:rFonts w:ascii="Times New Roman" w:hAnsi="Times New Roman" w:eastAsia="楷体"/>
          <w:b/>
          <w:sz w:val="32"/>
          <w:szCs w:val="32"/>
        </w:rPr>
      </w:pPr>
      <w:bookmarkStart w:id="93" w:name="_Toc87993542"/>
      <w:r>
        <w:rPr>
          <w:rFonts w:ascii="Times New Roman" w:hAnsi="Times New Roman" w:eastAsia="楷体"/>
          <w:b/>
          <w:sz w:val="32"/>
          <w:szCs w:val="32"/>
        </w:rPr>
        <w:t>4.2.5虾蟹产业</w:t>
      </w:r>
      <w:bookmarkEnd w:id="93"/>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布局：虾蟹产业主要布局在</w:t>
      </w:r>
      <w:r>
        <w:rPr>
          <w:rFonts w:ascii="Times New Roman" w:hAnsi="Times New Roman" w:eastAsia="仿宋_GB2312"/>
          <w:sz w:val="32"/>
          <w:szCs w:val="32"/>
        </w:rPr>
        <w:t>梦溪镇、澧南镇、官垸镇、小渡口镇。</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目标：</w:t>
      </w:r>
      <w:r>
        <w:rPr>
          <w:rFonts w:ascii="Times New Roman" w:hAnsi="Times New Roman" w:eastAsia="仿宋_GB2312"/>
          <w:sz w:val="32"/>
          <w:szCs w:val="32"/>
        </w:rPr>
        <w:t>到2025年，稳定全县虾蟹养殖面积10万亩，力争虾蟹年创产值7.87亿元。</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完善养殖基础设施建设，</w:t>
      </w:r>
      <w:r>
        <w:rPr>
          <w:rFonts w:ascii="Times New Roman" w:hAnsi="Times New Roman" w:eastAsia="仿宋_GB2312"/>
          <w:sz w:val="32"/>
          <w:szCs w:val="32"/>
        </w:rPr>
        <w:t>加大虾蟹养殖技术培训，降低养殖风险。发展稻（虾、蟹）综合种养，扩大综合种养面积，建设综合种养高标准连片基地，严控违禁药品使用，推进适度规模经营。按照“环境生态化、养殖设施化、生产高效化、管理信息化和营销现代化”要求，全面开展水产养殖排放尾水的治理，创新应用生态循环养殖模式，加大节能减排技术和高效循环养殖技术应用。</w:t>
      </w:r>
    </w:p>
    <w:p>
      <w:pPr>
        <w:spacing w:line="580" w:lineRule="exact"/>
        <w:ind w:firstLine="643" w:firstLineChars="200"/>
        <w:rPr>
          <w:rFonts w:ascii="Times New Roman" w:hAnsi="Times New Roman" w:eastAsia="仿宋_GB2312"/>
          <w:sz w:val="32"/>
          <w:szCs w:val="32"/>
        </w:rPr>
      </w:pPr>
      <w:bookmarkStart w:id="94" w:name="_Toc405728662"/>
      <w:r>
        <w:rPr>
          <w:rFonts w:ascii="Times New Roman" w:hAnsi="Times New Roman" w:eastAsia="仿宋_GB2312"/>
          <w:b/>
          <w:sz w:val="32"/>
          <w:szCs w:val="32"/>
        </w:rPr>
        <w:t>加快新型主体及产业培育</w:t>
      </w:r>
      <w:bookmarkEnd w:id="94"/>
      <w:r>
        <w:rPr>
          <w:rFonts w:ascii="Times New Roman" w:hAnsi="Times New Roman" w:eastAsia="仿宋_GB2312"/>
          <w:b/>
          <w:sz w:val="32"/>
          <w:szCs w:val="32"/>
        </w:rPr>
        <w:t>。</w:t>
      </w:r>
      <w:r>
        <w:rPr>
          <w:rFonts w:ascii="Times New Roman" w:hAnsi="Times New Roman" w:eastAsia="仿宋_GB2312"/>
          <w:sz w:val="32"/>
          <w:szCs w:val="32"/>
        </w:rPr>
        <w:t>培育一些大规模、高起点、外向型、具有较强牵动力的养殖加工龙头企业。力争到2025，形成产值或销售额上千万元的虾蟹经营型龙头企业3家以上开发，具有自主知识产权的专利产品和知名品牌。累计培训全县渔业劳动力1000人次以上，渔民组织化程度、综合素质显著提高。建立一支专业素质高、业务能力强的基层渔业推广队伍，提高澧县虾蟹产业的知名度。</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加大科技创新对虾蟹产业经济发展的支撑</w:t>
      </w:r>
      <w:r>
        <w:rPr>
          <w:rFonts w:ascii="Times New Roman" w:hAnsi="Times New Roman" w:eastAsia="仿宋_GB2312"/>
          <w:sz w:val="32"/>
          <w:szCs w:val="32"/>
        </w:rPr>
        <w:t>，不断提升产业素质。集成组织一批新技术、新工艺在虾蟹养殖上应用，以苗种的良种化与规模化促进虾蟹产业化。在产品质量上，重点实施无公害养殖技术和标准化生产示范基地建设，使澧县的虾蟹养殖实现从“鱼池到餐桌”全程质量监控。</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搭建产学研合作平台，</w:t>
      </w:r>
      <w:r>
        <w:rPr>
          <w:rFonts w:ascii="Times New Roman" w:hAnsi="Times New Roman" w:eastAsia="仿宋_GB2312"/>
          <w:sz w:val="32"/>
          <w:szCs w:val="32"/>
        </w:rPr>
        <w:t>加大与湖南农大、省农科院等科研院所建立合作关系，探索有关虾蟹产业化开发的关键技术。着力培植各类流通主体，大力组建水产品专业营销队伍。培育与引进龙头企业，发展“龙头企业+合作社+农户+基地”模式，构建利益共同体，保障养殖户收益。</w:t>
      </w:r>
    </w:p>
    <w:p>
      <w:pPr>
        <w:spacing w:line="580" w:lineRule="exact"/>
        <w:outlineLvl w:val="2"/>
        <w:rPr>
          <w:rFonts w:ascii="Times New Roman" w:hAnsi="Times New Roman" w:eastAsia="楷体"/>
          <w:b/>
          <w:sz w:val="32"/>
          <w:szCs w:val="32"/>
        </w:rPr>
      </w:pPr>
      <w:bookmarkStart w:id="95" w:name="_Toc87993543"/>
      <w:r>
        <w:rPr>
          <w:rFonts w:ascii="Times New Roman" w:hAnsi="Times New Roman" w:eastAsia="楷体"/>
          <w:b/>
          <w:sz w:val="32"/>
          <w:szCs w:val="32"/>
        </w:rPr>
        <w:t>4.2.6蔬菜产业</w:t>
      </w:r>
      <w:bookmarkEnd w:id="95"/>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布局：</w:t>
      </w:r>
      <w:r>
        <w:rPr>
          <w:rFonts w:ascii="Times New Roman" w:hAnsi="Times New Roman" w:eastAsia="仿宋_GB2312"/>
          <w:sz w:val="32"/>
          <w:szCs w:val="32"/>
        </w:rPr>
        <w:t>蔬菜产业主要布局在澧澹街道</w:t>
      </w:r>
      <w:r>
        <w:rPr>
          <w:rFonts w:ascii="Times New Roman" w:hAnsi="Times New Roman" w:eastAsia="仿宋_GB2312"/>
          <w:kern w:val="0"/>
          <w:sz w:val="32"/>
        </w:rPr>
        <w:t>、</w:t>
      </w:r>
      <w:r>
        <w:rPr>
          <w:rFonts w:ascii="Times New Roman" w:hAnsi="Times New Roman" w:eastAsia="仿宋_GB2312"/>
          <w:sz w:val="32"/>
          <w:szCs w:val="32"/>
        </w:rPr>
        <w:t>澧南镇、澧西街道</w:t>
      </w:r>
      <w:r>
        <w:rPr>
          <w:rFonts w:ascii="Times New Roman" w:hAnsi="Times New Roman" w:eastAsia="仿宋_GB2312"/>
          <w:kern w:val="0"/>
          <w:sz w:val="32"/>
        </w:rPr>
        <w:t>、火连坡镇、王家厂镇、涔南镇、小渡口镇、官垸镇、梦溪镇、如东镇</w:t>
      </w:r>
      <w:r>
        <w:rPr>
          <w:rFonts w:ascii="Times New Roman" w:hAnsi="Times New Roman" w:eastAsia="仿宋_GB2312"/>
          <w:sz w:val="32"/>
          <w:szCs w:val="32"/>
        </w:rPr>
        <w:t>。</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目标：</w:t>
      </w:r>
      <w:r>
        <w:rPr>
          <w:rFonts w:ascii="Times New Roman" w:hAnsi="Times New Roman" w:eastAsia="仿宋_GB2312"/>
          <w:sz w:val="32"/>
          <w:szCs w:val="32"/>
        </w:rPr>
        <w:t>到2025年，全县蔬菜播种面积达到25万亩左右，商品蔬菜基地面积达到5万亩，设施蔬菜面积达到1.8万亩，主要分布在火连坡镇、王家厂镇、涔南镇、澧澹街道、小渡口镇、澧南镇等镇街。蔬菜总产量达到50万吨，产值达到10亿元；建设3万亩绿色蔬菜种植区；建设8个蔬菜标准化生产基地；培育蔬菜加工企业2家，发展龙头企业2家，蔬菜专业合作社30家，家庭农场10家；建设4个蔬菜高质高效核心示范园、培育2个大型蔬菜集约化育苗中心，年育苗量可达2000万株；蔬菜产品抽样检测合格率达到99%以上。</w:t>
      </w:r>
    </w:p>
    <w:p>
      <w:pPr>
        <w:spacing w:line="580" w:lineRule="exact"/>
        <w:ind w:firstLine="643" w:firstLineChars="200"/>
        <w:rPr>
          <w:rFonts w:ascii="Times New Roman" w:hAnsi="Times New Roman" w:eastAsia="仿宋_GB2312"/>
          <w:b/>
          <w:bCs/>
          <w:sz w:val="32"/>
          <w:szCs w:val="32"/>
        </w:rPr>
      </w:pPr>
      <w:r>
        <w:rPr>
          <w:rFonts w:ascii="Times New Roman" w:hAnsi="Times New Roman" w:eastAsia="仿宋_GB2312"/>
          <w:b/>
          <w:bCs/>
          <w:sz w:val="32"/>
          <w:szCs w:val="32"/>
        </w:rPr>
        <w:t>打造绿色蔬菜品牌。</w:t>
      </w:r>
      <w:r>
        <w:rPr>
          <w:rFonts w:ascii="Times New Roman" w:hAnsi="Times New Roman" w:eastAsia="仿宋_GB2312"/>
          <w:bCs/>
          <w:sz w:val="32"/>
          <w:szCs w:val="32"/>
        </w:rPr>
        <w:t>推进绿色食品原料标准化生产基地建设，创建一批有机蔬菜示范基地，培育一批特色有机蔬菜农场。鼓励支持新型农业经营主体争创中国驰名商标、省著名商标和名牌产品，促进一二三产业融合发展。扩大设施蔬菜品牌产品网上营销规模，切实保障城乡蔬菜市场供应。集成项目、资金、技术力量，继续在全县蔬菜优势产区创建一批规模化种植、标准化生产、商品化处理、品牌化销售、产业化经营的设施蔬菜标准园。强化标准园示范、引领和辐射带动作用，集中展示蔬菜新品种、新技术、新模式、新装备，</w:t>
      </w:r>
      <w:r>
        <w:rPr>
          <w:rFonts w:ascii="Times New Roman" w:hAnsi="Times New Roman" w:eastAsia="仿宋_GB2312"/>
          <w:sz w:val="32"/>
          <w:szCs w:val="32"/>
        </w:rPr>
        <w:t>改善蔬菜种植环境和基础设施，强化蔬菜高质高效示范园区建设，提高全县设施蔬菜基地栽培技术水平，采用蔬菜基地加盟模式，全县合力打造“边山河”蔬菜优质品牌。强化蔬菜产业人才引进与培育，选派技术员外出学习。</w:t>
      </w:r>
    </w:p>
    <w:p>
      <w:pPr>
        <w:spacing w:line="580" w:lineRule="exact"/>
        <w:ind w:firstLine="643" w:firstLineChars="200"/>
        <w:rPr>
          <w:rFonts w:ascii="Times New Roman" w:hAnsi="Times New Roman" w:eastAsia="仿宋_GB2312"/>
          <w:bCs/>
          <w:sz w:val="32"/>
          <w:szCs w:val="32"/>
        </w:rPr>
      </w:pPr>
      <w:r>
        <w:rPr>
          <w:rFonts w:ascii="Times New Roman" w:hAnsi="Times New Roman" w:eastAsia="仿宋_GB2312"/>
          <w:b/>
          <w:bCs/>
          <w:sz w:val="32"/>
          <w:szCs w:val="32"/>
        </w:rPr>
        <w:t>推广病虫害绿色防控技术。</w:t>
      </w:r>
      <w:r>
        <w:rPr>
          <w:rFonts w:ascii="Times New Roman" w:hAnsi="Times New Roman" w:eastAsia="仿宋_GB2312"/>
          <w:bCs/>
          <w:sz w:val="32"/>
          <w:szCs w:val="32"/>
        </w:rPr>
        <w:t>大力推广频振式杀虫灯、诱虫色板、性诱剂、防虫网、生物农药，推进农业防治、生物防治、物理防治和生态调控等综合防治。示范推广膜下滴灌施肥、喷灌施肥技术，促进水肥一体化技术应用，提高肥料和水资源利用效率。因地制宜推广“猪-沼-菜”、“秸秆反应堆技术”等生态循环模式，实现植物生产，动物转化，微生物还原的高效农业生态循环。推广应用物联网技术，提升蔬菜生产现代化装备水平，促进设施蔬菜生产智能化、精准化、网络化。</w:t>
      </w:r>
    </w:p>
    <w:p>
      <w:pPr>
        <w:spacing w:line="580" w:lineRule="exact"/>
        <w:ind w:firstLine="643" w:firstLineChars="200"/>
        <w:rPr>
          <w:rFonts w:ascii="Times New Roman" w:hAnsi="Times New Roman" w:eastAsia="仿宋_GB2312"/>
          <w:b/>
          <w:bCs/>
          <w:sz w:val="32"/>
          <w:szCs w:val="32"/>
        </w:rPr>
      </w:pPr>
      <w:r>
        <w:rPr>
          <w:rFonts w:ascii="Times New Roman" w:hAnsi="Times New Roman" w:eastAsia="仿宋_GB2312"/>
          <w:b/>
          <w:bCs/>
          <w:sz w:val="32"/>
          <w:szCs w:val="32"/>
        </w:rPr>
        <w:t>强化蔬菜质量安全监管。</w:t>
      </w:r>
      <w:r>
        <w:rPr>
          <w:rFonts w:ascii="Times New Roman" w:hAnsi="Times New Roman" w:eastAsia="仿宋_GB2312"/>
          <w:bCs/>
          <w:sz w:val="32"/>
          <w:szCs w:val="32"/>
        </w:rPr>
        <w:t>修订、完善设施蔬菜生产技术规范和操作规程，完善标准化体系，推进标准化生产。以设施蔬菜标准园和规模化生产基地为重点，建设一批优质安全蔬菜生产基地、绿色食品专用原料基地、特色创汇蔬菜出口基地。加大对重点区域、重点品种、重要节点检验检测力度，鼓励生产企业开展自律性农残检测。建立全程可追溯、互联共享的蔬菜质量安全追溯信息系统，开展质量安全追溯试点示范，包括建立生产者编码、产地编码、产品编码，规范包装标识，实现产品质量安全信息的可追溯、可查询。</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大力支持食用菌产业发展。</w:t>
      </w:r>
      <w:r>
        <w:rPr>
          <w:rFonts w:ascii="Times New Roman" w:hAnsi="Times New Roman" w:eastAsia="仿宋_GB2312"/>
          <w:sz w:val="32"/>
          <w:szCs w:val="32"/>
        </w:rPr>
        <w:t>一是在稳定传统平菇的基础上，抓好羊肚菌、姬菇、灵芝、赤松茸等主导菇种的种植；二是抓好食用菌种植技术培训，加大对新品种、新技术的示范、应用推广力度；三是扶持澧县佳丰生物科技有限公司半工厂化规模生产“小黑平”、“茶树菇”；四是结合秸秆综合利用，充分利用冬闲田抓好“稻+菇”模式下的赤松茸品种推广；五是做好华诚山庄、千里马农庄、黄家套庄园、大美家园等食用菌农旅融合发展；六是抓好华盛泰、朵美蘑菇、道坤合作社、屈家岭等产业示范基地建设；七是帮助种植户搭建销售平台，依靠电商平台，推动产品的线上线下同步销售；八是加大品牌创建力度，印制精美包装，依托“菇湘缘”商标打造优质高端产品；九是继续加大招商引资力度，引进工厂化栽培企业、大型合作伙伴或加工企业。</w:t>
      </w:r>
    </w:p>
    <w:p>
      <w:pPr>
        <w:spacing w:line="580" w:lineRule="exact"/>
        <w:ind w:firstLine="643" w:firstLineChars="200"/>
        <w:rPr>
          <w:rFonts w:ascii="Times New Roman" w:hAnsi="Times New Roman" w:eastAsia="仿宋_GB2312"/>
          <w:bCs/>
          <w:sz w:val="32"/>
          <w:szCs w:val="32"/>
        </w:rPr>
      </w:pPr>
      <w:r>
        <w:rPr>
          <w:rFonts w:ascii="Times New Roman" w:hAnsi="Times New Roman" w:eastAsia="仿宋_GB2312"/>
          <w:b/>
          <w:bCs/>
          <w:sz w:val="32"/>
          <w:szCs w:val="32"/>
        </w:rPr>
        <w:t>开展康养、农旅、研教等一体化建设，</w:t>
      </w:r>
      <w:r>
        <w:rPr>
          <w:rFonts w:ascii="Times New Roman" w:hAnsi="Times New Roman" w:eastAsia="仿宋_GB2312"/>
          <w:bCs/>
          <w:sz w:val="32"/>
          <w:szCs w:val="32"/>
        </w:rPr>
        <w:t>完善蔬菜基础设施，配套蔬菜冷链物流设施设备，创建地方蔬菜特色品牌等。</w:t>
      </w:r>
    </w:p>
    <w:p>
      <w:pPr>
        <w:spacing w:line="580" w:lineRule="exact"/>
        <w:ind w:firstLine="643" w:firstLineChars="200"/>
        <w:rPr>
          <w:rFonts w:ascii="Times New Roman" w:hAnsi="Times New Roman" w:eastAsia="仿宋_GB2312"/>
          <w:bCs/>
          <w:sz w:val="32"/>
          <w:szCs w:val="32"/>
        </w:rPr>
      </w:pPr>
      <w:r>
        <w:rPr>
          <w:rFonts w:ascii="Times New Roman" w:hAnsi="Times New Roman" w:eastAsia="仿宋_GB2312"/>
          <w:b/>
          <w:bCs/>
          <w:sz w:val="32"/>
          <w:szCs w:val="32"/>
        </w:rPr>
        <w:t>打造专业的蔬菜批发市场，</w:t>
      </w:r>
      <w:r>
        <w:rPr>
          <w:rFonts w:ascii="Times New Roman" w:hAnsi="Times New Roman" w:eastAsia="仿宋_GB2312"/>
          <w:bCs/>
          <w:sz w:val="32"/>
          <w:szCs w:val="32"/>
        </w:rPr>
        <w:t>在澧县三科农商城交易中心、黄瓜大乡农贸批发市场分区建设瓜类、葱蒜类、茄果类、叶菜类等批发摊位。</w:t>
      </w:r>
    </w:p>
    <w:p>
      <w:pPr>
        <w:spacing w:line="580" w:lineRule="exact"/>
        <w:outlineLvl w:val="2"/>
        <w:rPr>
          <w:rFonts w:ascii="Times New Roman" w:hAnsi="Times New Roman" w:eastAsia="楷体"/>
          <w:b/>
          <w:sz w:val="32"/>
          <w:szCs w:val="32"/>
        </w:rPr>
      </w:pPr>
      <w:bookmarkStart w:id="96" w:name="_Toc87993544"/>
      <w:r>
        <w:rPr>
          <w:rFonts w:ascii="Times New Roman" w:hAnsi="Times New Roman" w:eastAsia="楷体"/>
          <w:b/>
          <w:sz w:val="32"/>
          <w:szCs w:val="32"/>
        </w:rPr>
        <w:t>4.2.7中药材产业</w:t>
      </w:r>
      <w:bookmarkEnd w:id="96"/>
    </w:p>
    <w:p>
      <w:pPr>
        <w:spacing w:line="580" w:lineRule="exact"/>
        <w:ind w:firstLine="643" w:firstLineChars="200"/>
        <w:rPr>
          <w:rFonts w:ascii="Times New Roman" w:hAnsi="Times New Roman" w:eastAsia="仿宋_GB2312"/>
          <w:kern w:val="0"/>
          <w:sz w:val="32"/>
        </w:rPr>
      </w:pPr>
      <w:r>
        <w:rPr>
          <w:rFonts w:ascii="Times New Roman" w:hAnsi="Times New Roman" w:eastAsia="仿宋_GB2312"/>
          <w:b/>
          <w:kern w:val="0"/>
          <w:sz w:val="32"/>
        </w:rPr>
        <w:t>布局：</w:t>
      </w:r>
      <w:r>
        <w:rPr>
          <w:rFonts w:ascii="Times New Roman" w:hAnsi="Times New Roman" w:eastAsia="仿宋_GB2312"/>
          <w:kern w:val="0"/>
          <w:sz w:val="32"/>
        </w:rPr>
        <w:t>中药材产业主要布局在甘溪滩镇、火连坡镇、码头铺镇、王家厂镇、大堰</w:t>
      </w:r>
      <w:r>
        <w:rPr>
          <w:rFonts w:ascii="Times New Roman" w:hAnsi="Times New Roman"/>
          <w:kern w:val="0"/>
          <w:sz w:val="32"/>
        </w:rPr>
        <w:t>垱</w:t>
      </w:r>
      <w:r>
        <w:rPr>
          <w:rFonts w:ascii="Times New Roman" w:hAnsi="Times New Roman" w:eastAsia="仿宋_GB2312"/>
          <w:kern w:val="0"/>
          <w:sz w:val="32"/>
        </w:rPr>
        <w:t>镇。</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目标：</w:t>
      </w:r>
      <w:r>
        <w:rPr>
          <w:rFonts w:ascii="Times New Roman" w:hAnsi="Times New Roman" w:eastAsia="仿宋_GB2312"/>
          <w:sz w:val="32"/>
          <w:szCs w:val="32"/>
        </w:rPr>
        <w:t>到2025年，稳定全县中药材面积在6万亩，力争年种植产值达6.5亿元、加工产值达4.8亿元。</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建设产业园区和基地，</w:t>
      </w:r>
      <w:r>
        <w:rPr>
          <w:rFonts w:ascii="Times New Roman" w:hAnsi="Times New Roman" w:eastAsia="仿宋_GB2312"/>
          <w:sz w:val="32"/>
          <w:szCs w:val="32"/>
        </w:rPr>
        <w:t>根据国家、省中药材产业发展规划和相关政策文件，立足“湖南省中药材种植基地示范县”，围绕跻身省中药材千亿产业的整体目标，建设集加工、仓储、科研、展销于一体的澧县健康产业园和具有文旅、康养功能的澧州中药植物园，依托种植基地示范县建设项目，优先发展适合本地种植的药食同源品种，延伸产业链条；建设标准化的中药材良种繁育基地，解决种苗质量参差不齐，良种率不高的问题；遴选并制定县域大宗品种的生产技术规程，开展种植、加工技术培训。</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壮大品牌，</w:t>
      </w:r>
      <w:r>
        <w:rPr>
          <w:rFonts w:ascii="Times New Roman" w:hAnsi="Times New Roman" w:eastAsia="仿宋_GB2312"/>
          <w:sz w:val="32"/>
          <w:szCs w:val="32"/>
        </w:rPr>
        <w:t>培育湘枳生物、冠元生物、海福中药材种植示范基地、大团中药材种植示范基地、岭兴药材基地，中药材饮片厂等种植、初加工、精深加工企业，配套完善产业链，形成拳头产品和品牌影响。</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强化产学研合作，</w:t>
      </w:r>
      <w:r>
        <w:rPr>
          <w:rFonts w:ascii="Times New Roman" w:hAnsi="Times New Roman" w:eastAsia="仿宋_GB2312"/>
          <w:sz w:val="32"/>
          <w:szCs w:val="32"/>
        </w:rPr>
        <w:t>通过产业协会引导，加强与“中国中药”“珠海丽珠”“北京康仁堂”“湖南金沙制药”等医药上市企业的深度合作及科研院所对接，实行产学研结合，组建澧县中药材产业发展专家服务团，进一步促进植物药材的种植、动物药材和矿物质药材的开发与利用。</w:t>
      </w:r>
    </w:p>
    <w:tbl>
      <w:tblPr>
        <w:tblStyle w:val="2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Borders>
              <w:bottom w:val="single" w:color="auto" w:sz="4" w:space="0"/>
            </w:tcBorders>
            <w:shd w:val="clear" w:color="auto" w:fill="009999"/>
          </w:tcPr>
          <w:p>
            <w:pPr>
              <w:snapToGrid w:val="0"/>
              <w:spacing w:line="380" w:lineRule="exact"/>
              <w:ind w:firstLine="560" w:firstLineChars="200"/>
              <w:jc w:val="center"/>
              <w:rPr>
                <w:rFonts w:ascii="Times New Roman" w:hAnsi="Times New Roman" w:eastAsia="楷体_GB2312"/>
                <w:bCs/>
                <w:color w:val="000000"/>
                <w:sz w:val="28"/>
                <w:szCs w:val="28"/>
              </w:rPr>
            </w:pPr>
            <w:r>
              <w:rPr>
                <w:rFonts w:ascii="Times New Roman" w:hAnsi="Times New Roman" w:eastAsia="楷体_GB2312"/>
                <w:bCs/>
                <w:color w:val="000000"/>
                <w:sz w:val="28"/>
                <w:szCs w:val="28"/>
              </w:rPr>
              <w:t>专栏2特色产业优化升级工程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trPr>
        <w:tc>
          <w:tcPr>
            <w:tcW w:w="8522" w:type="dxa"/>
            <w:shd w:val="clear" w:color="auto" w:fill="99CCFF"/>
          </w:tcPr>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1.在城头山、官垸、如东、小渡口等镇新扩优质葡萄生产基地4万亩，提质改造老葡萄园2.5万亩，建立1万亩阳光玫瑰葡萄高标准示范园，完善规模园区基础设施建设，配套冷链物流及分级包装设施设备。</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2.依托农康葡萄专业合作社，建设2000亩葡萄产业示范片、500亩葡萄智慧示范园、葡萄品种展示馆、葡萄科技培训大楼、葡萄研发中心、葡萄电商物流中心、葡萄主题广场。</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3.在复兴、盐井、如东、梦溪、金罗、大堰</w:t>
            </w:r>
            <w:r>
              <w:rPr>
                <w:rFonts w:hint="eastAsia" w:ascii="宋体" w:hAnsi="宋体" w:cs="宋体"/>
                <w:color w:val="000000"/>
                <w:kern w:val="0"/>
                <w:sz w:val="24"/>
              </w:rPr>
              <w:t>垱</w:t>
            </w:r>
            <w:r>
              <w:rPr>
                <w:rFonts w:hint="eastAsia" w:ascii="仿宋_GB2312" w:hAnsi="仿宋_GB2312" w:eastAsia="仿宋_GB2312" w:cs="仿宋_GB2312"/>
                <w:color w:val="000000"/>
                <w:kern w:val="0"/>
                <w:sz w:val="24"/>
              </w:rPr>
              <w:t>、王家厂、火连坡、码头铺等镇</w:t>
            </w:r>
            <w:r>
              <w:rPr>
                <w:rFonts w:ascii="Times New Roman" w:hAnsi="Times New Roman" w:eastAsia="仿宋_GB2312"/>
                <w:color w:val="000000"/>
                <w:kern w:val="0"/>
                <w:sz w:val="24"/>
              </w:rPr>
              <w:t>建设优质桔柚生产基地2万亩，提质改造低产桔柚园2.5万亩，完善新建园区土地平整等基础设施，配套园区节水灌溉设施，分区建设仓储分级包装车间，打造区域产品品牌。</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4.在复兴、盐井、金罗等镇建立桔柚打蜡分级包装生产线10条；建设1家年加工2万吨的桔柚食品加工生产企业。</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5.在如东、梦溪、小渡口、涔南、王家厂等镇开展湘莲生产3万亩，配套建设烘干加工包装设施设备。</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6.在火连坡、码头铺、王家厂、城头山、涔南、小渡口等镇建设3万亩绿色蔬菜种植区，蔬菜加工企业3家，发展龙头企业2家，蔬菜专业合作社30家，家庭农场10家；建设4个蔬菜高质高效核心示范园、8个蔬菜标准化生产基地（含食用菌）；培育2个大型蔬菜集约化育苗中心，年育苗量可达1000万株。开展康养、农旅、研教等一体化建设，完善基础设施，配套冷链物流设施设备，创建地方特色品牌。</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7.在小渡口、涔南、城头山、火连坡等镇建立5家蔬菜初加工生产企业，1家蔬菜精深加工企业。</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8.在甘溪滩、火连坡、王家厂、码头铺等镇建设集加工、仓储、科研、展销于一体的健康产业园和具有文旅、康养功能的中药植物园，建设标准化的中药材良种繁育基地。培育湘枳生物、冠元生物、惠农林业、中药材饮片厂等精深加工企业，配套完善产业链，形成拳头产品和品牌。实行产学研结合，组建澧专家服务团，推动植物药材种植、动物药材和矿物质药材的开发与利用。</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9.在现有4万亩茶叶种植规模基础上，推进老茶园改造，大力发展有机茶园，强化绿色认证。对现有的茶叶品牌进行整合，积极引导制茶企业、茶叶经营者和茶园业主提升绿茶，做精做好红茶，挤入常德茶叶区域品牌范畴，打响“双上绿芽”地方特色品牌。</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10.建设石菖蒲、葛根、菊花等中药材，桔柚等果木，油茶、花卉苗木等经济林种苗繁育基地。包括现代农业公园基础设施建设，智慧农业园育苗工厂、蔬果栽培、物联网，.农业展示园新品种新技术新设备试验示范等。</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11.建设城头山葡萄、复兴桔柚、王家厂中药材、官垸对虾、澧南休闲农业等五个产业强镇。</w:t>
            </w:r>
          </w:p>
        </w:tc>
      </w:tr>
    </w:tbl>
    <w:p>
      <w:pPr>
        <w:spacing w:line="580" w:lineRule="exact"/>
        <w:outlineLvl w:val="1"/>
        <w:rPr>
          <w:rFonts w:ascii="Times New Roman" w:hAnsi="Times New Roman" w:eastAsia="楷体"/>
          <w:b/>
          <w:sz w:val="32"/>
          <w:szCs w:val="32"/>
        </w:rPr>
      </w:pPr>
      <w:bookmarkStart w:id="97" w:name="_Toc87993545"/>
      <w:r>
        <w:rPr>
          <w:rFonts w:ascii="Times New Roman" w:hAnsi="Times New Roman" w:eastAsia="楷体"/>
          <w:b/>
          <w:sz w:val="32"/>
          <w:szCs w:val="32"/>
        </w:rPr>
        <w:t>4.3产业融合发展</w:t>
      </w:r>
      <w:bookmarkEnd w:id="97"/>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以新型农业经营主体为支撑，以“集群化、品牌化、组织化、信息化、共赢化”为目标，以完善利益联结机制和保障农民分享二三产业增值收益为核心，以农旅融合、功能拓展、城乡统筹等为依托，推动生产要素跨界配置和农产品生产、加工、销售、休闲农业、乡村旅游等相关服务业协调发展，延长产业链、提升价值链、拓宽增收链，推动澧县农业产业高质量发展。通过扩大特色产业规模，提高特色农产品产出质量，</w:t>
      </w:r>
      <w:r>
        <w:rPr>
          <w:rFonts w:ascii="Times New Roman" w:hAnsi="Times New Roman" w:eastAsia="仿宋_GB2312"/>
          <w:kern w:val="0"/>
          <w:sz w:val="32"/>
        </w:rPr>
        <w:t>重点打造优势特色产业生产基地，结合文旅产业的开发，打造特色农业、旅游产业、文化产业渗透融合体系，发展集特色农业产业、文化产业、休闲观光为主的农业观光体验园，促进一二三产业融合发展。</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依托澧县葡萄、茶叶、柑橘、花木等特色产业，积极发展生态休闲农业，让农田成为城市气候调节器和城市外围的生态屏障，让农村成为城市居民休闲度假的后花园。发挥华诚彭山、黄家套、大美家园、千里马幸福农庄等一批国、省星级农庄，涔槐生态园、康哲智慧园、农康葡萄园等休闲农业新型经营主体的带动作用，推行农业与休闲观光旅游一体发展，鼓励、扶持、壮大一批企业、合作社等，使农业与城市充分融合，提高城乡生活环境质量。突出抓好“澧县葡萄”、“复兴苹果柚”、“城头山大米”等区域公共品牌</w:t>
      </w:r>
      <w:r>
        <w:rPr>
          <w:rFonts w:ascii="Times New Roman" w:hAnsi="Times New Roman" w:eastAsia="仿宋_GB2312"/>
          <w:bCs/>
          <w:sz w:val="32"/>
          <w:szCs w:val="32"/>
        </w:rPr>
        <w:t>农产品以及特色优势农产品的</w:t>
      </w:r>
      <w:r>
        <w:rPr>
          <w:rFonts w:ascii="Times New Roman" w:hAnsi="Times New Roman" w:eastAsia="仿宋_GB2312"/>
          <w:sz w:val="32"/>
          <w:szCs w:val="32"/>
        </w:rPr>
        <w:t>技术</w:t>
      </w:r>
      <w:r>
        <w:rPr>
          <w:rFonts w:ascii="Times New Roman" w:hAnsi="Times New Roman" w:eastAsia="仿宋_GB2312"/>
          <w:bCs/>
          <w:sz w:val="32"/>
          <w:szCs w:val="32"/>
        </w:rPr>
        <w:t>标准</w:t>
      </w:r>
      <w:r>
        <w:rPr>
          <w:rFonts w:ascii="Times New Roman" w:hAnsi="Times New Roman" w:eastAsia="仿宋_GB2312"/>
          <w:sz w:val="32"/>
          <w:szCs w:val="32"/>
        </w:rPr>
        <w:t>制修订，每年新建1个以上标准化示范基地。“二品一标”产品占食用农产品生产总量或产地总面积的比率在40%以上。</w:t>
      </w:r>
    </w:p>
    <w:tbl>
      <w:tblPr>
        <w:tblStyle w:val="2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Borders>
              <w:bottom w:val="single" w:color="auto" w:sz="4" w:space="0"/>
            </w:tcBorders>
            <w:shd w:val="clear" w:color="auto" w:fill="009999"/>
          </w:tcPr>
          <w:p>
            <w:pPr>
              <w:snapToGrid w:val="0"/>
              <w:spacing w:line="380" w:lineRule="exact"/>
              <w:ind w:firstLine="560" w:firstLineChars="200"/>
              <w:jc w:val="center"/>
              <w:rPr>
                <w:rFonts w:ascii="Times New Roman" w:hAnsi="Times New Roman" w:eastAsia="楷体_GB2312"/>
                <w:bCs/>
                <w:color w:val="000000"/>
                <w:sz w:val="28"/>
                <w:szCs w:val="28"/>
              </w:rPr>
            </w:pPr>
            <w:r>
              <w:rPr>
                <w:rFonts w:ascii="Times New Roman" w:hAnsi="Times New Roman" w:eastAsia="楷体_GB2312"/>
                <w:bCs/>
                <w:color w:val="000000"/>
                <w:sz w:val="28"/>
                <w:szCs w:val="28"/>
              </w:rPr>
              <w:t>专栏3产业融合立体发展工程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6" w:hRule="atLeast"/>
        </w:trPr>
        <w:tc>
          <w:tcPr>
            <w:tcW w:w="8522" w:type="dxa"/>
            <w:shd w:val="clear" w:color="auto" w:fill="99CCFF"/>
          </w:tcPr>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1.在城头山、大堰</w:t>
            </w:r>
            <w:r>
              <w:rPr>
                <w:rFonts w:hint="eastAsia" w:ascii="宋体" w:hAnsi="宋体" w:cs="宋体"/>
                <w:color w:val="000000"/>
                <w:kern w:val="0"/>
                <w:sz w:val="24"/>
              </w:rPr>
              <w:t>垱</w:t>
            </w:r>
            <w:r>
              <w:rPr>
                <w:rFonts w:hint="eastAsia" w:ascii="仿宋_GB2312" w:hAnsi="仿宋_GB2312" w:eastAsia="仿宋_GB2312" w:cs="仿宋_GB2312"/>
                <w:color w:val="000000"/>
                <w:kern w:val="0"/>
                <w:sz w:val="24"/>
              </w:rPr>
              <w:t>、复兴、小渡口等镇建设澧县优质</w:t>
            </w:r>
            <w:r>
              <w:rPr>
                <w:rFonts w:ascii="Times New Roman" w:hAnsi="Times New Roman" w:eastAsia="仿宋_GB2312"/>
                <w:color w:val="000000"/>
                <w:kern w:val="0"/>
                <w:sz w:val="24"/>
              </w:rPr>
              <w:t>“菜油”示范基地。建设一个“核心区”和两个“示范区”，包括培育区域公用品牌和企业产品品牌、提升产品供给质量、夯实产业基础支撑、促进融合发展。</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2.整合太青山茶叶资源，发掘太青山自然景观及文化底蕴，完善基础设施，在甘溪滩镇打造茶旅融合旅游区。</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3.依托3万亩花卉、果树、葡萄、湘莲、柑橘，马公湖、杨家湖万亩水面，渔光互补，九龙山自然风光，枫林寺等古迹，在如东镇打造集休闲、宗教、水上乐园一体的枫林大观园。</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4.在澧南镇建设澧水右岸田园综合体。主要内容：建设澧水右岸风光带。包括沿9公里紫桥公路两旁十里花海，10.5公里澧水大堤风光带，澧水刘家洲、皮家洲，揭家洲洲滩湿地公园；完善彭钦艳风景区。包括华诚4A级风景区提质升级，钦山寺禅宗文化基地建设，钦山生态公园建设，艳州风景区开发等；建设虾稻田观光园。整合巨隆公司现有资源，开发千亩荷花基地、垂钓基地、蔬菜采摘基地，打造澧水流域最大的观光农业园。</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5.依托湖南锦绣千村农业专业合作社，建设“国家现代农业产业园、农民生产服务中心、农民生活服务中心”，国家现代农业产业园包括水稻智能化育秧工厂、农资配送中心、水稻新品种新技术新装备展示园、水稻生态种养示范园、农业观光体验园。</w:t>
            </w:r>
          </w:p>
        </w:tc>
      </w:tr>
    </w:tbl>
    <w:p>
      <w:pPr>
        <w:spacing w:line="580" w:lineRule="exact"/>
        <w:outlineLvl w:val="1"/>
        <w:rPr>
          <w:rFonts w:ascii="Times New Roman" w:hAnsi="Times New Roman" w:eastAsia="楷体"/>
          <w:b/>
          <w:sz w:val="32"/>
          <w:szCs w:val="32"/>
        </w:rPr>
      </w:pPr>
      <w:bookmarkStart w:id="98" w:name="_Toc87993546"/>
      <w:r>
        <w:rPr>
          <w:rFonts w:ascii="Times New Roman" w:hAnsi="Times New Roman" w:eastAsia="楷体"/>
          <w:b/>
          <w:sz w:val="32"/>
          <w:szCs w:val="32"/>
        </w:rPr>
        <w:t>4.4强化科技支撑</w:t>
      </w:r>
      <w:bookmarkEnd w:id="98"/>
    </w:p>
    <w:p>
      <w:pPr>
        <w:spacing w:line="580" w:lineRule="exact"/>
        <w:outlineLvl w:val="2"/>
        <w:rPr>
          <w:rFonts w:ascii="Times New Roman" w:hAnsi="Times New Roman" w:eastAsia="仿宋_GB2312"/>
          <w:b/>
          <w:sz w:val="32"/>
          <w:szCs w:val="32"/>
        </w:rPr>
      </w:pPr>
      <w:bookmarkStart w:id="99" w:name="_Toc87993547"/>
      <w:r>
        <w:rPr>
          <w:rFonts w:ascii="Times New Roman" w:hAnsi="Times New Roman" w:eastAsia="仿宋_GB2312"/>
          <w:b/>
          <w:sz w:val="32"/>
          <w:szCs w:val="32"/>
        </w:rPr>
        <w:t>4.4.1提升农业科技创新</w:t>
      </w:r>
      <w:bookmarkEnd w:id="99"/>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建立健全农业科技协同创新体系，与涉农高校、科研院所深度合作，建立产学研相融合的重点实验室、研发中心和工程中心等创新平台。支持澧县农业科学研究所、澧县食用菌研究所、澧县棉花原种繁殖场、澧县嘉山良种繁殖场等创建县级特色农业产业科技创新平台。扶持涉农企业、园区开展技术创新和应用，培育学科带头人和骨干科技人才。着重研发农业可持续发展、循环农业、品种选育、设施栽培、精深加工和冷链物流等核心技术和模式，努力在水稻、葡萄品种选育、设施蔬菜栽培、苹果柚标准化基地建设、茶叶有机栽培、柑桔高接换种和产品精深加工、虾蟹品种选育、生猪良繁等重大技术领域取得新突破。到2025年，力争农业高新技术企业达到5 家，主要农作物、畜禽良种覆盖率达到96%以上，水产良种覆盖率提高到80%以上。</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认真做好农产品优质品种选育和推广，全面推进良种重大科研联合攻关，提高良种覆盖率，加快农业科技创新步伐，完善农业政产学研推协作平台，支持科研院所、农业企业围绕特色产业开展科技创新研发，突破设施蔬菜、综合种养、循环农业等关键技术，加快农业科技成果转化与应用。完善专家、农业技术推广人员和新型经营主体的联动机制，探索建立“创新团队+基层农技推广体系+高素质农民培育”的农业科技服务模式，扎实推进农业科技园区体系建设，提升综合创新能力和服务水平。抓好基层农技推广体系能力建设，开展乡镇农技站星级服务创建。到2025年，力争农业高新技术企业达到5家，省级及以上农业科技创新平台达到5家。</w:t>
      </w:r>
    </w:p>
    <w:p>
      <w:pPr>
        <w:spacing w:line="580" w:lineRule="exact"/>
        <w:outlineLvl w:val="2"/>
        <w:rPr>
          <w:rFonts w:ascii="Times New Roman" w:hAnsi="Times New Roman" w:eastAsia="仿宋_GB2312"/>
          <w:b/>
          <w:sz w:val="32"/>
          <w:szCs w:val="32"/>
        </w:rPr>
      </w:pPr>
      <w:bookmarkStart w:id="100" w:name="_Toc87993548"/>
      <w:r>
        <w:rPr>
          <w:rFonts w:ascii="Times New Roman" w:hAnsi="Times New Roman" w:eastAsia="仿宋_GB2312"/>
          <w:b/>
          <w:sz w:val="32"/>
          <w:szCs w:val="32"/>
        </w:rPr>
        <w:t>4.4.2发展设施农业</w:t>
      </w:r>
      <w:bookmarkEnd w:id="100"/>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推进设施农业工程建设，采用人工、机械等技术手段，改变自然条件，创造优化农业生长的环境，提高农业的土地产出率、劳动生产率和资源利用率。建设以大棚为主的设施园艺，有条件的地区，建立现代化大型温室，具备人工控制温湿度、光照、通风和喷灌等功能，提高立体种植水平。加快发展连栋大棚、钢架大棚、食用菌工厂、避雨栽培设施、无土栽培设施、防虫网栽培设施、喷滴灌系统、工厂化种养殖等高标准设施农业，全面提高现代农业水平。建设以育苗为主的设施养殖，提高水产育苗、池塘养殖的设施化水平，推广增氧、实时灭菌、促生长等技术装备，在果园、蔬菜园实施“水肥一体化”提高肥料利用率和抗旱能力。</w:t>
      </w:r>
    </w:p>
    <w:p>
      <w:pPr>
        <w:spacing w:line="580" w:lineRule="exact"/>
        <w:outlineLvl w:val="2"/>
        <w:rPr>
          <w:rFonts w:ascii="Times New Roman" w:hAnsi="Times New Roman" w:eastAsia="仿宋_GB2312"/>
          <w:b/>
          <w:sz w:val="32"/>
          <w:szCs w:val="32"/>
        </w:rPr>
      </w:pPr>
      <w:bookmarkStart w:id="101" w:name="_Toc87993549"/>
      <w:r>
        <w:rPr>
          <w:rFonts w:ascii="Times New Roman" w:hAnsi="Times New Roman" w:eastAsia="仿宋_GB2312"/>
          <w:b/>
          <w:sz w:val="32"/>
          <w:szCs w:val="32"/>
        </w:rPr>
        <w:t>4.4.3推进智慧农业建设</w:t>
      </w:r>
      <w:bookmarkEnd w:id="101"/>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引进龙头企业，打造澧县智慧农业示范基地。</w:t>
      </w:r>
      <w:r>
        <w:rPr>
          <w:rFonts w:ascii="Times New Roman" w:hAnsi="Times New Roman" w:eastAsia="仿宋_GB2312"/>
          <w:b/>
          <w:sz w:val="32"/>
          <w:szCs w:val="32"/>
        </w:rPr>
        <w:t>传统农业种植方面，</w:t>
      </w:r>
      <w:r>
        <w:rPr>
          <w:rFonts w:ascii="Times New Roman" w:hAnsi="Times New Roman" w:eastAsia="仿宋_GB2312"/>
          <w:sz w:val="32"/>
          <w:szCs w:val="32"/>
        </w:rPr>
        <w:t>通过“3S”技术及时获取农业生产环境的相关信息，如空气湿度、土壤养分、水分等，并根据所收集和感知的诸多信息，进行播种和自动灌溉。</w:t>
      </w:r>
      <w:r>
        <w:rPr>
          <w:rFonts w:ascii="Times New Roman" w:hAnsi="Times New Roman" w:eastAsia="仿宋_GB2312"/>
          <w:b/>
          <w:sz w:val="32"/>
          <w:szCs w:val="32"/>
        </w:rPr>
        <w:t>生禽养殖方面</w:t>
      </w:r>
      <w:r>
        <w:rPr>
          <w:rFonts w:ascii="Times New Roman" w:hAnsi="Times New Roman" w:eastAsia="仿宋_GB2312"/>
          <w:sz w:val="32"/>
          <w:szCs w:val="32"/>
        </w:rPr>
        <w:t>，通过生禽养殖的信息数据搜集与分析，将养殖场、屠宰场、牲畜加工厂以及物流企业全套产业链纳入到实施管理系统中，实现对牲畜的健康养殖、安全屠宰以及放心流通3个环节的改造与提升。</w:t>
      </w:r>
      <w:r>
        <w:rPr>
          <w:rFonts w:ascii="Times New Roman" w:hAnsi="Times New Roman" w:eastAsia="仿宋_GB2312"/>
          <w:b/>
          <w:sz w:val="32"/>
          <w:szCs w:val="32"/>
        </w:rPr>
        <w:t>水产养殖方面。</w:t>
      </w:r>
      <w:r>
        <w:rPr>
          <w:rFonts w:ascii="Times New Roman" w:hAnsi="Times New Roman" w:eastAsia="仿宋_GB2312"/>
          <w:sz w:val="32"/>
          <w:szCs w:val="32"/>
        </w:rPr>
        <w:t>充分利用互联网技术与移动终端技术基础上，通过建立云计算养殖信息平台，对水质信息进行融合处理、智能控制、质量安全追溯等技术处理，积极有效地控制水产养殖的安全，实现水产养殖的生态化、智能化。</w:t>
      </w:r>
      <w:r>
        <w:rPr>
          <w:rFonts w:ascii="Times New Roman" w:hAnsi="Times New Roman" w:eastAsia="仿宋_GB2312"/>
          <w:b/>
          <w:sz w:val="32"/>
          <w:szCs w:val="32"/>
        </w:rPr>
        <w:t>农业信息服务方面，</w:t>
      </w:r>
      <w:r>
        <w:rPr>
          <w:rFonts w:ascii="Times New Roman" w:hAnsi="Times New Roman" w:eastAsia="仿宋_GB2312"/>
          <w:sz w:val="32"/>
          <w:szCs w:val="32"/>
        </w:rPr>
        <w:t>利用农村电子商务平台为消费者提供包括信息、交易、运输等全过程电子商务服务，形成一条“从田中到餐桌”的完整农业生产销售链条，提升农业产业化、专业化、规模化。</w:t>
      </w:r>
    </w:p>
    <w:p>
      <w:pPr>
        <w:spacing w:line="580" w:lineRule="exact"/>
        <w:outlineLvl w:val="2"/>
        <w:rPr>
          <w:rFonts w:ascii="Times New Roman" w:hAnsi="Times New Roman" w:eastAsia="仿宋_GB2312"/>
          <w:b/>
          <w:sz w:val="32"/>
          <w:szCs w:val="32"/>
        </w:rPr>
      </w:pPr>
      <w:bookmarkStart w:id="102" w:name="_Toc87993550"/>
      <w:r>
        <w:rPr>
          <w:rFonts w:ascii="Times New Roman" w:hAnsi="Times New Roman" w:eastAsia="仿宋_GB2312"/>
          <w:b/>
          <w:sz w:val="32"/>
          <w:szCs w:val="32"/>
        </w:rPr>
        <w:t>4.4.4提升农业机械化水平</w:t>
      </w:r>
      <w:bookmarkEnd w:id="102"/>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依托澧县“平安农机”示范县的优势，积极落实国家购机补贴政策，推广农机装备，持续推进全县农业机械化进程，提高全县主要农作物综合机械化水平，稳固和提升水稻耕种收综合机械化水平。将农机从业人员培训与高素质农民培训、农村劳动力转移职业技能等项目培训结合，设立专项资金用于对农机手、农机合作社成员开展免费培训，每年培训农机技术人员1000人次。</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创新用人机制，配备专业人才，推行竞争上岗，执证上岗，推行绩效挂钩，并实行全方位的社会监督。建立稳定高效的农机社会化推广服务体系，加强基础设施建设的投入，保障推广经费。探索多种形式相结合的农机推广应用模式，如农机农艺相结合，农机与农业示范项目，示范园区、示范基地相结合等；组织、指导地方农机协会、农机合作社、农机中介组织、农机推广网点等新型农机服务组织的建设和发展，全面推进澧县的农机社会化推广服务体系的建设，提高农村农业生产规模化、组织化程度和机械化水平。</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加快发展先进实用农机具，重点发展粮油生产机械、环境节约型机械、高效设施农业机械，着力提高农业生产各个环节的机械化程度。加快提高水稻种植机械化水平，逐步引进和推广土壤耕作机械、施肥机械、植保机械、园艺作物种收机械、畜牧业机械、农产品加工机械以及农业运输机械等。加大智能农业机械的引进推广力度，不断提高农业机械化作业水平。进一步扶持培育各类农机服务组织，加快推进农机服务产业化进程，培育“经营规模大、农机装备全、服务面积广”的农机专业合作组织，“十四五”期未，全县粮油机械化水平达到80.5%。</w:t>
      </w:r>
    </w:p>
    <w:p>
      <w:pPr>
        <w:spacing w:line="580" w:lineRule="exact"/>
        <w:outlineLvl w:val="2"/>
        <w:rPr>
          <w:rFonts w:ascii="Times New Roman" w:hAnsi="Times New Roman" w:eastAsia="仿宋_GB2312"/>
          <w:b/>
          <w:sz w:val="32"/>
          <w:szCs w:val="32"/>
        </w:rPr>
      </w:pPr>
      <w:bookmarkStart w:id="103" w:name="_Toc87993551"/>
      <w:r>
        <w:rPr>
          <w:rFonts w:ascii="Times New Roman" w:hAnsi="Times New Roman" w:eastAsia="仿宋_GB2312"/>
          <w:b/>
          <w:sz w:val="32"/>
          <w:szCs w:val="32"/>
        </w:rPr>
        <w:t>4.4.5大力发展农业社会化服务</w:t>
      </w:r>
      <w:bookmarkEnd w:id="103"/>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提高农业社会化服务水平，建立政府购买农业公益性服务机制，以统防统治、农机作业、粮食烘干、集中育秧、统一供种、动物防疫、畜禽粪便及废弃物处理等普惠性服务为重点，围绕购买服务内容、承接服务主体资质、购买服务程序、服务绩效评价和监督管理机制等，引入市场机制，提升农业社会化服务的整体水平和效率。</w:t>
      </w:r>
    </w:p>
    <w:tbl>
      <w:tblPr>
        <w:tblStyle w:val="2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Borders>
              <w:bottom w:val="single" w:color="auto" w:sz="4" w:space="0"/>
            </w:tcBorders>
            <w:shd w:val="clear" w:color="auto" w:fill="009999"/>
          </w:tcPr>
          <w:p>
            <w:pPr>
              <w:snapToGrid w:val="0"/>
              <w:spacing w:line="380" w:lineRule="exact"/>
              <w:ind w:firstLine="560" w:firstLineChars="200"/>
              <w:jc w:val="center"/>
              <w:rPr>
                <w:rFonts w:ascii="Times New Roman" w:hAnsi="Times New Roman" w:eastAsia="楷体_GB2312"/>
                <w:bCs/>
                <w:color w:val="000000"/>
                <w:sz w:val="28"/>
                <w:szCs w:val="28"/>
              </w:rPr>
            </w:pPr>
            <w:r>
              <w:rPr>
                <w:rFonts w:ascii="Times New Roman" w:hAnsi="Times New Roman" w:eastAsia="楷体_GB2312"/>
                <w:bCs/>
                <w:color w:val="000000"/>
                <w:sz w:val="28"/>
                <w:szCs w:val="28"/>
              </w:rPr>
              <w:t>专栏4科技创新支撑工程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0" w:hRule="atLeast"/>
        </w:trPr>
        <w:tc>
          <w:tcPr>
            <w:tcW w:w="8522" w:type="dxa"/>
            <w:shd w:val="clear" w:color="auto" w:fill="99CCFF"/>
          </w:tcPr>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1.以湖南城头山红薯食品科技有限公司为主体（红薯粉丝生产）,利用红薯玉米秸秆开展畜禽养殖，薯渣、淀粉渣、畜禽粪便、秸秆混合生产有机肥，开展粉丝和养殖饲料加工，构建种养加为一体的循环经济圈。</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2.以常德正新农业发展有限公司为主体（鲟鱼+蔬菜），利用鲟鱼养殖废水种植蔬菜，尾菜养猪，猪粪秸秆生产加工有机肥，有机肥种植蔬菜，蔬菜配送港澳市场，其他产品进行宅配服务，构建三产融合的循环农业体系。</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3.以湖南冠元生物科技有限公司为主体（植物提取，药物中间体）利用柑橘落果、紫雌菊、红车轴草等为原料经过物理化学提取分离，定向获取和浓集植物的某一种或多种有效成分生产医药原粉，废弃物与养殖废物、秸秆生产有机肥，有机肥用于葡萄、蔬菜生产，形成农产品深度加工和废物利用有机结合的循环农业经济体。</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4.以湖南硕丰科技有限公司为主体（养殖+种植），利用玉米、红薯、稻谷养猪，养殖场沼液灌溉林地，沼渣与秸秆生产有机肥，种植业使用有机肥，柑橘使用秸秆进行果园覆盖栽培，有机肥生产玉米、稻谷等农产品，形成种养结合污染零排放产业园区。</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5.以澧县万古台生态农业科技发展有限公司（养殖+种植）为龙头，利用养殖场沼液和林下养殖粪便作为茶园肥料，生产有机肥。稻谷、玉米、红薯等作为养殖饲料，形成三产融合一体的循环农业模式。</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6.新建澧县农业科技示范园。包括智慧农业园、农业展示园、观光休闲园、农企孵化。</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7.开展动物疫病预防体系建设项目，扩建和改建县级兽医实验室；在东常高速城头山服务区（省际边界由北往南）建设动物卫生监督检查；扩建和改建19家镇街动物防疫站办公场所。</w:t>
            </w:r>
          </w:p>
          <w:p>
            <w:pPr>
              <w:snapToGrid w:val="0"/>
              <w:spacing w:line="380" w:lineRule="exact"/>
              <w:ind w:firstLine="480" w:firstLineChars="200"/>
              <w:rPr>
                <w:rFonts w:ascii="Times New Roman" w:hAnsi="Times New Roman" w:eastAsia="仿宋_GB2312"/>
                <w:color w:val="000000"/>
                <w:kern w:val="0"/>
                <w:sz w:val="24"/>
              </w:rPr>
            </w:pPr>
            <w:r>
              <w:rPr>
                <w:rFonts w:ascii="Times New Roman" w:hAnsi="Times New Roman" w:eastAsia="仿宋_GB2312"/>
                <w:color w:val="000000"/>
                <w:kern w:val="0"/>
                <w:sz w:val="24"/>
              </w:rPr>
              <w:t>8.加大农业珍稀濒危植物调查和抢救性保护力度，科学有序推进驯化繁育与可持续利用。新建官垸、如东野莲、野菱原生境保护工程；新建甘溪滩镇金荞麦、中华猕猴桃、野生大豆等原生境保护工程；沿太青山脉建设野生植物保护区；建立野生植物资源库；建设县野生植物驯化繁育研发中心。</w:t>
            </w:r>
          </w:p>
        </w:tc>
      </w:tr>
    </w:tbl>
    <w:p>
      <w:pPr>
        <w:spacing w:line="580" w:lineRule="exact"/>
        <w:outlineLvl w:val="1"/>
        <w:rPr>
          <w:rFonts w:ascii="Times New Roman" w:hAnsi="Times New Roman" w:eastAsia="楷体"/>
          <w:b/>
          <w:sz w:val="32"/>
          <w:szCs w:val="32"/>
        </w:rPr>
      </w:pPr>
      <w:bookmarkStart w:id="104" w:name="_Toc87993552"/>
      <w:r>
        <w:rPr>
          <w:rFonts w:ascii="Times New Roman" w:hAnsi="Times New Roman" w:eastAsia="楷体"/>
          <w:b/>
          <w:sz w:val="32"/>
          <w:szCs w:val="32"/>
        </w:rPr>
        <w:t>4.5加强基础设施建设</w:t>
      </w:r>
      <w:bookmarkEnd w:id="104"/>
    </w:p>
    <w:p>
      <w:pPr>
        <w:spacing w:line="580" w:lineRule="exact"/>
        <w:outlineLvl w:val="2"/>
        <w:rPr>
          <w:rFonts w:ascii="Times New Roman" w:hAnsi="Times New Roman" w:eastAsia="仿宋_GB2312"/>
          <w:b/>
          <w:sz w:val="32"/>
          <w:szCs w:val="32"/>
        </w:rPr>
      </w:pPr>
      <w:bookmarkStart w:id="105" w:name="_Toc87993553"/>
      <w:r>
        <w:rPr>
          <w:rFonts w:ascii="Times New Roman" w:hAnsi="Times New Roman" w:eastAsia="仿宋_GB2312"/>
          <w:b/>
          <w:sz w:val="32"/>
          <w:szCs w:val="32"/>
        </w:rPr>
        <w:t>4.5.1推进现代农业基础设施建设</w:t>
      </w:r>
      <w:bookmarkEnd w:id="105"/>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着力加强以排灌渠系、小型集雨蓄水和提灌设施为重点的农业水利设施建设；以田间耕作道路、干道连接基地路为重点的交通路网建设；加快建设以滴灌喷灌、棚架、塑料大棚、遮阳网覆盖等为重点的基地设施，建立青（微）贮及秸秆加工厂，完善规模养殖场粪污处理设施。推进全县高标准农田建设，继续实施灌区配套设施建设，新建改造一批中小排泵站，实施澧阳平原灌区、</w:t>
      </w:r>
      <w:r>
        <w:rPr>
          <w:rFonts w:ascii="Times New Roman" w:hAnsi="Times New Roman" w:eastAsia="仿宋"/>
          <w:sz w:val="32"/>
          <w:szCs w:val="32"/>
        </w:rPr>
        <w:t>洈</w:t>
      </w:r>
      <w:r>
        <w:rPr>
          <w:rFonts w:ascii="Times New Roman" w:hAnsi="Times New Roman" w:eastAsia="仿宋_GB2312"/>
          <w:sz w:val="32"/>
          <w:szCs w:val="32"/>
        </w:rPr>
        <w:t>水灌区续建配套与节水改造工程，山门太青水库灌区、赵家峪灌区、盐井灌区续建配套工程，加强小型农田水利、“五小”水利工程建设，启动小型水库新建工程。加强机耕道规划，注意节约资金和用地，保护耕地和生态环境，理清机耕道养护管理权限，提高管护效果。</w:t>
      </w:r>
    </w:p>
    <w:p>
      <w:pPr>
        <w:spacing w:line="580" w:lineRule="exact"/>
        <w:outlineLvl w:val="2"/>
        <w:rPr>
          <w:rFonts w:ascii="Times New Roman" w:hAnsi="Times New Roman" w:eastAsia="仿宋_GB2312"/>
          <w:b/>
          <w:sz w:val="32"/>
          <w:szCs w:val="32"/>
        </w:rPr>
      </w:pPr>
      <w:bookmarkStart w:id="106" w:name="_Toc87993554"/>
      <w:r>
        <w:rPr>
          <w:rFonts w:ascii="Times New Roman" w:hAnsi="Times New Roman" w:eastAsia="仿宋_GB2312"/>
          <w:b/>
          <w:sz w:val="32"/>
          <w:szCs w:val="32"/>
        </w:rPr>
        <w:t>4.5.2加强农业防灾减灾能力建设</w:t>
      </w:r>
      <w:bookmarkEnd w:id="106"/>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围绕动物疾病、植物病虫害和农业气象、地质灾害，加强农业信息化基础设施建设，加快完善监测预警、应变防灾、灾后恢复等防灾减灾体系，重点建设县动物检测实验室、畜禽运载洗消中心和消毒站点、病死畜禽无害化收集处理场、畜禽隔离观察场等设施场所。</w:t>
      </w:r>
    </w:p>
    <w:p>
      <w:pPr>
        <w:spacing w:line="580" w:lineRule="exact"/>
        <w:ind w:firstLine="643" w:firstLineChars="200"/>
        <w:rPr>
          <w:rFonts w:hint="eastAsia" w:ascii="Times New Roman" w:hAnsi="Times New Roman" w:eastAsia="仿宋_GB2312"/>
          <w:b/>
          <w:sz w:val="32"/>
          <w:szCs w:val="32"/>
        </w:rPr>
      </w:pPr>
      <w:bookmarkStart w:id="107" w:name="_Toc87993555"/>
    </w:p>
    <w:p>
      <w:pPr>
        <w:spacing w:line="580" w:lineRule="exact"/>
        <w:outlineLvl w:val="2"/>
        <w:rPr>
          <w:rFonts w:ascii="Times New Roman" w:hAnsi="Times New Roman" w:eastAsia="仿宋_GB2312"/>
          <w:b/>
          <w:sz w:val="32"/>
          <w:szCs w:val="32"/>
        </w:rPr>
      </w:pPr>
      <w:r>
        <w:rPr>
          <w:rFonts w:ascii="Times New Roman" w:hAnsi="Times New Roman" w:eastAsia="仿宋_GB2312"/>
          <w:b/>
          <w:sz w:val="32"/>
          <w:szCs w:val="32"/>
        </w:rPr>
        <w:t>4.5.3加强农业园区建设</w:t>
      </w:r>
      <w:bookmarkEnd w:id="107"/>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提升园区核心功能。</w:t>
      </w:r>
      <w:r>
        <w:rPr>
          <w:rFonts w:ascii="Times New Roman" w:hAnsi="Times New Roman" w:eastAsia="仿宋_GB2312"/>
          <w:sz w:val="32"/>
          <w:szCs w:val="32"/>
        </w:rPr>
        <w:t>加强园区基础设施建设，通过加强招商引资，推进园区项目开发建设。结合“澧县现代农业大观园”战略构想，进一步抓好农业园区核心功能打造，积极发展农业园区旅游和深度加工产业，促进一二三产业深度融合，力争在“十四五”期间，打造一批标准较高、功能较强、效益明显的现代农业园区，积极吸引各类市场主体直接参与园区建设，发展规模化种养、标准化加工。明确产业园区类型，建立绿色农业实验观测站和产业项目信息库，进行定向式招商；围绕产业招商构建全方位的服务能力，细化产业项目招商的流程和规范，使整个招商工作更具系统性和有序性。大力招引科研院所、科学家工作室、博士后工作站等落户园区，从招商引资扩展到招商引“智”，为新兴产业培育和园区产业升级提供动力，将现代农业园区建成城乡居民的“绿色食品基地”、龙头企业的“原料车间”、现代都市的“休闲空间”。</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明确农业园区的功能定位</w:t>
      </w:r>
      <w:r>
        <w:rPr>
          <w:rFonts w:ascii="Times New Roman" w:hAnsi="Times New Roman" w:eastAsia="仿宋_GB2312"/>
          <w:sz w:val="32"/>
          <w:szCs w:val="32"/>
        </w:rPr>
        <w:t>，对于建设时间较长，基础条件较好的园区，着重研发高新农业技术、转化推动科研成果，吸引孵化培育具有较强技术创新能力的涉农企业；对于基础条件较差、技术创新能力有限的园区，着重承担新品种、新技术、新设施的引进和示范，组织和吸纳农户参与土地规模化经营。</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发展“多元化”园区类型。</w:t>
      </w:r>
      <w:r>
        <w:rPr>
          <w:rFonts w:ascii="Times New Roman" w:hAnsi="Times New Roman" w:eastAsia="仿宋_GB2312"/>
          <w:sz w:val="32"/>
          <w:szCs w:val="32"/>
        </w:rPr>
        <w:t>大力发展农业科技园区、农业旅游园区、农业产业化园区、城市型生态农业园、农产品物流园区等不同类型的园区，各具特色，错位发展。创新园区发展理念和模式，依托理念创新，结合乡村全面振兴绿色发展要求，赋予农业与乡村振兴时代特色相结合的发展主题。对接津澧融城战略，到2025年完成农产品加工园1个，现代农业产业园2个，推进农业可持续发展试验示范区及田园综合体建设。</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突出园区“两高两新”能力。科技含量高。</w:t>
      </w:r>
      <w:r>
        <w:rPr>
          <w:rFonts w:ascii="Times New Roman" w:hAnsi="Times New Roman" w:eastAsia="仿宋_GB2312"/>
          <w:sz w:val="32"/>
          <w:szCs w:val="32"/>
        </w:rPr>
        <w:t>瞄准国内外最新科技成果，加强引进、消化、创造。突出技术的集成与配套，以生物技术为重点，新型适用技术集成与运用，促进农业高新技术转化为现实生产力，推动农业科技总体水平的提高。</w:t>
      </w:r>
      <w:r>
        <w:rPr>
          <w:rFonts w:ascii="Times New Roman" w:hAnsi="Times New Roman" w:eastAsia="仿宋_GB2312"/>
          <w:b/>
          <w:sz w:val="32"/>
          <w:szCs w:val="32"/>
        </w:rPr>
        <w:t>综合效益高。</w:t>
      </w:r>
      <w:r>
        <w:rPr>
          <w:rFonts w:ascii="Times New Roman" w:hAnsi="Times New Roman" w:eastAsia="仿宋_GB2312"/>
          <w:sz w:val="32"/>
          <w:szCs w:val="32"/>
        </w:rPr>
        <w:t>在实现社会效益、生态效益的基础上，突出经济效益，充分发挥园区的资源优势和区位优势，采用新品种、新设施、新技术，获得高效益。</w:t>
      </w:r>
      <w:r>
        <w:rPr>
          <w:rFonts w:ascii="Times New Roman" w:hAnsi="Times New Roman" w:eastAsia="仿宋_GB2312"/>
          <w:b/>
          <w:sz w:val="32"/>
          <w:szCs w:val="32"/>
        </w:rPr>
        <w:t>经营模式新。</w:t>
      </w:r>
      <w:r>
        <w:rPr>
          <w:rFonts w:ascii="Times New Roman" w:hAnsi="Times New Roman" w:eastAsia="仿宋_GB2312"/>
          <w:sz w:val="32"/>
          <w:szCs w:val="32"/>
        </w:rPr>
        <w:t>以“利益共享、风险共担”为原则，采用“经营收入+工资”模式、“土地流转收入+工资”模式、“公司+农户”模式、“土地流转收入+利润提成”模式等构建利益共同体；园区企业以产品、技术和服务为纽带，利用自身优势、有选择地介入农业生产、加工、流通和销售环节，有效促进农产品增值，积极推进农业产业化经营，促进农民增收。</w:t>
      </w:r>
      <w:r>
        <w:rPr>
          <w:rFonts w:ascii="Times New Roman" w:hAnsi="Times New Roman" w:eastAsia="仿宋_GB2312"/>
          <w:b/>
          <w:sz w:val="32"/>
          <w:szCs w:val="32"/>
        </w:rPr>
        <w:t>管理机制新。</w:t>
      </w:r>
      <w:r>
        <w:rPr>
          <w:rFonts w:ascii="Times New Roman" w:hAnsi="Times New Roman" w:eastAsia="仿宋_GB2312"/>
          <w:sz w:val="32"/>
          <w:szCs w:val="32"/>
        </w:rPr>
        <w:t>改变以往传统经济的运行和管理模式，建立企业化经营管理运行制度，推进“产权清晰、责权明确、政企分开，管理科学”的现代企业制度。</w:t>
      </w:r>
    </w:p>
    <w:p>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构建企业主导的多元技术创新机制</w:t>
      </w:r>
      <w:r>
        <w:rPr>
          <w:rFonts w:ascii="Times New Roman" w:hAnsi="Times New Roman" w:eastAsia="仿宋_GB2312"/>
          <w:sz w:val="32"/>
          <w:szCs w:val="32"/>
        </w:rPr>
        <w:t>，一方面，吸引更多的农业企业（包括涉农企业）入驻园区，特别是一些产业开发实力较强和技术创新的大型科技型龙头企业；另一方面，加强园区企业与科教机构之间、企业与高等院校之间、企业与企业之间的合作。围绕主导产业，以项目为载体，打造园区研发中心，构建以企业为中心的产、学、研合作创新机制。</w:t>
      </w:r>
    </w:p>
    <w:p>
      <w:pPr>
        <w:spacing w:line="580" w:lineRule="exact"/>
        <w:outlineLvl w:val="1"/>
        <w:rPr>
          <w:rFonts w:ascii="Times New Roman" w:hAnsi="Times New Roman" w:eastAsia="楷体"/>
          <w:b/>
          <w:sz w:val="32"/>
          <w:szCs w:val="32"/>
        </w:rPr>
      </w:pPr>
      <w:bookmarkStart w:id="108" w:name="_Toc87993556"/>
      <w:r>
        <w:rPr>
          <w:rFonts w:ascii="Times New Roman" w:hAnsi="Times New Roman" w:eastAsia="楷体"/>
          <w:b/>
          <w:sz w:val="32"/>
          <w:szCs w:val="32"/>
        </w:rPr>
        <w:t>4.6促进农民全面发展</w:t>
      </w:r>
      <w:bookmarkEnd w:id="108"/>
    </w:p>
    <w:p>
      <w:pPr>
        <w:spacing w:line="580" w:lineRule="exact"/>
        <w:outlineLvl w:val="2"/>
        <w:rPr>
          <w:rFonts w:ascii="Times New Roman" w:hAnsi="Times New Roman" w:eastAsia="仿宋_GB2312"/>
          <w:b/>
          <w:sz w:val="32"/>
          <w:szCs w:val="32"/>
        </w:rPr>
      </w:pPr>
      <w:bookmarkStart w:id="109" w:name="_Toc87993557"/>
      <w:r>
        <w:rPr>
          <w:rFonts w:ascii="Times New Roman" w:hAnsi="Times New Roman" w:eastAsia="仿宋_GB2312"/>
          <w:b/>
          <w:sz w:val="32"/>
          <w:szCs w:val="32"/>
        </w:rPr>
        <w:t>4.6.1</w:t>
      </w:r>
      <w:r>
        <w:rPr>
          <w:rFonts w:ascii="Times New Roman" w:hAnsi="Times New Roman" w:eastAsia="仿宋"/>
          <w:b/>
          <w:bCs/>
          <w:color w:val="000000" w:themeColor="text1"/>
          <w:kern w:val="0"/>
          <w:sz w:val="30"/>
          <w:szCs w:val="30"/>
        </w:rPr>
        <w:t>培育高素质农民</w:t>
      </w:r>
      <w:bookmarkEnd w:id="109"/>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加强农民教育培训，重视培育农业产业领军人才，每年培训农民1.2万人以上，其中新型经营主体1200人以上。围绕县域农业主导及特色产业开展产业领军人才培育班。将爱农业、懂技术、善经营的高素质农民，选派到境外农业发达国家、国内高等院校等参加短期培训，通过实地学习、现场观摩、相互交流等提高生产技术、管理水平和营销能力。</w:t>
      </w:r>
    </w:p>
    <w:p>
      <w:pPr>
        <w:spacing w:line="580" w:lineRule="exact"/>
        <w:outlineLvl w:val="2"/>
        <w:rPr>
          <w:rFonts w:ascii="Times New Roman" w:hAnsi="Times New Roman" w:eastAsia="仿宋_GB2312"/>
          <w:b/>
          <w:sz w:val="32"/>
          <w:szCs w:val="32"/>
        </w:rPr>
      </w:pPr>
      <w:bookmarkStart w:id="110" w:name="_Toc87993558"/>
      <w:r>
        <w:rPr>
          <w:rFonts w:ascii="Times New Roman" w:hAnsi="Times New Roman" w:eastAsia="仿宋_GB2312"/>
          <w:b/>
          <w:sz w:val="32"/>
          <w:szCs w:val="32"/>
        </w:rPr>
        <w:t>4.6.2</w:t>
      </w:r>
      <w:r>
        <w:rPr>
          <w:rFonts w:ascii="Times New Roman" w:hAnsi="Times New Roman" w:eastAsia="仿宋"/>
          <w:b/>
          <w:bCs/>
          <w:color w:val="000000" w:themeColor="text1"/>
          <w:kern w:val="0"/>
          <w:sz w:val="30"/>
          <w:szCs w:val="30"/>
        </w:rPr>
        <w:t>推进农民就业创业</w:t>
      </w:r>
      <w:bookmarkEnd w:id="110"/>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拓展农民就业增收空间，出台促进农民就业增收的政策措施，从发展产业和稳定就业等渠道增加农民收入，使农村居民年可支配收入增速不低于地区生产总值增速、快于城镇居民增速。通过深化“放管服”改革，激活农村市场、要素和主体的活力，挖掘发展地方特色产业、传统产业，鼓励群众创新创业，支持创办家庭工场、手工作坊、乡村车间、民宿等，降低农民创业门槛和经营成本，支持农民采取合作、联合、参股等方式发展一二三产业经营项目，增加农民经营性收入。拓宽农民就业渠道，鼓励农村劳动力外出就业，就近就业，发挥人力资源市场的主体作用，联合各招聘单位推出更多适合乡村群众的工作岗位，积极引导乡村群众就业。探索农民财产性权益实现途径和形式，切实增加农民财产性收入。加大财政对农民生产性补贴的投入，推动农业降低生产成本，新增补贴向主产区和优势产区集中，向专业大户、家庭农场、农民合作社等新型生产经营主体倾斜。鼓励社会资本充分利用农村闲置房屋开办乡村旅游民宿等旅游新产品。盘活集体资产，壮大集体经济，试点推进资源变资产、资金变股金、农民变股东“三变”改革，探索有效方式实现集体资源、资金有效配置，创造稳定的集体经济收入来源。</w:t>
      </w:r>
    </w:p>
    <w:p>
      <w:pPr>
        <w:spacing w:line="580" w:lineRule="exact"/>
        <w:outlineLvl w:val="1"/>
        <w:rPr>
          <w:rFonts w:ascii="Times New Roman" w:hAnsi="Times New Roman" w:eastAsia="楷体"/>
          <w:b/>
          <w:sz w:val="32"/>
          <w:szCs w:val="32"/>
        </w:rPr>
      </w:pPr>
      <w:bookmarkStart w:id="111" w:name="_Toc87993559"/>
      <w:r>
        <w:rPr>
          <w:rFonts w:ascii="Times New Roman" w:hAnsi="Times New Roman" w:eastAsia="楷体"/>
          <w:b/>
          <w:sz w:val="32"/>
          <w:szCs w:val="32"/>
        </w:rPr>
        <w:t>4.7培育新型农业经营主体</w:t>
      </w:r>
      <w:bookmarkEnd w:id="111"/>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培育农业专业合作社和家庭农（林）场。</w:t>
      </w:r>
      <w:r>
        <w:rPr>
          <w:rFonts w:ascii="Times New Roman" w:hAnsi="Times New Roman" w:eastAsia="仿宋_GB2312"/>
          <w:color w:val="000000" w:themeColor="text1"/>
          <w:kern w:val="0"/>
          <w:sz w:val="32"/>
          <w:szCs w:val="32"/>
        </w:rPr>
        <w:t>鼓励农民以土地承包经营权入股等方式建立农民合作社等新型农业经营主体。引导支持返乡农民工、大中专学生和退役军人创办新型经营主体。开展农民合作社创新试点，引导发展农民合作社联合社。到2025年，国（省）级农民合作社示范社达到6家以上，家庭农场达到300家以上。</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培育龙头企业。发挥龙头企业在产业链布局中的关键作用，以洞庭春米业、锦绣千村等全产业链龙头企业为示范，培育一批产业链领军企业，促进农业生产、加工、物流研发和服务相互融合。延长产业链、提升价值链、完善供应链，推动农业产前、产中、产后一体化发展。实施“百企千社万户”现代农业发展工程，推动产业向园区集聚，依托资源禀赋、主体带动，围绕粮食、油菜、棉花、生猪、水产、葡萄、茶叶、柑橘、花木、虾蟹、蔬菜、中药材等主导及特色产业打造一批产、销、技术支持为一体的全产业链龙头企业。积极推广“龙头企业+家庭农场”、“龙头企业+农民合作社+农户”模式。到2025年，规模以上龙头企业达到10家。</w:t>
      </w:r>
    </w:p>
    <w:bookmarkEnd w:id="80"/>
    <w:bookmarkEnd w:id="81"/>
    <w:p>
      <w:pPr>
        <w:pStyle w:val="47"/>
        <w:numPr>
          <w:ilvl w:val="0"/>
          <w:numId w:val="1"/>
        </w:numPr>
        <w:adjustRightInd w:val="0"/>
        <w:snapToGrid w:val="0"/>
        <w:spacing w:line="580" w:lineRule="exact"/>
        <w:ind w:firstLineChars="0"/>
        <w:jc w:val="center"/>
        <w:outlineLvl w:val="0"/>
        <w:rPr>
          <w:rFonts w:ascii="Times New Roman" w:hAnsi="Times New Roman" w:eastAsia="黑体"/>
          <w:sz w:val="32"/>
          <w:szCs w:val="32"/>
        </w:rPr>
      </w:pPr>
      <w:bookmarkStart w:id="112" w:name="_Toc87993560"/>
      <w:bookmarkStart w:id="113" w:name="_Toc525631034"/>
      <w:bookmarkStart w:id="114" w:name="_Toc525302404"/>
      <w:r>
        <w:rPr>
          <w:rFonts w:ascii="Times New Roman" w:hAnsi="Times New Roman" w:eastAsia="黑体"/>
          <w:sz w:val="32"/>
          <w:szCs w:val="32"/>
        </w:rPr>
        <w:t>资金测算与筹措方案</w:t>
      </w:r>
      <w:bookmarkEnd w:id="112"/>
    </w:p>
    <w:p>
      <w:pPr>
        <w:spacing w:line="580" w:lineRule="exact"/>
        <w:outlineLvl w:val="1"/>
        <w:rPr>
          <w:rFonts w:ascii="Times New Roman" w:hAnsi="Times New Roman" w:eastAsia="楷体"/>
          <w:b/>
          <w:sz w:val="32"/>
          <w:szCs w:val="32"/>
        </w:rPr>
      </w:pPr>
      <w:bookmarkStart w:id="115" w:name="_Toc87993561"/>
      <w:r>
        <w:rPr>
          <w:rFonts w:ascii="Times New Roman" w:hAnsi="Times New Roman" w:eastAsia="楷体"/>
          <w:b/>
          <w:sz w:val="32"/>
          <w:szCs w:val="32"/>
        </w:rPr>
        <w:t>5.1资金测算需求</w:t>
      </w:r>
      <w:bookmarkEnd w:id="115"/>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澧县“十四五”期间脱贫主导特色产业发展重点推进五大工程，包括31个重点项目，总投资额为178.2亿元。特色农产品提质工程共9个项目，总投资53.4亿；农产品加工提升工程共7个项目，总投资44.5亿；农业基地建设工程7个项目，总投资19.0亿；休闲农业发展工程3个项目，总投资20.0亿；农业产业园建设工程5个项目，总投资41.3亿元。其中，单个投资额在10亿以上的重大项目有7个。</w:t>
      </w:r>
    </w:p>
    <w:p>
      <w:pPr>
        <w:spacing w:line="360" w:lineRule="auto"/>
        <w:jc w:val="center"/>
        <w:rPr>
          <w:rFonts w:ascii="Times New Roman" w:hAnsi="Times New Roman" w:eastAsia="仿宋_GB2312"/>
          <w:sz w:val="30"/>
          <w:szCs w:val="30"/>
        </w:rPr>
      </w:pPr>
      <w:r>
        <w:rPr>
          <w:rFonts w:ascii="Times New Roman" w:hAnsi="Times New Roman" w:eastAsia="仿宋_GB2312"/>
          <w:sz w:val="30"/>
          <w:szCs w:val="30"/>
        </w:rPr>
        <w:t>表5-1 澧县“十四五”脱贫主导特色规划重点项目资金测算表</w:t>
      </w:r>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3686"/>
        <w:gridCol w:w="1275"/>
        <w:gridCol w:w="1560"/>
        <w:gridCol w:w="11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817" w:type="dxa"/>
            <w:vAlign w:val="center"/>
          </w:tcPr>
          <w:p>
            <w:pPr>
              <w:jc w:val="center"/>
              <w:rPr>
                <w:rFonts w:ascii="Times New Roman" w:hAnsi="Times New Roman" w:eastAsia="仿宋_GB2312"/>
                <w:b/>
                <w:sz w:val="24"/>
              </w:rPr>
            </w:pPr>
            <w:r>
              <w:rPr>
                <w:rFonts w:ascii="Times New Roman" w:hAnsi="Times New Roman" w:eastAsia="仿宋_GB2312"/>
                <w:b/>
                <w:sz w:val="24"/>
              </w:rPr>
              <w:t>序号</w:t>
            </w:r>
          </w:p>
        </w:tc>
        <w:tc>
          <w:tcPr>
            <w:tcW w:w="3686" w:type="dxa"/>
            <w:vAlign w:val="center"/>
          </w:tcPr>
          <w:p>
            <w:pPr>
              <w:jc w:val="center"/>
              <w:rPr>
                <w:rFonts w:ascii="Times New Roman" w:hAnsi="Times New Roman" w:eastAsia="仿宋_GB2312"/>
                <w:b/>
                <w:sz w:val="24"/>
              </w:rPr>
            </w:pPr>
            <w:r>
              <w:rPr>
                <w:rFonts w:ascii="Times New Roman" w:hAnsi="Times New Roman" w:eastAsia="仿宋_GB2312"/>
                <w:b/>
                <w:sz w:val="24"/>
              </w:rPr>
              <w:t>项目名称</w:t>
            </w:r>
          </w:p>
        </w:tc>
        <w:tc>
          <w:tcPr>
            <w:tcW w:w="1275" w:type="dxa"/>
            <w:vAlign w:val="center"/>
          </w:tcPr>
          <w:p>
            <w:pPr>
              <w:jc w:val="center"/>
              <w:rPr>
                <w:rFonts w:ascii="Times New Roman" w:hAnsi="Times New Roman" w:eastAsia="仿宋_GB2312"/>
                <w:b/>
                <w:sz w:val="24"/>
              </w:rPr>
            </w:pPr>
            <w:r>
              <w:rPr>
                <w:rFonts w:ascii="Times New Roman" w:hAnsi="Times New Roman" w:eastAsia="仿宋_GB2312"/>
                <w:b/>
                <w:sz w:val="24"/>
              </w:rPr>
              <w:t>建设性质</w:t>
            </w:r>
          </w:p>
        </w:tc>
        <w:tc>
          <w:tcPr>
            <w:tcW w:w="1560" w:type="dxa"/>
            <w:vAlign w:val="center"/>
          </w:tcPr>
          <w:p>
            <w:pPr>
              <w:jc w:val="center"/>
              <w:rPr>
                <w:rFonts w:ascii="Times New Roman" w:hAnsi="Times New Roman" w:eastAsia="仿宋_GB2312"/>
                <w:b/>
                <w:sz w:val="24"/>
              </w:rPr>
            </w:pPr>
            <w:r>
              <w:rPr>
                <w:rFonts w:ascii="Times New Roman" w:hAnsi="Times New Roman" w:eastAsia="仿宋_GB2312"/>
                <w:b/>
                <w:sz w:val="24"/>
              </w:rPr>
              <w:t>起止年限</w:t>
            </w:r>
          </w:p>
        </w:tc>
        <w:tc>
          <w:tcPr>
            <w:tcW w:w="1190" w:type="dxa"/>
            <w:vAlign w:val="center"/>
          </w:tcPr>
          <w:p>
            <w:pPr>
              <w:jc w:val="center"/>
              <w:rPr>
                <w:rFonts w:ascii="Times New Roman" w:hAnsi="Times New Roman" w:eastAsia="仿宋_GB2312"/>
                <w:b/>
                <w:sz w:val="24"/>
              </w:rPr>
            </w:pPr>
            <w:r>
              <w:rPr>
                <w:rFonts w:ascii="Times New Roman" w:hAnsi="Times New Roman" w:eastAsia="仿宋_GB2312"/>
                <w:b/>
                <w:sz w:val="24"/>
              </w:rPr>
              <w:t>总投资（亿元）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8" w:type="dxa"/>
            <w:gridSpan w:val="5"/>
            <w:vAlign w:val="center"/>
          </w:tcPr>
          <w:p>
            <w:pPr>
              <w:jc w:val="center"/>
              <w:rPr>
                <w:rFonts w:ascii="Times New Roman" w:hAnsi="Times New Roman" w:eastAsia="仿宋_GB2312"/>
                <w:b/>
                <w:sz w:val="24"/>
              </w:rPr>
            </w:pPr>
            <w:r>
              <w:rPr>
                <w:rFonts w:ascii="Times New Roman" w:hAnsi="Times New Roman" w:eastAsia="仿宋_GB2312"/>
                <w:b/>
                <w:sz w:val="24"/>
              </w:rPr>
              <w:t>一、特色农产品提质工程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优质葡萄基地建设</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续建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桔柚产业提质建设</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续建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3</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葡萄特色小镇建设项目</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续建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2020-2023</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4</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油茶产业提升建设</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5</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蔬菜产业基地建设</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续建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6</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湘莲产业基地建设</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续建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7</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中药材产业项目</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续建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8</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茶叶产业提升项目</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9</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循环农业产业园建设项目（5处）</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03" w:type="dxa"/>
            <w:gridSpan w:val="2"/>
            <w:vAlign w:val="center"/>
          </w:tcPr>
          <w:p>
            <w:pPr>
              <w:widowControl/>
              <w:jc w:val="center"/>
              <w:rPr>
                <w:rFonts w:ascii="Times New Roman" w:hAnsi="Times New Roman" w:eastAsia="仿宋_GB2312"/>
                <w:b/>
                <w:color w:val="000000"/>
                <w:kern w:val="0"/>
                <w:sz w:val="24"/>
              </w:rPr>
            </w:pPr>
            <w:r>
              <w:rPr>
                <w:rFonts w:ascii="Times New Roman" w:hAnsi="Times New Roman" w:eastAsia="仿宋_GB2312"/>
                <w:b/>
                <w:color w:val="000000"/>
                <w:kern w:val="0"/>
                <w:sz w:val="24"/>
              </w:rPr>
              <w:t>小计</w:t>
            </w:r>
          </w:p>
        </w:tc>
        <w:tc>
          <w:tcPr>
            <w:tcW w:w="1275" w:type="dxa"/>
            <w:vAlign w:val="center"/>
          </w:tcPr>
          <w:p>
            <w:pPr>
              <w:widowControl/>
              <w:jc w:val="center"/>
              <w:rPr>
                <w:rFonts w:ascii="Times New Roman" w:hAnsi="Times New Roman" w:eastAsia="仿宋_GB2312"/>
                <w:b/>
                <w:color w:val="000000"/>
                <w:kern w:val="0"/>
                <w:sz w:val="24"/>
              </w:rPr>
            </w:pPr>
          </w:p>
        </w:tc>
        <w:tc>
          <w:tcPr>
            <w:tcW w:w="1560" w:type="dxa"/>
            <w:vAlign w:val="center"/>
          </w:tcPr>
          <w:p>
            <w:pPr>
              <w:widowControl/>
              <w:jc w:val="center"/>
              <w:rPr>
                <w:rFonts w:ascii="Times New Roman" w:hAnsi="Times New Roman" w:eastAsia="仿宋_GB2312"/>
                <w:b/>
                <w:color w:val="000000"/>
                <w:kern w:val="0"/>
                <w:sz w:val="24"/>
              </w:rPr>
            </w:pPr>
          </w:p>
        </w:tc>
        <w:tc>
          <w:tcPr>
            <w:tcW w:w="1190" w:type="dxa"/>
            <w:vAlign w:val="center"/>
          </w:tcPr>
          <w:p>
            <w:pPr>
              <w:widowControl/>
              <w:jc w:val="center"/>
              <w:rPr>
                <w:rFonts w:ascii="Times New Roman" w:hAnsi="Times New Roman" w:eastAsia="仿宋_GB2312"/>
                <w:b/>
                <w:color w:val="000000"/>
                <w:kern w:val="0"/>
                <w:sz w:val="24"/>
              </w:rPr>
            </w:pPr>
            <w:r>
              <w:rPr>
                <w:rFonts w:ascii="Times New Roman" w:hAnsi="Times New Roman" w:eastAsia="仿宋_GB2312"/>
                <w:b/>
                <w:color w:val="000000"/>
                <w:kern w:val="0"/>
                <w:sz w:val="24"/>
              </w:rPr>
              <w:t>53.4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8" w:type="dxa"/>
            <w:gridSpan w:val="5"/>
            <w:vAlign w:val="center"/>
          </w:tcPr>
          <w:p>
            <w:pPr>
              <w:widowControl/>
              <w:jc w:val="center"/>
              <w:rPr>
                <w:rFonts w:ascii="Times New Roman" w:hAnsi="Times New Roman" w:eastAsia="仿宋_GB2312"/>
                <w:b/>
                <w:color w:val="000000"/>
                <w:kern w:val="0"/>
                <w:sz w:val="24"/>
              </w:rPr>
            </w:pPr>
            <w:r>
              <w:rPr>
                <w:rFonts w:ascii="Times New Roman" w:hAnsi="Times New Roman" w:eastAsia="仿宋_GB2312"/>
                <w:b/>
                <w:color w:val="000000"/>
                <w:kern w:val="0"/>
                <w:sz w:val="24"/>
              </w:rPr>
              <w:t>二、农产品加工提升工程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w:t>
            </w:r>
          </w:p>
        </w:tc>
        <w:tc>
          <w:tcPr>
            <w:tcW w:w="3686" w:type="dxa"/>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澧县城头山稻米产业园建设项目</w:t>
            </w:r>
          </w:p>
        </w:tc>
        <w:tc>
          <w:tcPr>
            <w:tcW w:w="1275" w:type="dxa"/>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新建</w:t>
            </w:r>
          </w:p>
        </w:tc>
        <w:tc>
          <w:tcPr>
            <w:tcW w:w="1560" w:type="dxa"/>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2021-2025</w:t>
            </w:r>
          </w:p>
        </w:tc>
        <w:tc>
          <w:tcPr>
            <w:tcW w:w="1190" w:type="dxa"/>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澧县油脂加工重整建设项目</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改扩建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3</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桔柚加工业</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4</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蔬菜加工厂</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5</w:t>
            </w:r>
          </w:p>
        </w:tc>
        <w:tc>
          <w:tcPr>
            <w:tcW w:w="3686" w:type="dxa"/>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粉丝生产加工项目</w:t>
            </w:r>
          </w:p>
        </w:tc>
        <w:tc>
          <w:tcPr>
            <w:tcW w:w="1275" w:type="dxa"/>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新建</w:t>
            </w:r>
          </w:p>
        </w:tc>
        <w:tc>
          <w:tcPr>
            <w:tcW w:w="1560" w:type="dxa"/>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2021-2025</w:t>
            </w:r>
          </w:p>
        </w:tc>
        <w:tc>
          <w:tcPr>
            <w:tcW w:w="1190" w:type="dxa"/>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6</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畜禽肉类加工厂建设项目</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2021-2015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7</w:t>
            </w:r>
          </w:p>
        </w:tc>
        <w:tc>
          <w:tcPr>
            <w:tcW w:w="3686" w:type="dxa"/>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澧县中药材健康产业园建设项目</w:t>
            </w:r>
          </w:p>
        </w:tc>
        <w:tc>
          <w:tcPr>
            <w:tcW w:w="1275" w:type="dxa"/>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新建</w:t>
            </w:r>
          </w:p>
        </w:tc>
        <w:tc>
          <w:tcPr>
            <w:tcW w:w="1560" w:type="dxa"/>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2021-2025</w:t>
            </w:r>
          </w:p>
        </w:tc>
        <w:tc>
          <w:tcPr>
            <w:tcW w:w="1190" w:type="dxa"/>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03" w:type="dxa"/>
            <w:gridSpan w:val="2"/>
            <w:vAlign w:val="center"/>
          </w:tcPr>
          <w:p>
            <w:pPr>
              <w:jc w:val="center"/>
              <w:rPr>
                <w:rFonts w:ascii="Times New Roman" w:hAnsi="Times New Roman" w:eastAsia="仿宋_GB2312"/>
                <w:b/>
                <w:sz w:val="24"/>
              </w:rPr>
            </w:pPr>
            <w:r>
              <w:rPr>
                <w:rFonts w:ascii="Times New Roman" w:hAnsi="Times New Roman" w:eastAsia="仿宋_GB2312"/>
                <w:b/>
                <w:sz w:val="24"/>
              </w:rPr>
              <w:t>小计</w:t>
            </w:r>
          </w:p>
        </w:tc>
        <w:tc>
          <w:tcPr>
            <w:tcW w:w="1275" w:type="dxa"/>
            <w:vAlign w:val="center"/>
          </w:tcPr>
          <w:p>
            <w:pPr>
              <w:jc w:val="center"/>
              <w:rPr>
                <w:rFonts w:ascii="Times New Roman" w:hAnsi="Times New Roman" w:eastAsia="仿宋_GB2312"/>
                <w:b/>
                <w:sz w:val="24"/>
              </w:rPr>
            </w:pPr>
          </w:p>
        </w:tc>
        <w:tc>
          <w:tcPr>
            <w:tcW w:w="1560" w:type="dxa"/>
            <w:vAlign w:val="center"/>
          </w:tcPr>
          <w:p>
            <w:pPr>
              <w:jc w:val="center"/>
              <w:rPr>
                <w:rFonts w:ascii="Times New Roman" w:hAnsi="Times New Roman" w:eastAsia="仿宋_GB2312"/>
                <w:b/>
                <w:sz w:val="24"/>
              </w:rPr>
            </w:pPr>
          </w:p>
        </w:tc>
        <w:tc>
          <w:tcPr>
            <w:tcW w:w="1190" w:type="dxa"/>
            <w:vAlign w:val="center"/>
          </w:tcPr>
          <w:p>
            <w:pPr>
              <w:jc w:val="center"/>
              <w:rPr>
                <w:rFonts w:ascii="Times New Roman" w:hAnsi="Times New Roman" w:eastAsia="仿宋_GB2312"/>
                <w:b/>
                <w:sz w:val="24"/>
              </w:rPr>
            </w:pPr>
            <w:r>
              <w:rPr>
                <w:rFonts w:ascii="Times New Roman" w:hAnsi="Times New Roman" w:eastAsia="仿宋_GB2312"/>
                <w:b/>
                <w:sz w:val="24"/>
              </w:rPr>
              <w:t>44.5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8" w:type="dxa"/>
            <w:gridSpan w:val="5"/>
            <w:vAlign w:val="center"/>
          </w:tcPr>
          <w:p>
            <w:pPr>
              <w:jc w:val="center"/>
              <w:rPr>
                <w:rFonts w:ascii="Times New Roman" w:hAnsi="Times New Roman" w:eastAsia="仿宋_GB2312"/>
                <w:b/>
                <w:sz w:val="24"/>
              </w:rPr>
            </w:pPr>
            <w:r>
              <w:rPr>
                <w:rFonts w:ascii="Times New Roman" w:hAnsi="Times New Roman" w:eastAsia="仿宋_GB2312"/>
                <w:b/>
                <w:sz w:val="24"/>
              </w:rPr>
              <w:t>三、农业基地建设工程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澧县优质“菜油”示范基地</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2020-2022</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澧县优质稻基地建设与品牌创建</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3</w:t>
            </w:r>
          </w:p>
        </w:tc>
        <w:tc>
          <w:tcPr>
            <w:tcW w:w="3686" w:type="dxa"/>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产业扶贫种苗繁育基地</w:t>
            </w:r>
          </w:p>
        </w:tc>
        <w:tc>
          <w:tcPr>
            <w:tcW w:w="1275" w:type="dxa"/>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新建</w:t>
            </w:r>
          </w:p>
        </w:tc>
        <w:tc>
          <w:tcPr>
            <w:tcW w:w="1560" w:type="dxa"/>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2021-2025</w:t>
            </w:r>
          </w:p>
        </w:tc>
        <w:tc>
          <w:tcPr>
            <w:tcW w:w="1190" w:type="dxa"/>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4</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如东镇水沫堰渔光互补建设项目</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5</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澧县农业科技示范园建设</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6</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20万头生猪产业化建设项目</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7</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澧县动物疫病预防体系建设项目</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03" w:type="dxa"/>
            <w:gridSpan w:val="2"/>
            <w:vAlign w:val="center"/>
          </w:tcPr>
          <w:p>
            <w:pPr>
              <w:widowControl/>
              <w:jc w:val="center"/>
              <w:rPr>
                <w:rFonts w:ascii="Times New Roman" w:hAnsi="Times New Roman" w:eastAsia="仿宋_GB2312"/>
                <w:b/>
                <w:color w:val="000000"/>
                <w:kern w:val="0"/>
                <w:sz w:val="24"/>
              </w:rPr>
            </w:pPr>
            <w:r>
              <w:rPr>
                <w:rFonts w:ascii="Times New Roman" w:hAnsi="Times New Roman" w:eastAsia="仿宋_GB2312"/>
                <w:b/>
                <w:color w:val="000000"/>
                <w:kern w:val="0"/>
                <w:sz w:val="24"/>
              </w:rPr>
              <w:t>小计</w:t>
            </w:r>
          </w:p>
        </w:tc>
        <w:tc>
          <w:tcPr>
            <w:tcW w:w="1275" w:type="dxa"/>
            <w:vAlign w:val="center"/>
          </w:tcPr>
          <w:p>
            <w:pPr>
              <w:widowControl/>
              <w:jc w:val="center"/>
              <w:rPr>
                <w:rFonts w:ascii="Times New Roman" w:hAnsi="Times New Roman" w:eastAsia="仿宋_GB2312"/>
                <w:b/>
                <w:color w:val="000000"/>
                <w:kern w:val="0"/>
                <w:sz w:val="24"/>
              </w:rPr>
            </w:pPr>
          </w:p>
        </w:tc>
        <w:tc>
          <w:tcPr>
            <w:tcW w:w="1560" w:type="dxa"/>
            <w:vAlign w:val="center"/>
          </w:tcPr>
          <w:p>
            <w:pPr>
              <w:widowControl/>
              <w:jc w:val="center"/>
              <w:rPr>
                <w:rFonts w:ascii="Times New Roman" w:hAnsi="Times New Roman" w:eastAsia="仿宋_GB2312"/>
                <w:b/>
                <w:color w:val="000000"/>
                <w:kern w:val="0"/>
                <w:sz w:val="24"/>
              </w:rPr>
            </w:pPr>
          </w:p>
        </w:tc>
        <w:tc>
          <w:tcPr>
            <w:tcW w:w="1190" w:type="dxa"/>
            <w:vAlign w:val="center"/>
          </w:tcPr>
          <w:p>
            <w:pPr>
              <w:widowControl/>
              <w:jc w:val="center"/>
              <w:rPr>
                <w:rFonts w:ascii="Times New Roman" w:hAnsi="Times New Roman" w:eastAsia="仿宋_GB2312"/>
                <w:b/>
                <w:color w:val="000000"/>
                <w:kern w:val="0"/>
                <w:sz w:val="24"/>
              </w:rPr>
            </w:pPr>
            <w:r>
              <w:rPr>
                <w:rFonts w:ascii="Times New Roman" w:hAnsi="Times New Roman" w:eastAsia="仿宋_GB2312"/>
                <w:b/>
                <w:color w:val="000000"/>
                <w:kern w:val="0"/>
                <w:sz w:val="24"/>
              </w:rPr>
              <w:t>19.0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8" w:type="dxa"/>
            <w:gridSpan w:val="5"/>
            <w:vAlign w:val="center"/>
          </w:tcPr>
          <w:p>
            <w:pPr>
              <w:widowControl/>
              <w:jc w:val="center"/>
              <w:rPr>
                <w:rFonts w:ascii="Times New Roman" w:hAnsi="Times New Roman" w:eastAsia="仿宋_GB2312"/>
                <w:b/>
                <w:color w:val="000000"/>
                <w:kern w:val="0"/>
                <w:sz w:val="24"/>
              </w:rPr>
            </w:pPr>
            <w:r>
              <w:rPr>
                <w:rFonts w:ascii="Times New Roman" w:hAnsi="Times New Roman" w:eastAsia="仿宋_GB2312"/>
                <w:b/>
                <w:color w:val="000000"/>
                <w:kern w:val="0"/>
                <w:sz w:val="24"/>
              </w:rPr>
              <w:t>四、休闲农业发展工程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1</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太青山茶旅融合发展项目</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2</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枫林大观园</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3</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城头山等景区乡村旅游开发项目</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扩建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2021-2015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03" w:type="dxa"/>
            <w:gridSpan w:val="2"/>
            <w:vAlign w:val="center"/>
          </w:tcPr>
          <w:p>
            <w:pPr>
              <w:jc w:val="center"/>
              <w:rPr>
                <w:rFonts w:ascii="Times New Roman" w:hAnsi="Times New Roman" w:eastAsia="仿宋_GB2312"/>
                <w:b/>
                <w:sz w:val="24"/>
              </w:rPr>
            </w:pPr>
            <w:r>
              <w:rPr>
                <w:rFonts w:ascii="Times New Roman" w:hAnsi="Times New Roman" w:eastAsia="仿宋_GB2312"/>
                <w:b/>
                <w:sz w:val="24"/>
              </w:rPr>
              <w:t>小计</w:t>
            </w:r>
          </w:p>
        </w:tc>
        <w:tc>
          <w:tcPr>
            <w:tcW w:w="1275" w:type="dxa"/>
            <w:vAlign w:val="center"/>
          </w:tcPr>
          <w:p>
            <w:pPr>
              <w:jc w:val="center"/>
              <w:rPr>
                <w:rFonts w:ascii="Times New Roman" w:hAnsi="Times New Roman" w:eastAsia="仿宋_GB2312"/>
                <w:b/>
                <w:sz w:val="24"/>
              </w:rPr>
            </w:pPr>
          </w:p>
        </w:tc>
        <w:tc>
          <w:tcPr>
            <w:tcW w:w="1560" w:type="dxa"/>
            <w:vAlign w:val="center"/>
          </w:tcPr>
          <w:p>
            <w:pPr>
              <w:jc w:val="center"/>
              <w:rPr>
                <w:rFonts w:ascii="Times New Roman" w:hAnsi="Times New Roman" w:eastAsia="仿宋_GB2312"/>
                <w:b/>
                <w:sz w:val="24"/>
              </w:rPr>
            </w:pPr>
          </w:p>
        </w:tc>
        <w:tc>
          <w:tcPr>
            <w:tcW w:w="1190" w:type="dxa"/>
            <w:vAlign w:val="center"/>
          </w:tcPr>
          <w:p>
            <w:pPr>
              <w:jc w:val="center"/>
              <w:rPr>
                <w:rFonts w:ascii="Times New Roman" w:hAnsi="Times New Roman" w:eastAsia="仿宋_GB2312"/>
                <w:b/>
                <w:sz w:val="24"/>
              </w:rPr>
            </w:pPr>
            <w:r>
              <w:rPr>
                <w:rFonts w:ascii="Times New Roman" w:hAnsi="Times New Roman" w:eastAsia="仿宋_GB2312"/>
                <w:b/>
                <w:sz w:val="24"/>
              </w:rPr>
              <w:t>20</w:t>
            </w:r>
            <w:r>
              <w:rPr>
                <w:rFonts w:ascii="Times New Roman" w:hAnsi="Times New Roman" w:eastAsia="仿宋_GB2312"/>
                <w:b/>
                <w:color w:val="000000"/>
                <w:kern w:val="0"/>
                <w:sz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8" w:type="dxa"/>
            <w:gridSpan w:val="5"/>
            <w:vAlign w:val="center"/>
          </w:tcPr>
          <w:p>
            <w:pPr>
              <w:widowControl/>
              <w:jc w:val="center"/>
              <w:rPr>
                <w:rFonts w:ascii="Times New Roman" w:hAnsi="Times New Roman" w:eastAsia="仿宋_GB2312"/>
                <w:b/>
                <w:color w:val="000000"/>
                <w:kern w:val="0"/>
                <w:sz w:val="24"/>
              </w:rPr>
            </w:pPr>
            <w:r>
              <w:rPr>
                <w:rFonts w:ascii="Times New Roman" w:hAnsi="Times New Roman" w:eastAsia="仿宋_GB2312"/>
                <w:b/>
                <w:color w:val="000000"/>
                <w:kern w:val="0"/>
                <w:sz w:val="24"/>
              </w:rPr>
              <w:t>五、农业产业园建设工程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1</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一园两中心</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2</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葡萄科技产业示范园</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3</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澧水右岸田园综合体</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4</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现代农业公园</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5</w:t>
            </w:r>
          </w:p>
        </w:tc>
        <w:tc>
          <w:tcPr>
            <w:tcW w:w="3686"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产业强镇建设</w:t>
            </w:r>
          </w:p>
        </w:tc>
        <w:tc>
          <w:tcPr>
            <w:tcW w:w="1275"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156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1190" w:type="dxa"/>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03" w:type="dxa"/>
            <w:gridSpan w:val="2"/>
            <w:vAlign w:val="center"/>
          </w:tcPr>
          <w:p>
            <w:pPr>
              <w:widowControl/>
              <w:jc w:val="center"/>
              <w:rPr>
                <w:rFonts w:ascii="Times New Roman" w:hAnsi="Times New Roman" w:eastAsia="仿宋_GB2312"/>
                <w:b/>
                <w:color w:val="000000"/>
                <w:kern w:val="0"/>
                <w:sz w:val="24"/>
              </w:rPr>
            </w:pPr>
            <w:r>
              <w:rPr>
                <w:rFonts w:ascii="Times New Roman" w:hAnsi="Times New Roman" w:eastAsia="仿宋_GB2312"/>
                <w:b/>
                <w:color w:val="000000"/>
                <w:kern w:val="0"/>
                <w:sz w:val="24"/>
              </w:rPr>
              <w:t>小计</w:t>
            </w:r>
          </w:p>
        </w:tc>
        <w:tc>
          <w:tcPr>
            <w:tcW w:w="1275" w:type="dxa"/>
            <w:vAlign w:val="center"/>
          </w:tcPr>
          <w:p>
            <w:pPr>
              <w:widowControl/>
              <w:jc w:val="center"/>
              <w:rPr>
                <w:rFonts w:ascii="Times New Roman" w:hAnsi="Times New Roman" w:eastAsia="仿宋_GB2312"/>
                <w:b/>
                <w:color w:val="000000"/>
                <w:kern w:val="0"/>
                <w:sz w:val="24"/>
              </w:rPr>
            </w:pPr>
          </w:p>
        </w:tc>
        <w:tc>
          <w:tcPr>
            <w:tcW w:w="1560" w:type="dxa"/>
            <w:vAlign w:val="center"/>
          </w:tcPr>
          <w:p>
            <w:pPr>
              <w:widowControl/>
              <w:jc w:val="center"/>
              <w:rPr>
                <w:rFonts w:ascii="Times New Roman" w:hAnsi="Times New Roman" w:eastAsia="仿宋_GB2312"/>
                <w:b/>
                <w:color w:val="000000"/>
                <w:kern w:val="0"/>
                <w:sz w:val="24"/>
              </w:rPr>
            </w:pPr>
          </w:p>
        </w:tc>
        <w:tc>
          <w:tcPr>
            <w:tcW w:w="1190" w:type="dxa"/>
            <w:vAlign w:val="center"/>
          </w:tcPr>
          <w:p>
            <w:pPr>
              <w:widowControl/>
              <w:jc w:val="center"/>
              <w:rPr>
                <w:rFonts w:ascii="Times New Roman" w:hAnsi="Times New Roman" w:eastAsia="仿宋_GB2312"/>
                <w:b/>
                <w:color w:val="000000"/>
                <w:kern w:val="0"/>
                <w:sz w:val="24"/>
              </w:rPr>
            </w:pPr>
            <w:r>
              <w:rPr>
                <w:rFonts w:ascii="Times New Roman" w:hAnsi="Times New Roman" w:eastAsia="仿宋_GB2312"/>
                <w:b/>
                <w:color w:val="000000"/>
                <w:kern w:val="0"/>
                <w:sz w:val="24"/>
              </w:rPr>
              <w:t>41.3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03" w:type="dxa"/>
            <w:gridSpan w:val="2"/>
            <w:vAlign w:val="center"/>
          </w:tcPr>
          <w:p>
            <w:pPr>
              <w:widowControl/>
              <w:jc w:val="center"/>
              <w:rPr>
                <w:rFonts w:ascii="Times New Roman" w:hAnsi="Times New Roman" w:eastAsia="仿宋_GB2312"/>
                <w:b/>
                <w:color w:val="000000"/>
                <w:kern w:val="0"/>
                <w:sz w:val="24"/>
              </w:rPr>
            </w:pPr>
            <w:r>
              <w:rPr>
                <w:rFonts w:ascii="Times New Roman" w:hAnsi="Times New Roman" w:eastAsia="仿宋_GB2312"/>
                <w:b/>
                <w:color w:val="000000"/>
                <w:kern w:val="0"/>
                <w:sz w:val="24"/>
              </w:rPr>
              <w:t>总计</w:t>
            </w:r>
          </w:p>
        </w:tc>
        <w:tc>
          <w:tcPr>
            <w:tcW w:w="1275" w:type="dxa"/>
            <w:vAlign w:val="center"/>
          </w:tcPr>
          <w:p>
            <w:pPr>
              <w:widowControl/>
              <w:jc w:val="center"/>
              <w:rPr>
                <w:rFonts w:ascii="Times New Roman" w:hAnsi="Times New Roman" w:eastAsia="仿宋_GB2312"/>
                <w:b/>
                <w:color w:val="000000"/>
                <w:kern w:val="0"/>
                <w:sz w:val="24"/>
              </w:rPr>
            </w:pPr>
          </w:p>
        </w:tc>
        <w:tc>
          <w:tcPr>
            <w:tcW w:w="1560" w:type="dxa"/>
            <w:vAlign w:val="center"/>
          </w:tcPr>
          <w:p>
            <w:pPr>
              <w:widowControl/>
              <w:jc w:val="center"/>
              <w:rPr>
                <w:rFonts w:ascii="Times New Roman" w:hAnsi="Times New Roman" w:eastAsia="仿宋_GB2312"/>
                <w:b/>
                <w:color w:val="000000"/>
                <w:kern w:val="0"/>
                <w:sz w:val="24"/>
              </w:rPr>
            </w:pPr>
          </w:p>
        </w:tc>
        <w:tc>
          <w:tcPr>
            <w:tcW w:w="1190" w:type="dxa"/>
            <w:vAlign w:val="center"/>
          </w:tcPr>
          <w:p>
            <w:pPr>
              <w:widowControl/>
              <w:jc w:val="center"/>
              <w:rPr>
                <w:rFonts w:ascii="Times New Roman" w:hAnsi="Times New Roman" w:eastAsia="仿宋_GB2312"/>
                <w:b/>
                <w:kern w:val="0"/>
                <w:sz w:val="24"/>
              </w:rPr>
            </w:pPr>
            <w:r>
              <w:rPr>
                <w:rFonts w:ascii="Times New Roman" w:hAnsi="Times New Roman" w:eastAsia="仿宋_GB2312"/>
                <w:b/>
                <w:kern w:val="0"/>
                <w:sz w:val="24"/>
              </w:rPr>
              <w:t>178.2</w:t>
            </w:r>
          </w:p>
        </w:tc>
      </w:tr>
    </w:tbl>
    <w:p>
      <w:pPr>
        <w:spacing w:line="580" w:lineRule="exact"/>
        <w:outlineLvl w:val="1"/>
        <w:rPr>
          <w:rFonts w:ascii="Times New Roman" w:hAnsi="Times New Roman" w:eastAsia="楷体"/>
          <w:b/>
          <w:sz w:val="32"/>
          <w:szCs w:val="32"/>
        </w:rPr>
      </w:pPr>
      <w:bookmarkStart w:id="116" w:name="_Toc87993562"/>
      <w:r>
        <w:rPr>
          <w:rFonts w:ascii="Times New Roman" w:hAnsi="Times New Roman" w:eastAsia="楷体"/>
          <w:b/>
          <w:sz w:val="32"/>
          <w:szCs w:val="32"/>
        </w:rPr>
        <w:t>5.2资金筹措方案</w:t>
      </w:r>
      <w:bookmarkEnd w:id="116"/>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项目总投资178.20亿元，其中，17.13亿元由地方配套，占总投资的10.00%，167.07亿元为企业自筹，占总投资的90.00%。</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地方配套资金主要整合中央、省、市涉农项目资金，包括土地治理、水利建设、高标准农田建设、农业综合开发、扶贫、现代农业等项目专项资金，在不改变原项目性质、用途的前提下，由县里统筹使用，统一规划，用以支持脱贫主导特色产业发展。</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基础设施和公共服务能力提升建设项目以财政资金为主，其他项目建设以企业、合作社、家庭农场等新型经营主体投入为主。</w:t>
      </w:r>
    </w:p>
    <w:p>
      <w:pPr>
        <w:widowControl/>
        <w:jc w:val="left"/>
        <w:rPr>
          <w:rFonts w:ascii="Times New Roman" w:hAnsi="Times New Roman" w:eastAsia="仿宋_GB2312"/>
          <w:sz w:val="32"/>
          <w:szCs w:val="32"/>
        </w:rPr>
        <w:sectPr>
          <w:headerReference r:id="rId7" w:type="default"/>
          <w:pgSz w:w="11906" w:h="16838"/>
          <w:pgMar w:top="1440" w:right="1797" w:bottom="1440" w:left="1797" w:header="851" w:footer="992" w:gutter="0"/>
          <w:cols w:space="425" w:num="1"/>
          <w:docGrid w:type="lines" w:linePitch="312" w:charSpace="0"/>
        </w:sectPr>
      </w:pPr>
    </w:p>
    <w:p>
      <w:pPr>
        <w:spacing w:line="360" w:lineRule="auto"/>
        <w:jc w:val="center"/>
        <w:rPr>
          <w:rFonts w:ascii="Times New Roman" w:hAnsi="Times New Roman" w:eastAsia="仿宋_GB2312"/>
          <w:sz w:val="30"/>
          <w:szCs w:val="30"/>
        </w:rPr>
      </w:pPr>
      <w:r>
        <w:rPr>
          <w:rFonts w:ascii="Times New Roman" w:hAnsi="Times New Roman" w:eastAsia="仿宋_GB2312"/>
          <w:sz w:val="30"/>
          <w:szCs w:val="30"/>
        </w:rPr>
        <w:t>表5-2 澧县“十四五”脱贫主导特色规划重点项目资金筹措表</w:t>
      </w:r>
    </w:p>
    <w:tbl>
      <w:tblPr>
        <w:tblStyle w:val="3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86"/>
        <w:gridCol w:w="2804"/>
        <w:gridCol w:w="1244"/>
        <w:gridCol w:w="1358"/>
        <w:gridCol w:w="1358"/>
        <w:gridCol w:w="1358"/>
        <w:gridCol w:w="1358"/>
        <w:gridCol w:w="1358"/>
        <w:gridCol w:w="1358"/>
        <w:gridCol w:w="13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 w:type="pct"/>
            <w:vMerge w:val="restart"/>
            <w:vAlign w:val="center"/>
          </w:tcPr>
          <w:p>
            <w:pPr>
              <w:jc w:val="center"/>
              <w:rPr>
                <w:rFonts w:ascii="Times New Roman" w:hAnsi="Times New Roman" w:eastAsia="仿宋_GB2312"/>
                <w:b/>
                <w:sz w:val="24"/>
              </w:rPr>
            </w:pPr>
            <w:r>
              <w:rPr>
                <w:rFonts w:ascii="Times New Roman" w:hAnsi="Times New Roman" w:eastAsia="仿宋_GB2312"/>
                <w:b/>
                <w:sz w:val="24"/>
              </w:rPr>
              <w:t>序号</w:t>
            </w:r>
          </w:p>
        </w:tc>
        <w:tc>
          <w:tcPr>
            <w:tcW w:w="989" w:type="pct"/>
            <w:vMerge w:val="restart"/>
            <w:vAlign w:val="center"/>
          </w:tcPr>
          <w:p>
            <w:pPr>
              <w:jc w:val="center"/>
              <w:rPr>
                <w:rFonts w:ascii="Times New Roman" w:hAnsi="Times New Roman" w:eastAsia="仿宋_GB2312"/>
                <w:b/>
                <w:sz w:val="24"/>
              </w:rPr>
            </w:pPr>
            <w:r>
              <w:rPr>
                <w:rFonts w:ascii="Times New Roman" w:hAnsi="Times New Roman" w:eastAsia="仿宋_GB2312"/>
                <w:b/>
                <w:sz w:val="24"/>
              </w:rPr>
              <w:t>工程</w:t>
            </w:r>
          </w:p>
        </w:tc>
        <w:tc>
          <w:tcPr>
            <w:tcW w:w="439" w:type="pct"/>
            <w:vMerge w:val="restart"/>
            <w:vAlign w:val="center"/>
          </w:tcPr>
          <w:p>
            <w:pPr>
              <w:jc w:val="center"/>
              <w:rPr>
                <w:rFonts w:ascii="Times New Roman" w:hAnsi="Times New Roman" w:eastAsia="仿宋_GB2312"/>
                <w:b/>
                <w:sz w:val="24"/>
              </w:rPr>
            </w:pPr>
            <w:r>
              <w:rPr>
                <w:rFonts w:ascii="Times New Roman" w:hAnsi="Times New Roman" w:eastAsia="仿宋_GB2312"/>
                <w:b/>
                <w:sz w:val="24"/>
              </w:rPr>
              <w:t>总投资（亿元）</w:t>
            </w:r>
          </w:p>
        </w:tc>
        <w:tc>
          <w:tcPr>
            <w:tcW w:w="2874" w:type="pct"/>
            <w:gridSpan w:val="6"/>
            <w:vAlign w:val="center"/>
          </w:tcPr>
          <w:p>
            <w:pPr>
              <w:jc w:val="center"/>
              <w:rPr>
                <w:rFonts w:ascii="Times New Roman" w:hAnsi="Times New Roman" w:eastAsia="仿宋_GB2312"/>
                <w:b/>
                <w:sz w:val="24"/>
              </w:rPr>
            </w:pPr>
            <w:r>
              <w:rPr>
                <w:rFonts w:ascii="Times New Roman" w:hAnsi="Times New Roman" w:eastAsia="仿宋_GB2312"/>
                <w:b/>
                <w:sz w:val="24"/>
              </w:rPr>
              <w:t>资金筹措年度计划</w:t>
            </w:r>
          </w:p>
        </w:tc>
        <w:tc>
          <w:tcPr>
            <w:tcW w:w="491" w:type="pct"/>
            <w:vMerge w:val="restart"/>
            <w:vAlign w:val="center"/>
          </w:tcPr>
          <w:p>
            <w:pPr>
              <w:jc w:val="center"/>
              <w:rPr>
                <w:rFonts w:ascii="Times New Roman" w:hAnsi="Times New Roman" w:eastAsia="仿宋_GB2312"/>
                <w:b/>
                <w:sz w:val="24"/>
              </w:rPr>
            </w:pPr>
            <w:r>
              <w:rPr>
                <w:rFonts w:ascii="Times New Roman" w:hAnsi="Times New Roman" w:eastAsia="仿宋_GB2312"/>
                <w:b/>
                <w:sz w:val="24"/>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 w:type="pct"/>
            <w:vMerge w:val="continue"/>
            <w:vAlign w:val="center"/>
          </w:tcPr>
          <w:p>
            <w:pPr>
              <w:jc w:val="center"/>
              <w:rPr>
                <w:rFonts w:ascii="Times New Roman" w:hAnsi="Times New Roman" w:eastAsia="仿宋_GB2312"/>
                <w:b/>
                <w:sz w:val="24"/>
              </w:rPr>
            </w:pPr>
          </w:p>
        </w:tc>
        <w:tc>
          <w:tcPr>
            <w:tcW w:w="989" w:type="pct"/>
            <w:vMerge w:val="continue"/>
            <w:vAlign w:val="center"/>
          </w:tcPr>
          <w:p>
            <w:pPr>
              <w:jc w:val="center"/>
              <w:rPr>
                <w:rFonts w:ascii="Times New Roman" w:hAnsi="Times New Roman" w:eastAsia="仿宋_GB2312"/>
                <w:b/>
                <w:sz w:val="24"/>
              </w:rPr>
            </w:pPr>
          </w:p>
        </w:tc>
        <w:tc>
          <w:tcPr>
            <w:tcW w:w="439" w:type="pct"/>
            <w:vMerge w:val="continue"/>
            <w:vAlign w:val="center"/>
          </w:tcPr>
          <w:p>
            <w:pPr>
              <w:jc w:val="center"/>
              <w:rPr>
                <w:rFonts w:ascii="Times New Roman" w:hAnsi="Times New Roman" w:eastAsia="仿宋_GB2312"/>
                <w:b/>
                <w:sz w:val="24"/>
              </w:rPr>
            </w:pPr>
          </w:p>
        </w:tc>
        <w:tc>
          <w:tcPr>
            <w:tcW w:w="479" w:type="pct"/>
            <w:vAlign w:val="center"/>
          </w:tcPr>
          <w:p>
            <w:pPr>
              <w:jc w:val="center"/>
              <w:rPr>
                <w:rFonts w:ascii="Times New Roman" w:hAnsi="Times New Roman" w:eastAsia="仿宋_GB2312"/>
                <w:b/>
                <w:sz w:val="24"/>
              </w:rPr>
            </w:pPr>
            <w:r>
              <w:rPr>
                <w:rFonts w:ascii="Times New Roman" w:hAnsi="Times New Roman" w:eastAsia="仿宋_GB2312"/>
                <w:b/>
                <w:sz w:val="24"/>
              </w:rPr>
              <w:t>资金来源</w:t>
            </w:r>
          </w:p>
        </w:tc>
        <w:tc>
          <w:tcPr>
            <w:tcW w:w="479" w:type="pct"/>
            <w:vAlign w:val="center"/>
          </w:tcPr>
          <w:p>
            <w:pPr>
              <w:jc w:val="center"/>
              <w:rPr>
                <w:rFonts w:ascii="Times New Roman" w:hAnsi="Times New Roman" w:eastAsia="仿宋_GB2312"/>
                <w:b/>
                <w:sz w:val="24"/>
              </w:rPr>
            </w:pPr>
            <w:r>
              <w:rPr>
                <w:rFonts w:ascii="Times New Roman" w:hAnsi="Times New Roman" w:eastAsia="仿宋_GB2312"/>
                <w:b/>
                <w:sz w:val="24"/>
              </w:rPr>
              <w:t>2021</w:t>
            </w:r>
          </w:p>
        </w:tc>
        <w:tc>
          <w:tcPr>
            <w:tcW w:w="479" w:type="pct"/>
            <w:vAlign w:val="center"/>
          </w:tcPr>
          <w:p>
            <w:pPr>
              <w:jc w:val="center"/>
              <w:rPr>
                <w:rFonts w:ascii="Times New Roman" w:hAnsi="Times New Roman" w:eastAsia="仿宋_GB2312"/>
                <w:b/>
                <w:sz w:val="24"/>
              </w:rPr>
            </w:pPr>
            <w:r>
              <w:rPr>
                <w:rFonts w:ascii="Times New Roman" w:hAnsi="Times New Roman" w:eastAsia="仿宋_GB2312"/>
                <w:b/>
                <w:sz w:val="24"/>
              </w:rPr>
              <w:t>2022</w:t>
            </w:r>
          </w:p>
        </w:tc>
        <w:tc>
          <w:tcPr>
            <w:tcW w:w="479" w:type="pct"/>
            <w:vAlign w:val="center"/>
          </w:tcPr>
          <w:p>
            <w:pPr>
              <w:jc w:val="center"/>
              <w:rPr>
                <w:rFonts w:ascii="Times New Roman" w:hAnsi="Times New Roman" w:eastAsia="仿宋_GB2312"/>
                <w:b/>
                <w:sz w:val="24"/>
              </w:rPr>
            </w:pPr>
            <w:r>
              <w:rPr>
                <w:rFonts w:ascii="Times New Roman" w:hAnsi="Times New Roman" w:eastAsia="仿宋_GB2312"/>
                <w:b/>
                <w:sz w:val="24"/>
              </w:rPr>
              <w:t>2023</w:t>
            </w:r>
          </w:p>
        </w:tc>
        <w:tc>
          <w:tcPr>
            <w:tcW w:w="479" w:type="pct"/>
            <w:vAlign w:val="center"/>
          </w:tcPr>
          <w:p>
            <w:pPr>
              <w:jc w:val="center"/>
              <w:rPr>
                <w:rFonts w:ascii="Times New Roman" w:hAnsi="Times New Roman" w:eastAsia="仿宋_GB2312"/>
                <w:b/>
                <w:sz w:val="24"/>
              </w:rPr>
            </w:pPr>
            <w:r>
              <w:rPr>
                <w:rFonts w:ascii="Times New Roman" w:hAnsi="Times New Roman" w:eastAsia="仿宋_GB2312"/>
                <w:b/>
                <w:sz w:val="24"/>
              </w:rPr>
              <w:t>2024</w:t>
            </w:r>
          </w:p>
        </w:tc>
        <w:tc>
          <w:tcPr>
            <w:tcW w:w="479" w:type="pct"/>
            <w:vAlign w:val="center"/>
          </w:tcPr>
          <w:p>
            <w:pPr>
              <w:jc w:val="center"/>
              <w:rPr>
                <w:rFonts w:ascii="Times New Roman" w:hAnsi="Times New Roman" w:eastAsia="仿宋_GB2312"/>
                <w:b/>
                <w:sz w:val="24"/>
              </w:rPr>
            </w:pPr>
            <w:r>
              <w:rPr>
                <w:rFonts w:ascii="Times New Roman" w:hAnsi="Times New Roman" w:eastAsia="仿宋_GB2312"/>
                <w:b/>
                <w:sz w:val="24"/>
              </w:rPr>
              <w:t>2025</w:t>
            </w:r>
          </w:p>
        </w:tc>
        <w:tc>
          <w:tcPr>
            <w:tcW w:w="491" w:type="pct"/>
            <w:vMerge w:val="continue"/>
            <w:vAlign w:val="center"/>
          </w:tcPr>
          <w:p>
            <w:pPr>
              <w:jc w:val="center"/>
              <w:rPr>
                <w:rFonts w:ascii="Times New Roman" w:hAnsi="Times New Roman"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 w:type="pct"/>
            <w:vMerge w:val="restart"/>
            <w:vAlign w:val="center"/>
          </w:tcPr>
          <w:p>
            <w:pPr>
              <w:jc w:val="center"/>
              <w:rPr>
                <w:rFonts w:ascii="Times New Roman" w:hAnsi="Times New Roman" w:eastAsia="仿宋_GB2312"/>
                <w:sz w:val="24"/>
              </w:rPr>
            </w:pPr>
            <w:r>
              <w:rPr>
                <w:rFonts w:ascii="Times New Roman" w:hAnsi="Times New Roman" w:eastAsia="仿宋_GB2312"/>
                <w:sz w:val="24"/>
              </w:rPr>
              <w:t>1</w:t>
            </w:r>
          </w:p>
        </w:tc>
        <w:tc>
          <w:tcPr>
            <w:tcW w:w="989" w:type="pct"/>
            <w:vMerge w:val="restart"/>
            <w:vAlign w:val="center"/>
          </w:tcPr>
          <w:p>
            <w:pPr>
              <w:jc w:val="center"/>
              <w:rPr>
                <w:rFonts w:ascii="Times New Roman" w:hAnsi="Times New Roman" w:eastAsia="仿宋_GB2312"/>
                <w:sz w:val="24"/>
              </w:rPr>
            </w:pPr>
            <w:r>
              <w:rPr>
                <w:rFonts w:ascii="Times New Roman" w:hAnsi="Times New Roman" w:eastAsia="仿宋_GB2312"/>
                <w:sz w:val="24"/>
              </w:rPr>
              <w:t>特色农产品提质工程</w:t>
            </w:r>
          </w:p>
        </w:tc>
        <w:tc>
          <w:tcPr>
            <w:tcW w:w="439" w:type="pct"/>
            <w:vMerge w:val="restart"/>
            <w:vAlign w:val="center"/>
          </w:tcPr>
          <w:p>
            <w:pPr>
              <w:jc w:val="center"/>
              <w:rPr>
                <w:rFonts w:ascii="Times New Roman" w:hAnsi="Times New Roman" w:eastAsia="仿宋_GB2312"/>
                <w:sz w:val="24"/>
              </w:rPr>
            </w:pPr>
            <w:r>
              <w:rPr>
                <w:rFonts w:ascii="Times New Roman" w:hAnsi="Times New Roman" w:eastAsia="仿宋_GB2312"/>
                <w:sz w:val="24"/>
              </w:rPr>
              <w:t>53.40</w:t>
            </w:r>
          </w:p>
        </w:tc>
        <w:tc>
          <w:tcPr>
            <w:tcW w:w="479" w:type="pct"/>
            <w:vAlign w:val="center"/>
          </w:tcPr>
          <w:p>
            <w:pPr>
              <w:jc w:val="center"/>
              <w:rPr>
                <w:rFonts w:ascii="Times New Roman" w:hAnsi="Times New Roman" w:eastAsia="仿宋_GB2312"/>
                <w:sz w:val="24"/>
              </w:rPr>
            </w:pPr>
            <w:r>
              <w:rPr>
                <w:rFonts w:ascii="Times New Roman" w:hAnsi="Times New Roman" w:eastAsia="仿宋_GB2312"/>
                <w:sz w:val="24"/>
              </w:rPr>
              <w:t>地方配套</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0.50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0.45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0.49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0.39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0.30 </w:t>
            </w:r>
          </w:p>
        </w:tc>
        <w:tc>
          <w:tcPr>
            <w:tcW w:w="491" w:type="pct"/>
          </w:tcPr>
          <w:p>
            <w:pPr>
              <w:jc w:val="center"/>
              <w:rPr>
                <w:rFonts w:ascii="Times New Roman" w:hAnsi="Times New Roman" w:eastAsia="仿宋_GB2312"/>
                <w:sz w:val="24"/>
              </w:rPr>
            </w:pPr>
            <w:r>
              <w:rPr>
                <w:rFonts w:ascii="Times New Roman" w:hAnsi="Times New Roman" w:eastAsia="仿宋_GB2312"/>
                <w:sz w:val="24"/>
              </w:rPr>
              <w:t xml:space="preserve">2.13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 w:type="pct"/>
            <w:vMerge w:val="continue"/>
            <w:vAlign w:val="center"/>
          </w:tcPr>
          <w:p>
            <w:pPr>
              <w:jc w:val="center"/>
              <w:rPr>
                <w:rFonts w:ascii="Times New Roman" w:hAnsi="Times New Roman" w:eastAsia="仿宋_GB2312"/>
                <w:sz w:val="24"/>
              </w:rPr>
            </w:pPr>
          </w:p>
        </w:tc>
        <w:tc>
          <w:tcPr>
            <w:tcW w:w="989" w:type="pct"/>
            <w:vMerge w:val="continue"/>
            <w:vAlign w:val="center"/>
          </w:tcPr>
          <w:p>
            <w:pPr>
              <w:jc w:val="center"/>
              <w:rPr>
                <w:rFonts w:ascii="Times New Roman" w:hAnsi="Times New Roman" w:eastAsia="仿宋_GB2312"/>
                <w:sz w:val="24"/>
              </w:rPr>
            </w:pPr>
          </w:p>
        </w:tc>
        <w:tc>
          <w:tcPr>
            <w:tcW w:w="439" w:type="pct"/>
            <w:vMerge w:val="continue"/>
            <w:vAlign w:val="center"/>
          </w:tcPr>
          <w:p>
            <w:pPr>
              <w:jc w:val="center"/>
              <w:rPr>
                <w:rFonts w:ascii="Times New Roman" w:hAnsi="Times New Roman" w:eastAsia="仿宋_GB2312"/>
                <w:sz w:val="24"/>
              </w:rPr>
            </w:pPr>
          </w:p>
        </w:tc>
        <w:tc>
          <w:tcPr>
            <w:tcW w:w="479" w:type="pct"/>
            <w:vAlign w:val="center"/>
          </w:tcPr>
          <w:p>
            <w:pPr>
              <w:jc w:val="center"/>
              <w:rPr>
                <w:rFonts w:ascii="Times New Roman" w:hAnsi="Times New Roman" w:eastAsia="仿宋_GB2312"/>
                <w:sz w:val="24"/>
              </w:rPr>
            </w:pPr>
            <w:r>
              <w:rPr>
                <w:rFonts w:ascii="Times New Roman" w:hAnsi="Times New Roman" w:eastAsia="仿宋_GB2312"/>
                <w:sz w:val="24"/>
              </w:rPr>
              <w:t>企业自筹</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10.64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10.29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10.25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10.35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9.74 </w:t>
            </w:r>
          </w:p>
        </w:tc>
        <w:tc>
          <w:tcPr>
            <w:tcW w:w="491" w:type="pct"/>
          </w:tcPr>
          <w:p>
            <w:pPr>
              <w:jc w:val="center"/>
              <w:rPr>
                <w:rFonts w:ascii="Times New Roman" w:hAnsi="Times New Roman" w:eastAsia="仿宋_GB2312"/>
                <w:sz w:val="24"/>
              </w:rPr>
            </w:pPr>
            <w:r>
              <w:rPr>
                <w:rFonts w:ascii="Times New Roman" w:hAnsi="Times New Roman" w:eastAsia="仿宋_GB2312"/>
                <w:sz w:val="24"/>
              </w:rPr>
              <w:t xml:space="preserve">51.27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 w:type="pct"/>
            <w:vMerge w:val="restart"/>
            <w:vAlign w:val="center"/>
          </w:tcPr>
          <w:p>
            <w:pPr>
              <w:jc w:val="center"/>
              <w:rPr>
                <w:rFonts w:ascii="Times New Roman" w:hAnsi="Times New Roman" w:eastAsia="仿宋_GB2312"/>
                <w:sz w:val="24"/>
              </w:rPr>
            </w:pPr>
            <w:r>
              <w:rPr>
                <w:rFonts w:ascii="Times New Roman" w:hAnsi="Times New Roman" w:eastAsia="仿宋_GB2312"/>
                <w:sz w:val="24"/>
              </w:rPr>
              <w:t>2</w:t>
            </w:r>
          </w:p>
        </w:tc>
        <w:tc>
          <w:tcPr>
            <w:tcW w:w="989" w:type="pct"/>
            <w:vMerge w:val="restart"/>
            <w:vAlign w:val="center"/>
          </w:tcPr>
          <w:p>
            <w:pPr>
              <w:jc w:val="center"/>
              <w:rPr>
                <w:rFonts w:ascii="Times New Roman" w:hAnsi="Times New Roman" w:eastAsia="仿宋_GB2312"/>
                <w:sz w:val="24"/>
              </w:rPr>
            </w:pPr>
            <w:r>
              <w:rPr>
                <w:rFonts w:ascii="Times New Roman" w:hAnsi="Times New Roman" w:eastAsia="仿宋_GB2312"/>
                <w:sz w:val="24"/>
              </w:rPr>
              <w:t>农产品加工工程</w:t>
            </w:r>
          </w:p>
        </w:tc>
        <w:tc>
          <w:tcPr>
            <w:tcW w:w="439" w:type="pct"/>
            <w:vMerge w:val="restart"/>
            <w:vAlign w:val="center"/>
          </w:tcPr>
          <w:p>
            <w:pPr>
              <w:jc w:val="center"/>
              <w:rPr>
                <w:rFonts w:ascii="Times New Roman" w:hAnsi="Times New Roman" w:eastAsia="仿宋_GB2312"/>
                <w:sz w:val="24"/>
              </w:rPr>
            </w:pPr>
            <w:r>
              <w:rPr>
                <w:rFonts w:ascii="Times New Roman" w:hAnsi="Times New Roman" w:eastAsia="仿宋_GB2312"/>
                <w:sz w:val="24"/>
              </w:rPr>
              <w:t>44..50</w:t>
            </w:r>
          </w:p>
        </w:tc>
        <w:tc>
          <w:tcPr>
            <w:tcW w:w="479" w:type="pct"/>
            <w:vAlign w:val="center"/>
          </w:tcPr>
          <w:p>
            <w:pPr>
              <w:jc w:val="center"/>
              <w:rPr>
                <w:rFonts w:ascii="Times New Roman" w:hAnsi="Times New Roman" w:eastAsia="仿宋_GB2312"/>
                <w:sz w:val="24"/>
              </w:rPr>
            </w:pPr>
            <w:r>
              <w:rPr>
                <w:rFonts w:ascii="Times New Roman" w:hAnsi="Times New Roman" w:eastAsia="仿宋_GB2312"/>
                <w:sz w:val="24"/>
              </w:rPr>
              <w:t>地方配套</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0.32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0.27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0.27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0.27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0.27 </w:t>
            </w:r>
          </w:p>
        </w:tc>
        <w:tc>
          <w:tcPr>
            <w:tcW w:w="491" w:type="pct"/>
          </w:tcPr>
          <w:p>
            <w:pPr>
              <w:jc w:val="center"/>
              <w:rPr>
                <w:rFonts w:ascii="Times New Roman" w:hAnsi="Times New Roman" w:eastAsia="仿宋_GB2312"/>
                <w:sz w:val="24"/>
              </w:rPr>
            </w:pPr>
            <w:r>
              <w:rPr>
                <w:rFonts w:ascii="Times New Roman" w:hAnsi="Times New Roman" w:eastAsia="仿宋_GB2312"/>
                <w:sz w:val="24"/>
              </w:rPr>
              <w:t xml:space="preserve">1.40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 w:type="pct"/>
            <w:vMerge w:val="continue"/>
            <w:vAlign w:val="center"/>
          </w:tcPr>
          <w:p>
            <w:pPr>
              <w:jc w:val="center"/>
              <w:rPr>
                <w:rFonts w:ascii="Times New Roman" w:hAnsi="Times New Roman" w:eastAsia="仿宋_GB2312"/>
                <w:sz w:val="24"/>
              </w:rPr>
            </w:pPr>
          </w:p>
        </w:tc>
        <w:tc>
          <w:tcPr>
            <w:tcW w:w="989" w:type="pct"/>
            <w:vMerge w:val="continue"/>
            <w:vAlign w:val="center"/>
          </w:tcPr>
          <w:p>
            <w:pPr>
              <w:jc w:val="center"/>
              <w:rPr>
                <w:rFonts w:ascii="Times New Roman" w:hAnsi="Times New Roman" w:eastAsia="仿宋_GB2312"/>
                <w:sz w:val="24"/>
              </w:rPr>
            </w:pPr>
          </w:p>
        </w:tc>
        <w:tc>
          <w:tcPr>
            <w:tcW w:w="439" w:type="pct"/>
            <w:vMerge w:val="continue"/>
            <w:vAlign w:val="center"/>
          </w:tcPr>
          <w:p>
            <w:pPr>
              <w:jc w:val="center"/>
              <w:rPr>
                <w:rFonts w:ascii="Times New Roman" w:hAnsi="Times New Roman" w:eastAsia="仿宋_GB2312"/>
                <w:sz w:val="24"/>
              </w:rPr>
            </w:pPr>
          </w:p>
        </w:tc>
        <w:tc>
          <w:tcPr>
            <w:tcW w:w="479" w:type="pct"/>
            <w:vAlign w:val="center"/>
          </w:tcPr>
          <w:p>
            <w:pPr>
              <w:jc w:val="center"/>
              <w:rPr>
                <w:rFonts w:ascii="Times New Roman" w:hAnsi="Times New Roman" w:eastAsia="仿宋_GB2312"/>
                <w:sz w:val="24"/>
              </w:rPr>
            </w:pPr>
            <w:r>
              <w:rPr>
                <w:rFonts w:ascii="Times New Roman" w:hAnsi="Times New Roman" w:eastAsia="仿宋_GB2312"/>
                <w:sz w:val="24"/>
              </w:rPr>
              <w:t>企业自筹</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8.98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8.53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8.53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8.53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8.53 </w:t>
            </w:r>
          </w:p>
        </w:tc>
        <w:tc>
          <w:tcPr>
            <w:tcW w:w="491" w:type="pct"/>
          </w:tcPr>
          <w:p>
            <w:pPr>
              <w:jc w:val="center"/>
              <w:rPr>
                <w:rFonts w:ascii="Times New Roman" w:hAnsi="Times New Roman" w:eastAsia="仿宋_GB2312"/>
                <w:sz w:val="24"/>
              </w:rPr>
            </w:pPr>
            <w:r>
              <w:rPr>
                <w:rFonts w:ascii="Times New Roman" w:hAnsi="Times New Roman" w:eastAsia="仿宋_GB2312"/>
                <w:sz w:val="24"/>
              </w:rPr>
              <w:t xml:space="preserve">43.10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 w:type="pct"/>
            <w:vMerge w:val="restart"/>
            <w:vAlign w:val="center"/>
          </w:tcPr>
          <w:p>
            <w:pPr>
              <w:jc w:val="center"/>
              <w:rPr>
                <w:rFonts w:ascii="Times New Roman" w:hAnsi="Times New Roman" w:eastAsia="仿宋_GB2312"/>
                <w:sz w:val="24"/>
              </w:rPr>
            </w:pPr>
            <w:r>
              <w:rPr>
                <w:rFonts w:ascii="Times New Roman" w:hAnsi="Times New Roman" w:eastAsia="仿宋_GB2312"/>
                <w:sz w:val="24"/>
              </w:rPr>
              <w:t>3</w:t>
            </w:r>
          </w:p>
        </w:tc>
        <w:tc>
          <w:tcPr>
            <w:tcW w:w="989" w:type="pct"/>
            <w:vMerge w:val="restart"/>
            <w:vAlign w:val="center"/>
          </w:tcPr>
          <w:p>
            <w:pPr>
              <w:jc w:val="center"/>
              <w:rPr>
                <w:rFonts w:ascii="Times New Roman" w:hAnsi="Times New Roman" w:eastAsia="仿宋_GB2312"/>
                <w:sz w:val="24"/>
              </w:rPr>
            </w:pPr>
            <w:r>
              <w:rPr>
                <w:rFonts w:ascii="Times New Roman" w:hAnsi="Times New Roman" w:eastAsia="仿宋_GB2312"/>
                <w:sz w:val="24"/>
              </w:rPr>
              <w:t>农业基地建设工程</w:t>
            </w:r>
          </w:p>
        </w:tc>
        <w:tc>
          <w:tcPr>
            <w:tcW w:w="439" w:type="pct"/>
            <w:vMerge w:val="restart"/>
            <w:vAlign w:val="center"/>
          </w:tcPr>
          <w:p>
            <w:pPr>
              <w:jc w:val="center"/>
              <w:rPr>
                <w:rFonts w:ascii="Times New Roman" w:hAnsi="Times New Roman" w:eastAsia="仿宋_GB2312"/>
                <w:sz w:val="24"/>
              </w:rPr>
            </w:pPr>
            <w:r>
              <w:rPr>
                <w:rFonts w:ascii="Times New Roman" w:hAnsi="Times New Roman" w:eastAsia="仿宋_GB2312"/>
                <w:sz w:val="24"/>
              </w:rPr>
              <w:t>19.00</w:t>
            </w:r>
          </w:p>
        </w:tc>
        <w:tc>
          <w:tcPr>
            <w:tcW w:w="479" w:type="pct"/>
            <w:vAlign w:val="center"/>
          </w:tcPr>
          <w:p>
            <w:pPr>
              <w:jc w:val="center"/>
              <w:rPr>
                <w:rFonts w:ascii="Times New Roman" w:hAnsi="Times New Roman" w:eastAsia="仿宋_GB2312"/>
                <w:sz w:val="24"/>
              </w:rPr>
            </w:pPr>
            <w:r>
              <w:rPr>
                <w:rFonts w:ascii="Times New Roman" w:hAnsi="Times New Roman" w:eastAsia="仿宋_GB2312"/>
                <w:sz w:val="24"/>
              </w:rPr>
              <w:t>地方配套</w:t>
            </w:r>
          </w:p>
        </w:tc>
        <w:tc>
          <w:tcPr>
            <w:tcW w:w="479" w:type="pct"/>
          </w:tcPr>
          <w:p>
            <w:pPr>
              <w:jc w:val="center"/>
              <w:rPr>
                <w:rFonts w:ascii="Times New Roman" w:hAnsi="Times New Roman" w:eastAsia="仿宋_GB2312"/>
                <w:sz w:val="24"/>
              </w:rPr>
            </w:pPr>
            <w:r>
              <w:rPr>
                <w:rFonts w:ascii="Times New Roman" w:hAnsi="Times New Roman" w:eastAsia="仿宋_GB2312"/>
                <w:sz w:val="24"/>
              </w:rPr>
              <w:t>1.5</w:t>
            </w:r>
          </w:p>
        </w:tc>
        <w:tc>
          <w:tcPr>
            <w:tcW w:w="479" w:type="pct"/>
          </w:tcPr>
          <w:p>
            <w:pPr>
              <w:jc w:val="center"/>
              <w:rPr>
                <w:rFonts w:ascii="Times New Roman" w:hAnsi="Times New Roman" w:eastAsia="仿宋_GB2312"/>
                <w:sz w:val="24"/>
              </w:rPr>
            </w:pPr>
            <w:r>
              <w:rPr>
                <w:rFonts w:ascii="Times New Roman" w:hAnsi="Times New Roman" w:eastAsia="仿宋_GB2312"/>
                <w:sz w:val="24"/>
              </w:rPr>
              <w:t>1.5</w:t>
            </w:r>
          </w:p>
        </w:tc>
        <w:tc>
          <w:tcPr>
            <w:tcW w:w="479" w:type="pct"/>
          </w:tcPr>
          <w:p>
            <w:pPr>
              <w:jc w:val="center"/>
              <w:rPr>
                <w:rFonts w:ascii="Times New Roman" w:hAnsi="Times New Roman" w:eastAsia="仿宋_GB2312"/>
                <w:sz w:val="24"/>
              </w:rPr>
            </w:pPr>
            <w:r>
              <w:rPr>
                <w:rFonts w:ascii="Times New Roman" w:hAnsi="Times New Roman" w:eastAsia="仿宋_GB2312"/>
                <w:sz w:val="24"/>
              </w:rPr>
              <w:t>1.5</w:t>
            </w:r>
          </w:p>
        </w:tc>
        <w:tc>
          <w:tcPr>
            <w:tcW w:w="479" w:type="pct"/>
          </w:tcPr>
          <w:p>
            <w:pPr>
              <w:jc w:val="center"/>
              <w:rPr>
                <w:rFonts w:ascii="Times New Roman" w:hAnsi="Times New Roman" w:eastAsia="仿宋_GB2312"/>
                <w:sz w:val="24"/>
              </w:rPr>
            </w:pPr>
            <w:r>
              <w:rPr>
                <w:rFonts w:ascii="Times New Roman" w:hAnsi="Times New Roman" w:eastAsia="仿宋_GB2312"/>
                <w:sz w:val="24"/>
              </w:rPr>
              <w:t>1.5</w:t>
            </w:r>
          </w:p>
        </w:tc>
        <w:tc>
          <w:tcPr>
            <w:tcW w:w="479" w:type="pct"/>
          </w:tcPr>
          <w:p>
            <w:pPr>
              <w:jc w:val="center"/>
              <w:rPr>
                <w:rFonts w:ascii="Times New Roman" w:hAnsi="Times New Roman" w:eastAsia="仿宋_GB2312"/>
                <w:sz w:val="24"/>
              </w:rPr>
            </w:pPr>
            <w:r>
              <w:rPr>
                <w:rFonts w:ascii="Times New Roman" w:hAnsi="Times New Roman" w:eastAsia="仿宋_GB2312"/>
                <w:sz w:val="24"/>
              </w:rPr>
              <w:t>1.5</w:t>
            </w:r>
          </w:p>
        </w:tc>
        <w:tc>
          <w:tcPr>
            <w:tcW w:w="491" w:type="pct"/>
          </w:tcPr>
          <w:p>
            <w:pPr>
              <w:jc w:val="center"/>
              <w:rPr>
                <w:rFonts w:ascii="Times New Roman" w:hAnsi="Times New Roman" w:eastAsia="仿宋_GB2312"/>
                <w:sz w:val="24"/>
              </w:rPr>
            </w:pPr>
            <w:r>
              <w:rPr>
                <w:rFonts w:ascii="Times New Roman" w:hAnsi="Times New Roman" w:eastAsia="仿宋_GB2312"/>
                <w:sz w:val="24"/>
              </w:rPr>
              <w:t xml:space="preserve">7.50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 w:type="pct"/>
            <w:vMerge w:val="continue"/>
            <w:vAlign w:val="center"/>
          </w:tcPr>
          <w:p>
            <w:pPr>
              <w:jc w:val="center"/>
              <w:rPr>
                <w:rFonts w:ascii="Times New Roman" w:hAnsi="Times New Roman" w:eastAsia="仿宋_GB2312"/>
                <w:sz w:val="24"/>
              </w:rPr>
            </w:pPr>
          </w:p>
        </w:tc>
        <w:tc>
          <w:tcPr>
            <w:tcW w:w="989" w:type="pct"/>
            <w:vMerge w:val="continue"/>
            <w:vAlign w:val="center"/>
          </w:tcPr>
          <w:p>
            <w:pPr>
              <w:jc w:val="center"/>
              <w:rPr>
                <w:rFonts w:ascii="Times New Roman" w:hAnsi="Times New Roman" w:eastAsia="仿宋_GB2312"/>
                <w:sz w:val="24"/>
              </w:rPr>
            </w:pPr>
          </w:p>
        </w:tc>
        <w:tc>
          <w:tcPr>
            <w:tcW w:w="439" w:type="pct"/>
            <w:vMerge w:val="continue"/>
            <w:vAlign w:val="center"/>
          </w:tcPr>
          <w:p>
            <w:pPr>
              <w:jc w:val="center"/>
              <w:rPr>
                <w:rFonts w:ascii="Times New Roman" w:hAnsi="Times New Roman" w:eastAsia="仿宋_GB2312"/>
                <w:sz w:val="24"/>
              </w:rPr>
            </w:pPr>
          </w:p>
        </w:tc>
        <w:tc>
          <w:tcPr>
            <w:tcW w:w="479" w:type="pct"/>
            <w:vAlign w:val="center"/>
          </w:tcPr>
          <w:p>
            <w:pPr>
              <w:jc w:val="center"/>
              <w:rPr>
                <w:rFonts w:ascii="Times New Roman" w:hAnsi="Times New Roman" w:eastAsia="仿宋_GB2312"/>
                <w:sz w:val="24"/>
              </w:rPr>
            </w:pPr>
            <w:r>
              <w:rPr>
                <w:rFonts w:ascii="Times New Roman" w:hAnsi="Times New Roman" w:eastAsia="仿宋_GB2312"/>
                <w:sz w:val="24"/>
              </w:rPr>
              <w:t>企业自筹</w:t>
            </w:r>
          </w:p>
        </w:tc>
        <w:tc>
          <w:tcPr>
            <w:tcW w:w="479" w:type="pct"/>
          </w:tcPr>
          <w:p>
            <w:pPr>
              <w:jc w:val="center"/>
              <w:rPr>
                <w:rFonts w:ascii="Times New Roman" w:hAnsi="Times New Roman" w:eastAsia="仿宋_GB2312"/>
                <w:sz w:val="24"/>
              </w:rPr>
            </w:pPr>
            <w:r>
              <w:rPr>
                <w:rFonts w:ascii="Times New Roman" w:hAnsi="Times New Roman" w:eastAsia="仿宋_GB2312"/>
                <w:sz w:val="24"/>
              </w:rPr>
              <w:t>2.3</w:t>
            </w:r>
          </w:p>
        </w:tc>
        <w:tc>
          <w:tcPr>
            <w:tcW w:w="479" w:type="pct"/>
          </w:tcPr>
          <w:p>
            <w:pPr>
              <w:jc w:val="center"/>
              <w:rPr>
                <w:rFonts w:ascii="Times New Roman" w:hAnsi="Times New Roman" w:eastAsia="仿宋_GB2312"/>
                <w:sz w:val="24"/>
              </w:rPr>
            </w:pPr>
            <w:r>
              <w:rPr>
                <w:rFonts w:ascii="Times New Roman" w:hAnsi="Times New Roman" w:eastAsia="仿宋_GB2312"/>
                <w:sz w:val="24"/>
              </w:rPr>
              <w:t>2.3</w:t>
            </w:r>
          </w:p>
        </w:tc>
        <w:tc>
          <w:tcPr>
            <w:tcW w:w="479" w:type="pct"/>
          </w:tcPr>
          <w:p>
            <w:pPr>
              <w:jc w:val="center"/>
              <w:rPr>
                <w:rFonts w:ascii="Times New Roman" w:hAnsi="Times New Roman" w:eastAsia="仿宋_GB2312"/>
                <w:sz w:val="24"/>
              </w:rPr>
            </w:pPr>
            <w:r>
              <w:rPr>
                <w:rFonts w:ascii="Times New Roman" w:hAnsi="Times New Roman" w:eastAsia="仿宋_GB2312"/>
                <w:sz w:val="24"/>
              </w:rPr>
              <w:t>2.3</w:t>
            </w:r>
          </w:p>
        </w:tc>
        <w:tc>
          <w:tcPr>
            <w:tcW w:w="479" w:type="pct"/>
          </w:tcPr>
          <w:p>
            <w:pPr>
              <w:jc w:val="center"/>
              <w:rPr>
                <w:rFonts w:ascii="Times New Roman" w:hAnsi="Times New Roman" w:eastAsia="仿宋_GB2312"/>
                <w:sz w:val="24"/>
              </w:rPr>
            </w:pPr>
            <w:r>
              <w:rPr>
                <w:rFonts w:ascii="Times New Roman" w:hAnsi="Times New Roman" w:eastAsia="仿宋_GB2312"/>
                <w:sz w:val="24"/>
              </w:rPr>
              <w:t>2.3</w:t>
            </w:r>
          </w:p>
        </w:tc>
        <w:tc>
          <w:tcPr>
            <w:tcW w:w="479" w:type="pct"/>
          </w:tcPr>
          <w:p>
            <w:pPr>
              <w:jc w:val="center"/>
              <w:rPr>
                <w:rFonts w:ascii="Times New Roman" w:hAnsi="Times New Roman" w:eastAsia="仿宋_GB2312"/>
                <w:sz w:val="24"/>
              </w:rPr>
            </w:pPr>
            <w:r>
              <w:rPr>
                <w:rFonts w:ascii="Times New Roman" w:hAnsi="Times New Roman" w:eastAsia="仿宋_GB2312"/>
                <w:sz w:val="24"/>
              </w:rPr>
              <w:t>2.3</w:t>
            </w:r>
          </w:p>
        </w:tc>
        <w:tc>
          <w:tcPr>
            <w:tcW w:w="491" w:type="pct"/>
          </w:tcPr>
          <w:p>
            <w:pPr>
              <w:jc w:val="center"/>
              <w:rPr>
                <w:rFonts w:ascii="Times New Roman" w:hAnsi="Times New Roman" w:eastAsia="仿宋_GB2312"/>
                <w:sz w:val="24"/>
              </w:rPr>
            </w:pPr>
            <w:r>
              <w:rPr>
                <w:rFonts w:ascii="Times New Roman" w:hAnsi="Times New Roman" w:eastAsia="仿宋_GB2312"/>
                <w:sz w:val="24"/>
              </w:rPr>
              <w:t xml:space="preserve">11.50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 w:type="pct"/>
            <w:vMerge w:val="restart"/>
            <w:vAlign w:val="center"/>
          </w:tcPr>
          <w:p>
            <w:pPr>
              <w:jc w:val="center"/>
              <w:rPr>
                <w:rFonts w:ascii="Times New Roman" w:hAnsi="Times New Roman" w:eastAsia="仿宋_GB2312"/>
                <w:sz w:val="24"/>
              </w:rPr>
            </w:pPr>
            <w:r>
              <w:rPr>
                <w:rFonts w:ascii="Times New Roman" w:hAnsi="Times New Roman" w:eastAsia="仿宋_GB2312"/>
                <w:sz w:val="24"/>
              </w:rPr>
              <w:t>4</w:t>
            </w:r>
          </w:p>
        </w:tc>
        <w:tc>
          <w:tcPr>
            <w:tcW w:w="989" w:type="pct"/>
            <w:vMerge w:val="restart"/>
            <w:vAlign w:val="center"/>
          </w:tcPr>
          <w:p>
            <w:pPr>
              <w:jc w:val="center"/>
              <w:rPr>
                <w:rFonts w:ascii="Times New Roman" w:hAnsi="Times New Roman" w:eastAsia="仿宋_GB2312"/>
                <w:sz w:val="24"/>
              </w:rPr>
            </w:pPr>
            <w:r>
              <w:rPr>
                <w:rFonts w:ascii="Times New Roman" w:hAnsi="Times New Roman" w:eastAsia="仿宋_GB2312"/>
                <w:sz w:val="24"/>
              </w:rPr>
              <w:t>休闲农业发展工程</w:t>
            </w:r>
          </w:p>
        </w:tc>
        <w:tc>
          <w:tcPr>
            <w:tcW w:w="439" w:type="pct"/>
            <w:vMerge w:val="restart"/>
            <w:vAlign w:val="center"/>
          </w:tcPr>
          <w:p>
            <w:pPr>
              <w:jc w:val="center"/>
              <w:rPr>
                <w:rFonts w:ascii="Times New Roman" w:hAnsi="Times New Roman" w:eastAsia="仿宋_GB2312"/>
                <w:sz w:val="24"/>
              </w:rPr>
            </w:pPr>
            <w:r>
              <w:rPr>
                <w:rFonts w:ascii="Times New Roman" w:hAnsi="Times New Roman" w:eastAsia="仿宋_GB2312"/>
                <w:sz w:val="24"/>
              </w:rPr>
              <w:t>20.00</w:t>
            </w:r>
          </w:p>
        </w:tc>
        <w:tc>
          <w:tcPr>
            <w:tcW w:w="479" w:type="pct"/>
            <w:vAlign w:val="center"/>
          </w:tcPr>
          <w:p>
            <w:pPr>
              <w:jc w:val="center"/>
              <w:rPr>
                <w:rFonts w:ascii="Times New Roman" w:hAnsi="Times New Roman" w:eastAsia="仿宋_GB2312"/>
                <w:sz w:val="24"/>
              </w:rPr>
            </w:pPr>
            <w:r>
              <w:rPr>
                <w:rFonts w:ascii="Times New Roman" w:hAnsi="Times New Roman" w:eastAsia="仿宋_GB2312"/>
                <w:sz w:val="24"/>
              </w:rPr>
              <w:t>地方配套</w:t>
            </w:r>
          </w:p>
        </w:tc>
        <w:tc>
          <w:tcPr>
            <w:tcW w:w="479" w:type="pct"/>
          </w:tcPr>
          <w:p>
            <w:pPr>
              <w:jc w:val="center"/>
              <w:rPr>
                <w:rFonts w:ascii="Times New Roman" w:hAnsi="Times New Roman" w:eastAsia="仿宋_GB2312"/>
                <w:sz w:val="24"/>
              </w:rPr>
            </w:pPr>
            <w:r>
              <w:rPr>
                <w:rFonts w:ascii="Times New Roman" w:hAnsi="Times New Roman" w:eastAsia="仿宋_GB2312"/>
                <w:sz w:val="24"/>
              </w:rPr>
              <w:t>0.6</w:t>
            </w:r>
          </w:p>
        </w:tc>
        <w:tc>
          <w:tcPr>
            <w:tcW w:w="479" w:type="pct"/>
          </w:tcPr>
          <w:p>
            <w:pPr>
              <w:jc w:val="center"/>
              <w:rPr>
                <w:rFonts w:ascii="Times New Roman" w:hAnsi="Times New Roman" w:eastAsia="仿宋_GB2312"/>
                <w:sz w:val="24"/>
              </w:rPr>
            </w:pPr>
            <w:r>
              <w:rPr>
                <w:rFonts w:ascii="Times New Roman" w:hAnsi="Times New Roman" w:eastAsia="仿宋_GB2312"/>
                <w:sz w:val="24"/>
              </w:rPr>
              <w:t>0.6</w:t>
            </w:r>
          </w:p>
        </w:tc>
        <w:tc>
          <w:tcPr>
            <w:tcW w:w="479" w:type="pct"/>
          </w:tcPr>
          <w:p>
            <w:pPr>
              <w:jc w:val="center"/>
              <w:rPr>
                <w:rFonts w:ascii="Times New Roman" w:hAnsi="Times New Roman" w:eastAsia="仿宋_GB2312"/>
                <w:sz w:val="24"/>
              </w:rPr>
            </w:pPr>
            <w:r>
              <w:rPr>
                <w:rFonts w:ascii="Times New Roman" w:hAnsi="Times New Roman" w:eastAsia="仿宋_GB2312"/>
                <w:sz w:val="24"/>
              </w:rPr>
              <w:t>0.6</w:t>
            </w:r>
          </w:p>
        </w:tc>
        <w:tc>
          <w:tcPr>
            <w:tcW w:w="479" w:type="pct"/>
          </w:tcPr>
          <w:p>
            <w:pPr>
              <w:jc w:val="center"/>
              <w:rPr>
                <w:rFonts w:ascii="Times New Roman" w:hAnsi="Times New Roman" w:eastAsia="仿宋_GB2312"/>
                <w:sz w:val="24"/>
              </w:rPr>
            </w:pPr>
            <w:r>
              <w:rPr>
                <w:rFonts w:ascii="Times New Roman" w:hAnsi="Times New Roman" w:eastAsia="仿宋_GB2312"/>
                <w:sz w:val="24"/>
              </w:rPr>
              <w:t>0.6</w:t>
            </w:r>
          </w:p>
        </w:tc>
        <w:tc>
          <w:tcPr>
            <w:tcW w:w="479" w:type="pct"/>
          </w:tcPr>
          <w:p>
            <w:pPr>
              <w:jc w:val="center"/>
              <w:rPr>
                <w:rFonts w:ascii="Times New Roman" w:hAnsi="Times New Roman" w:eastAsia="仿宋_GB2312"/>
                <w:sz w:val="24"/>
              </w:rPr>
            </w:pPr>
            <w:r>
              <w:rPr>
                <w:rFonts w:ascii="Times New Roman" w:hAnsi="Times New Roman" w:eastAsia="仿宋_GB2312"/>
                <w:sz w:val="24"/>
              </w:rPr>
              <w:t>0.6</w:t>
            </w:r>
          </w:p>
        </w:tc>
        <w:tc>
          <w:tcPr>
            <w:tcW w:w="491" w:type="pct"/>
          </w:tcPr>
          <w:p>
            <w:pPr>
              <w:jc w:val="center"/>
              <w:rPr>
                <w:rFonts w:ascii="Times New Roman" w:hAnsi="Times New Roman" w:eastAsia="仿宋_GB2312"/>
                <w:sz w:val="24"/>
              </w:rPr>
            </w:pPr>
            <w:r>
              <w:rPr>
                <w:rFonts w:ascii="Times New Roman" w:hAnsi="Times New Roman" w:eastAsia="仿宋_GB2312"/>
                <w:sz w:val="24"/>
              </w:rPr>
              <w:t xml:space="preserve">3.00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 w:type="pct"/>
            <w:vMerge w:val="continue"/>
            <w:vAlign w:val="center"/>
          </w:tcPr>
          <w:p>
            <w:pPr>
              <w:jc w:val="center"/>
              <w:rPr>
                <w:rFonts w:ascii="Times New Roman" w:hAnsi="Times New Roman" w:eastAsia="仿宋_GB2312"/>
                <w:sz w:val="24"/>
              </w:rPr>
            </w:pPr>
          </w:p>
        </w:tc>
        <w:tc>
          <w:tcPr>
            <w:tcW w:w="989" w:type="pct"/>
            <w:vMerge w:val="continue"/>
            <w:vAlign w:val="center"/>
          </w:tcPr>
          <w:p>
            <w:pPr>
              <w:jc w:val="center"/>
              <w:rPr>
                <w:rFonts w:ascii="Times New Roman" w:hAnsi="Times New Roman" w:eastAsia="仿宋_GB2312"/>
                <w:sz w:val="24"/>
              </w:rPr>
            </w:pPr>
          </w:p>
        </w:tc>
        <w:tc>
          <w:tcPr>
            <w:tcW w:w="439" w:type="pct"/>
            <w:vMerge w:val="continue"/>
            <w:vAlign w:val="center"/>
          </w:tcPr>
          <w:p>
            <w:pPr>
              <w:jc w:val="center"/>
              <w:rPr>
                <w:rFonts w:ascii="Times New Roman" w:hAnsi="Times New Roman" w:eastAsia="仿宋_GB2312"/>
                <w:sz w:val="24"/>
              </w:rPr>
            </w:pPr>
          </w:p>
        </w:tc>
        <w:tc>
          <w:tcPr>
            <w:tcW w:w="479" w:type="pct"/>
            <w:vAlign w:val="center"/>
          </w:tcPr>
          <w:p>
            <w:pPr>
              <w:jc w:val="center"/>
              <w:rPr>
                <w:rFonts w:ascii="Times New Roman" w:hAnsi="Times New Roman" w:eastAsia="仿宋_GB2312"/>
                <w:sz w:val="24"/>
              </w:rPr>
            </w:pPr>
            <w:r>
              <w:rPr>
                <w:rFonts w:ascii="Times New Roman" w:hAnsi="Times New Roman" w:eastAsia="仿宋_GB2312"/>
                <w:sz w:val="24"/>
              </w:rPr>
              <w:t>企业自筹</w:t>
            </w:r>
          </w:p>
        </w:tc>
        <w:tc>
          <w:tcPr>
            <w:tcW w:w="479" w:type="pct"/>
          </w:tcPr>
          <w:p>
            <w:pPr>
              <w:jc w:val="center"/>
              <w:rPr>
                <w:rFonts w:ascii="Times New Roman" w:hAnsi="Times New Roman" w:eastAsia="仿宋_GB2312"/>
                <w:sz w:val="24"/>
              </w:rPr>
            </w:pPr>
            <w:r>
              <w:rPr>
                <w:rFonts w:ascii="Times New Roman" w:hAnsi="Times New Roman" w:eastAsia="仿宋_GB2312"/>
                <w:sz w:val="24"/>
              </w:rPr>
              <w:t>3.4</w:t>
            </w:r>
          </w:p>
        </w:tc>
        <w:tc>
          <w:tcPr>
            <w:tcW w:w="479" w:type="pct"/>
          </w:tcPr>
          <w:p>
            <w:pPr>
              <w:jc w:val="center"/>
              <w:rPr>
                <w:rFonts w:ascii="Times New Roman" w:hAnsi="Times New Roman" w:eastAsia="仿宋_GB2312"/>
                <w:sz w:val="24"/>
              </w:rPr>
            </w:pPr>
            <w:r>
              <w:rPr>
                <w:rFonts w:ascii="Times New Roman" w:hAnsi="Times New Roman" w:eastAsia="仿宋_GB2312"/>
                <w:sz w:val="24"/>
              </w:rPr>
              <w:t>3.4</w:t>
            </w:r>
          </w:p>
        </w:tc>
        <w:tc>
          <w:tcPr>
            <w:tcW w:w="479" w:type="pct"/>
          </w:tcPr>
          <w:p>
            <w:pPr>
              <w:jc w:val="center"/>
              <w:rPr>
                <w:rFonts w:ascii="Times New Roman" w:hAnsi="Times New Roman" w:eastAsia="仿宋_GB2312"/>
                <w:sz w:val="24"/>
              </w:rPr>
            </w:pPr>
            <w:r>
              <w:rPr>
                <w:rFonts w:ascii="Times New Roman" w:hAnsi="Times New Roman" w:eastAsia="仿宋_GB2312"/>
                <w:sz w:val="24"/>
              </w:rPr>
              <w:t>3.4</w:t>
            </w:r>
          </w:p>
        </w:tc>
        <w:tc>
          <w:tcPr>
            <w:tcW w:w="479" w:type="pct"/>
          </w:tcPr>
          <w:p>
            <w:pPr>
              <w:jc w:val="center"/>
              <w:rPr>
                <w:rFonts w:ascii="Times New Roman" w:hAnsi="Times New Roman" w:eastAsia="仿宋_GB2312"/>
                <w:sz w:val="24"/>
              </w:rPr>
            </w:pPr>
            <w:r>
              <w:rPr>
                <w:rFonts w:ascii="Times New Roman" w:hAnsi="Times New Roman" w:eastAsia="仿宋_GB2312"/>
                <w:sz w:val="24"/>
              </w:rPr>
              <w:t>3.4</w:t>
            </w:r>
          </w:p>
        </w:tc>
        <w:tc>
          <w:tcPr>
            <w:tcW w:w="479" w:type="pct"/>
          </w:tcPr>
          <w:p>
            <w:pPr>
              <w:jc w:val="center"/>
              <w:rPr>
                <w:rFonts w:ascii="Times New Roman" w:hAnsi="Times New Roman" w:eastAsia="仿宋_GB2312"/>
                <w:sz w:val="24"/>
              </w:rPr>
            </w:pPr>
            <w:r>
              <w:rPr>
                <w:rFonts w:ascii="Times New Roman" w:hAnsi="Times New Roman" w:eastAsia="仿宋_GB2312"/>
                <w:sz w:val="24"/>
              </w:rPr>
              <w:t>3.4</w:t>
            </w:r>
          </w:p>
        </w:tc>
        <w:tc>
          <w:tcPr>
            <w:tcW w:w="491" w:type="pct"/>
          </w:tcPr>
          <w:p>
            <w:pPr>
              <w:jc w:val="center"/>
              <w:rPr>
                <w:rFonts w:ascii="Times New Roman" w:hAnsi="Times New Roman" w:eastAsia="仿宋_GB2312"/>
                <w:sz w:val="24"/>
              </w:rPr>
            </w:pPr>
            <w:r>
              <w:rPr>
                <w:rFonts w:ascii="Times New Roman" w:hAnsi="Times New Roman" w:eastAsia="仿宋_GB2312"/>
                <w:sz w:val="24"/>
              </w:rPr>
              <w:t xml:space="preserve">17.00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 w:type="pct"/>
            <w:vMerge w:val="restart"/>
            <w:vAlign w:val="center"/>
          </w:tcPr>
          <w:p>
            <w:pPr>
              <w:jc w:val="center"/>
              <w:rPr>
                <w:rFonts w:ascii="Times New Roman" w:hAnsi="Times New Roman" w:eastAsia="仿宋_GB2312"/>
                <w:sz w:val="24"/>
              </w:rPr>
            </w:pPr>
            <w:r>
              <w:rPr>
                <w:rFonts w:ascii="Times New Roman" w:hAnsi="Times New Roman" w:eastAsia="仿宋_GB2312"/>
                <w:sz w:val="24"/>
              </w:rPr>
              <w:t>5</w:t>
            </w:r>
          </w:p>
        </w:tc>
        <w:tc>
          <w:tcPr>
            <w:tcW w:w="989" w:type="pct"/>
            <w:vMerge w:val="restart"/>
            <w:vAlign w:val="center"/>
          </w:tcPr>
          <w:p>
            <w:pPr>
              <w:jc w:val="center"/>
              <w:rPr>
                <w:rFonts w:ascii="Times New Roman" w:hAnsi="Times New Roman" w:eastAsia="仿宋_GB2312"/>
                <w:sz w:val="24"/>
              </w:rPr>
            </w:pPr>
            <w:r>
              <w:rPr>
                <w:rFonts w:ascii="Times New Roman" w:hAnsi="Times New Roman" w:eastAsia="仿宋_GB2312"/>
                <w:sz w:val="24"/>
              </w:rPr>
              <w:t>农业产业园建设工程</w:t>
            </w:r>
          </w:p>
        </w:tc>
        <w:tc>
          <w:tcPr>
            <w:tcW w:w="439" w:type="pct"/>
            <w:vMerge w:val="restart"/>
            <w:vAlign w:val="center"/>
          </w:tcPr>
          <w:p>
            <w:pPr>
              <w:jc w:val="center"/>
              <w:rPr>
                <w:rFonts w:ascii="Times New Roman" w:hAnsi="Times New Roman" w:eastAsia="仿宋_GB2312"/>
                <w:sz w:val="24"/>
              </w:rPr>
            </w:pPr>
            <w:r>
              <w:rPr>
                <w:rFonts w:ascii="Times New Roman" w:hAnsi="Times New Roman" w:eastAsia="仿宋_GB2312"/>
                <w:sz w:val="24"/>
              </w:rPr>
              <w:t>41.30</w:t>
            </w:r>
          </w:p>
        </w:tc>
        <w:tc>
          <w:tcPr>
            <w:tcW w:w="479" w:type="pct"/>
            <w:vAlign w:val="center"/>
          </w:tcPr>
          <w:p>
            <w:pPr>
              <w:jc w:val="center"/>
              <w:rPr>
                <w:rFonts w:ascii="Times New Roman" w:hAnsi="Times New Roman" w:eastAsia="仿宋_GB2312"/>
                <w:sz w:val="24"/>
              </w:rPr>
            </w:pPr>
            <w:r>
              <w:rPr>
                <w:rFonts w:ascii="Times New Roman" w:hAnsi="Times New Roman" w:eastAsia="仿宋_GB2312"/>
                <w:sz w:val="24"/>
              </w:rPr>
              <w:t>地方配套</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0.70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0.70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0.70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0.50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0.50 </w:t>
            </w:r>
          </w:p>
        </w:tc>
        <w:tc>
          <w:tcPr>
            <w:tcW w:w="491" w:type="pct"/>
          </w:tcPr>
          <w:p>
            <w:pPr>
              <w:jc w:val="center"/>
              <w:rPr>
                <w:rFonts w:ascii="Times New Roman" w:hAnsi="Times New Roman" w:eastAsia="仿宋_GB2312"/>
                <w:sz w:val="24"/>
              </w:rPr>
            </w:pPr>
            <w:r>
              <w:rPr>
                <w:rFonts w:ascii="Times New Roman" w:hAnsi="Times New Roman" w:eastAsia="仿宋_GB2312"/>
                <w:sz w:val="24"/>
              </w:rPr>
              <w:t xml:space="preserve">3.10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 w:type="pct"/>
            <w:vMerge w:val="continue"/>
            <w:vAlign w:val="center"/>
          </w:tcPr>
          <w:p>
            <w:pPr>
              <w:jc w:val="center"/>
              <w:rPr>
                <w:rFonts w:ascii="Times New Roman" w:hAnsi="Times New Roman" w:eastAsia="仿宋_GB2312"/>
                <w:sz w:val="24"/>
              </w:rPr>
            </w:pPr>
          </w:p>
        </w:tc>
        <w:tc>
          <w:tcPr>
            <w:tcW w:w="989" w:type="pct"/>
            <w:vMerge w:val="continue"/>
            <w:vAlign w:val="center"/>
          </w:tcPr>
          <w:p>
            <w:pPr>
              <w:jc w:val="center"/>
              <w:rPr>
                <w:rFonts w:ascii="Times New Roman" w:hAnsi="Times New Roman" w:eastAsia="仿宋_GB2312"/>
                <w:sz w:val="24"/>
              </w:rPr>
            </w:pPr>
          </w:p>
        </w:tc>
        <w:tc>
          <w:tcPr>
            <w:tcW w:w="439" w:type="pct"/>
            <w:vMerge w:val="continue"/>
            <w:vAlign w:val="center"/>
          </w:tcPr>
          <w:p>
            <w:pPr>
              <w:jc w:val="center"/>
              <w:rPr>
                <w:rFonts w:ascii="Times New Roman" w:hAnsi="Times New Roman" w:eastAsia="仿宋_GB2312"/>
                <w:sz w:val="24"/>
              </w:rPr>
            </w:pPr>
          </w:p>
        </w:tc>
        <w:tc>
          <w:tcPr>
            <w:tcW w:w="479" w:type="pct"/>
            <w:vAlign w:val="center"/>
          </w:tcPr>
          <w:p>
            <w:pPr>
              <w:jc w:val="center"/>
              <w:rPr>
                <w:rFonts w:ascii="Times New Roman" w:hAnsi="Times New Roman" w:eastAsia="仿宋_GB2312"/>
                <w:sz w:val="24"/>
              </w:rPr>
            </w:pPr>
            <w:r>
              <w:rPr>
                <w:rFonts w:ascii="Times New Roman" w:hAnsi="Times New Roman" w:eastAsia="仿宋_GB2312"/>
                <w:sz w:val="24"/>
              </w:rPr>
              <w:t>企业自筹</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7.60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7.60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7.60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7.80 </w:t>
            </w:r>
          </w:p>
        </w:tc>
        <w:tc>
          <w:tcPr>
            <w:tcW w:w="479" w:type="pct"/>
          </w:tcPr>
          <w:p>
            <w:pPr>
              <w:jc w:val="center"/>
              <w:rPr>
                <w:rFonts w:ascii="Times New Roman" w:hAnsi="Times New Roman" w:eastAsia="仿宋_GB2312"/>
                <w:sz w:val="24"/>
              </w:rPr>
            </w:pPr>
            <w:r>
              <w:rPr>
                <w:rFonts w:ascii="Times New Roman" w:hAnsi="Times New Roman" w:eastAsia="仿宋_GB2312"/>
                <w:sz w:val="24"/>
              </w:rPr>
              <w:t xml:space="preserve">7.60 </w:t>
            </w:r>
          </w:p>
        </w:tc>
        <w:tc>
          <w:tcPr>
            <w:tcW w:w="491" w:type="pct"/>
          </w:tcPr>
          <w:p>
            <w:pPr>
              <w:jc w:val="center"/>
              <w:rPr>
                <w:rFonts w:ascii="Times New Roman" w:hAnsi="Times New Roman" w:eastAsia="仿宋_GB2312"/>
                <w:sz w:val="24"/>
              </w:rPr>
            </w:pPr>
            <w:r>
              <w:rPr>
                <w:rFonts w:ascii="Times New Roman" w:hAnsi="Times New Roman" w:eastAsia="仿宋_GB2312"/>
                <w:sz w:val="24"/>
              </w:rPr>
              <w:t xml:space="preserve">38.20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trPr>
        <w:tc>
          <w:tcPr>
            <w:tcW w:w="1196" w:type="pct"/>
            <w:gridSpan w:val="2"/>
            <w:vMerge w:val="restart"/>
            <w:vAlign w:val="center"/>
          </w:tcPr>
          <w:p>
            <w:pPr>
              <w:jc w:val="center"/>
              <w:rPr>
                <w:rFonts w:ascii="Times New Roman" w:hAnsi="Times New Roman" w:eastAsia="仿宋_GB2312"/>
                <w:b/>
                <w:sz w:val="24"/>
              </w:rPr>
            </w:pPr>
            <w:r>
              <w:rPr>
                <w:rFonts w:ascii="Times New Roman" w:hAnsi="Times New Roman" w:eastAsia="仿宋_GB2312"/>
                <w:b/>
                <w:sz w:val="24"/>
              </w:rPr>
              <w:t>合计</w:t>
            </w:r>
          </w:p>
        </w:tc>
        <w:tc>
          <w:tcPr>
            <w:tcW w:w="439" w:type="pct"/>
            <w:vMerge w:val="restart"/>
            <w:vAlign w:val="center"/>
          </w:tcPr>
          <w:p>
            <w:pPr>
              <w:jc w:val="center"/>
              <w:rPr>
                <w:rFonts w:ascii="Times New Roman" w:hAnsi="Times New Roman" w:eastAsia="仿宋_GB2312"/>
                <w:b/>
                <w:sz w:val="24"/>
              </w:rPr>
            </w:pPr>
            <w:r>
              <w:rPr>
                <w:rFonts w:ascii="Times New Roman" w:hAnsi="Times New Roman" w:eastAsia="仿宋_GB2312"/>
                <w:b/>
                <w:sz w:val="24"/>
              </w:rPr>
              <w:t>178.20</w:t>
            </w:r>
          </w:p>
        </w:tc>
        <w:tc>
          <w:tcPr>
            <w:tcW w:w="479" w:type="pct"/>
            <w:vAlign w:val="center"/>
          </w:tcPr>
          <w:p>
            <w:pPr>
              <w:jc w:val="center"/>
              <w:rPr>
                <w:rFonts w:ascii="Times New Roman" w:hAnsi="Times New Roman" w:eastAsia="仿宋_GB2312"/>
                <w:b/>
                <w:sz w:val="24"/>
              </w:rPr>
            </w:pPr>
            <w:r>
              <w:rPr>
                <w:rFonts w:ascii="Times New Roman" w:hAnsi="Times New Roman" w:eastAsia="仿宋_GB2312"/>
                <w:b/>
                <w:sz w:val="24"/>
              </w:rPr>
              <w:t>地方配套</w:t>
            </w:r>
          </w:p>
        </w:tc>
        <w:tc>
          <w:tcPr>
            <w:tcW w:w="479" w:type="pct"/>
          </w:tcPr>
          <w:p>
            <w:pPr>
              <w:jc w:val="center"/>
              <w:rPr>
                <w:rFonts w:ascii="Times New Roman" w:hAnsi="Times New Roman" w:eastAsia="仿宋_GB2312"/>
                <w:b/>
                <w:sz w:val="24"/>
              </w:rPr>
            </w:pPr>
            <w:r>
              <w:rPr>
                <w:rFonts w:ascii="Times New Roman" w:hAnsi="Times New Roman" w:eastAsia="仿宋_GB2312"/>
                <w:b/>
                <w:sz w:val="24"/>
              </w:rPr>
              <w:t xml:space="preserve">3.62 </w:t>
            </w:r>
          </w:p>
        </w:tc>
        <w:tc>
          <w:tcPr>
            <w:tcW w:w="479" w:type="pct"/>
          </w:tcPr>
          <w:p>
            <w:pPr>
              <w:jc w:val="center"/>
              <w:rPr>
                <w:rFonts w:ascii="Times New Roman" w:hAnsi="Times New Roman" w:eastAsia="仿宋_GB2312"/>
                <w:b/>
                <w:sz w:val="24"/>
              </w:rPr>
            </w:pPr>
            <w:r>
              <w:rPr>
                <w:rFonts w:ascii="Times New Roman" w:hAnsi="Times New Roman" w:eastAsia="仿宋_GB2312"/>
                <w:b/>
                <w:sz w:val="24"/>
              </w:rPr>
              <w:t xml:space="preserve">3.52 </w:t>
            </w:r>
          </w:p>
        </w:tc>
        <w:tc>
          <w:tcPr>
            <w:tcW w:w="479" w:type="pct"/>
          </w:tcPr>
          <w:p>
            <w:pPr>
              <w:jc w:val="center"/>
              <w:rPr>
                <w:rFonts w:ascii="Times New Roman" w:hAnsi="Times New Roman" w:eastAsia="仿宋_GB2312"/>
                <w:b/>
                <w:sz w:val="24"/>
              </w:rPr>
            </w:pPr>
            <w:r>
              <w:rPr>
                <w:rFonts w:ascii="Times New Roman" w:hAnsi="Times New Roman" w:eastAsia="仿宋_GB2312"/>
                <w:b/>
                <w:sz w:val="24"/>
              </w:rPr>
              <w:t xml:space="preserve">3.56 </w:t>
            </w:r>
          </w:p>
        </w:tc>
        <w:tc>
          <w:tcPr>
            <w:tcW w:w="479" w:type="pct"/>
          </w:tcPr>
          <w:p>
            <w:pPr>
              <w:jc w:val="center"/>
              <w:rPr>
                <w:rFonts w:ascii="Times New Roman" w:hAnsi="Times New Roman" w:eastAsia="仿宋_GB2312"/>
                <w:b/>
                <w:sz w:val="24"/>
              </w:rPr>
            </w:pPr>
            <w:r>
              <w:rPr>
                <w:rFonts w:ascii="Times New Roman" w:hAnsi="Times New Roman" w:eastAsia="仿宋_GB2312"/>
                <w:b/>
                <w:sz w:val="24"/>
              </w:rPr>
              <w:t xml:space="preserve">3.26 </w:t>
            </w:r>
          </w:p>
        </w:tc>
        <w:tc>
          <w:tcPr>
            <w:tcW w:w="479" w:type="pct"/>
          </w:tcPr>
          <w:p>
            <w:pPr>
              <w:jc w:val="center"/>
              <w:rPr>
                <w:rFonts w:ascii="Times New Roman" w:hAnsi="Times New Roman" w:eastAsia="仿宋_GB2312"/>
                <w:b/>
                <w:sz w:val="24"/>
              </w:rPr>
            </w:pPr>
            <w:r>
              <w:rPr>
                <w:rFonts w:ascii="Times New Roman" w:hAnsi="Times New Roman" w:eastAsia="仿宋_GB2312"/>
                <w:b/>
                <w:sz w:val="24"/>
              </w:rPr>
              <w:t xml:space="preserve">3.17 </w:t>
            </w:r>
          </w:p>
        </w:tc>
        <w:tc>
          <w:tcPr>
            <w:tcW w:w="491" w:type="pct"/>
          </w:tcPr>
          <w:p>
            <w:pPr>
              <w:jc w:val="center"/>
              <w:rPr>
                <w:rFonts w:ascii="Times New Roman" w:hAnsi="Times New Roman" w:eastAsia="仿宋_GB2312"/>
                <w:b/>
                <w:sz w:val="24"/>
              </w:rPr>
            </w:pPr>
            <w:r>
              <w:rPr>
                <w:rFonts w:ascii="Times New Roman" w:hAnsi="Times New Roman" w:eastAsia="仿宋_GB2312"/>
                <w:b/>
                <w:sz w:val="24"/>
              </w:rPr>
              <w:t xml:space="preserve">17.13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trPr>
        <w:tc>
          <w:tcPr>
            <w:tcW w:w="1196" w:type="pct"/>
            <w:gridSpan w:val="2"/>
            <w:vMerge w:val="continue"/>
            <w:vAlign w:val="center"/>
          </w:tcPr>
          <w:p>
            <w:pPr>
              <w:jc w:val="center"/>
              <w:rPr>
                <w:rFonts w:ascii="Times New Roman" w:hAnsi="Times New Roman" w:eastAsia="仿宋_GB2312"/>
                <w:b/>
                <w:sz w:val="24"/>
              </w:rPr>
            </w:pPr>
          </w:p>
        </w:tc>
        <w:tc>
          <w:tcPr>
            <w:tcW w:w="439" w:type="pct"/>
            <w:vMerge w:val="continue"/>
            <w:vAlign w:val="center"/>
          </w:tcPr>
          <w:p>
            <w:pPr>
              <w:jc w:val="center"/>
              <w:rPr>
                <w:rFonts w:ascii="Times New Roman" w:hAnsi="Times New Roman" w:eastAsia="仿宋_GB2312"/>
                <w:b/>
                <w:sz w:val="24"/>
              </w:rPr>
            </w:pPr>
          </w:p>
        </w:tc>
        <w:tc>
          <w:tcPr>
            <w:tcW w:w="479" w:type="pct"/>
            <w:vAlign w:val="center"/>
          </w:tcPr>
          <w:p>
            <w:pPr>
              <w:jc w:val="center"/>
              <w:rPr>
                <w:rFonts w:ascii="Times New Roman" w:hAnsi="Times New Roman" w:eastAsia="仿宋_GB2312"/>
                <w:b/>
                <w:sz w:val="24"/>
              </w:rPr>
            </w:pPr>
            <w:r>
              <w:rPr>
                <w:rFonts w:ascii="Times New Roman" w:hAnsi="Times New Roman" w:eastAsia="仿宋_GB2312"/>
                <w:b/>
                <w:sz w:val="24"/>
              </w:rPr>
              <w:t>企业自筹</w:t>
            </w:r>
          </w:p>
        </w:tc>
        <w:tc>
          <w:tcPr>
            <w:tcW w:w="479" w:type="pct"/>
          </w:tcPr>
          <w:p>
            <w:pPr>
              <w:jc w:val="center"/>
              <w:rPr>
                <w:rFonts w:ascii="Times New Roman" w:hAnsi="Times New Roman" w:eastAsia="仿宋_GB2312"/>
                <w:b/>
                <w:sz w:val="24"/>
              </w:rPr>
            </w:pPr>
            <w:r>
              <w:rPr>
                <w:rFonts w:ascii="Times New Roman" w:hAnsi="Times New Roman" w:eastAsia="仿宋_GB2312"/>
                <w:b/>
                <w:sz w:val="24"/>
              </w:rPr>
              <w:t xml:space="preserve">32.92 </w:t>
            </w:r>
          </w:p>
        </w:tc>
        <w:tc>
          <w:tcPr>
            <w:tcW w:w="479" w:type="pct"/>
          </w:tcPr>
          <w:p>
            <w:pPr>
              <w:jc w:val="center"/>
              <w:rPr>
                <w:rFonts w:ascii="Times New Roman" w:hAnsi="Times New Roman" w:eastAsia="仿宋_GB2312"/>
                <w:b/>
                <w:sz w:val="24"/>
              </w:rPr>
            </w:pPr>
            <w:r>
              <w:rPr>
                <w:rFonts w:ascii="Times New Roman" w:hAnsi="Times New Roman" w:eastAsia="仿宋_GB2312"/>
                <w:b/>
                <w:sz w:val="24"/>
              </w:rPr>
              <w:t xml:space="preserve">32.12 </w:t>
            </w:r>
          </w:p>
        </w:tc>
        <w:tc>
          <w:tcPr>
            <w:tcW w:w="479" w:type="pct"/>
          </w:tcPr>
          <w:p>
            <w:pPr>
              <w:jc w:val="center"/>
              <w:rPr>
                <w:rFonts w:ascii="Times New Roman" w:hAnsi="Times New Roman" w:eastAsia="仿宋_GB2312"/>
                <w:b/>
                <w:sz w:val="24"/>
              </w:rPr>
            </w:pPr>
            <w:r>
              <w:rPr>
                <w:rFonts w:ascii="Times New Roman" w:hAnsi="Times New Roman" w:eastAsia="仿宋_GB2312"/>
                <w:b/>
                <w:sz w:val="24"/>
              </w:rPr>
              <w:t xml:space="preserve">32.08 </w:t>
            </w:r>
          </w:p>
        </w:tc>
        <w:tc>
          <w:tcPr>
            <w:tcW w:w="479" w:type="pct"/>
          </w:tcPr>
          <w:p>
            <w:pPr>
              <w:jc w:val="center"/>
              <w:rPr>
                <w:rFonts w:ascii="Times New Roman" w:hAnsi="Times New Roman" w:eastAsia="仿宋_GB2312"/>
                <w:b/>
                <w:sz w:val="24"/>
              </w:rPr>
            </w:pPr>
            <w:r>
              <w:rPr>
                <w:rFonts w:ascii="Times New Roman" w:hAnsi="Times New Roman" w:eastAsia="仿宋_GB2312"/>
                <w:b/>
                <w:sz w:val="24"/>
              </w:rPr>
              <w:t xml:space="preserve">32.38 </w:t>
            </w:r>
          </w:p>
        </w:tc>
        <w:tc>
          <w:tcPr>
            <w:tcW w:w="479" w:type="pct"/>
          </w:tcPr>
          <w:p>
            <w:pPr>
              <w:jc w:val="center"/>
              <w:rPr>
                <w:rFonts w:ascii="Times New Roman" w:hAnsi="Times New Roman" w:eastAsia="仿宋_GB2312"/>
                <w:b/>
                <w:sz w:val="24"/>
              </w:rPr>
            </w:pPr>
            <w:r>
              <w:rPr>
                <w:rFonts w:ascii="Times New Roman" w:hAnsi="Times New Roman" w:eastAsia="仿宋_GB2312"/>
                <w:b/>
                <w:sz w:val="24"/>
              </w:rPr>
              <w:t xml:space="preserve">31.57 </w:t>
            </w:r>
          </w:p>
        </w:tc>
        <w:tc>
          <w:tcPr>
            <w:tcW w:w="491" w:type="pct"/>
          </w:tcPr>
          <w:p>
            <w:pPr>
              <w:jc w:val="center"/>
              <w:rPr>
                <w:rFonts w:ascii="Times New Roman" w:hAnsi="Times New Roman" w:eastAsia="仿宋_GB2312"/>
                <w:b/>
                <w:sz w:val="24"/>
              </w:rPr>
            </w:pPr>
            <w:r>
              <w:rPr>
                <w:rFonts w:ascii="Times New Roman" w:hAnsi="Times New Roman" w:eastAsia="仿宋_GB2312"/>
                <w:b/>
                <w:sz w:val="24"/>
              </w:rPr>
              <w:t xml:space="preserve">161.07 </w:t>
            </w:r>
          </w:p>
        </w:tc>
      </w:tr>
    </w:tbl>
    <w:p>
      <w:pPr>
        <w:widowControl/>
        <w:jc w:val="left"/>
        <w:rPr>
          <w:rFonts w:ascii="Times New Roman" w:hAnsi="Times New Roman" w:eastAsia="仿宋_GB2312"/>
          <w:sz w:val="32"/>
          <w:szCs w:val="32"/>
        </w:rPr>
      </w:pPr>
    </w:p>
    <w:p>
      <w:pPr>
        <w:widowControl/>
        <w:jc w:val="left"/>
        <w:rPr>
          <w:rFonts w:ascii="Times New Roman" w:hAnsi="Times New Roman" w:eastAsia="仿宋_GB2312"/>
          <w:sz w:val="32"/>
          <w:szCs w:val="32"/>
        </w:rPr>
      </w:pPr>
    </w:p>
    <w:p>
      <w:pPr>
        <w:widowControl/>
        <w:jc w:val="left"/>
        <w:rPr>
          <w:rFonts w:ascii="Times New Roman" w:hAnsi="Times New Roman" w:eastAsia="仿宋_GB2312"/>
          <w:sz w:val="32"/>
          <w:szCs w:val="32"/>
        </w:rPr>
        <w:sectPr>
          <w:pgSz w:w="16838" w:h="11906" w:orient="landscape"/>
          <w:pgMar w:top="1797" w:right="1440" w:bottom="1797" w:left="1440" w:header="851" w:footer="992" w:gutter="0"/>
          <w:cols w:space="425" w:num="1"/>
          <w:docGrid w:type="lines" w:linePitch="312" w:charSpace="0"/>
        </w:sectPr>
      </w:pPr>
    </w:p>
    <w:bookmarkEnd w:id="113"/>
    <w:bookmarkEnd w:id="114"/>
    <w:p>
      <w:pPr>
        <w:pStyle w:val="47"/>
        <w:numPr>
          <w:ilvl w:val="0"/>
          <w:numId w:val="1"/>
        </w:numPr>
        <w:adjustRightInd w:val="0"/>
        <w:snapToGrid w:val="0"/>
        <w:spacing w:line="580" w:lineRule="exact"/>
        <w:ind w:firstLineChars="0"/>
        <w:jc w:val="center"/>
        <w:outlineLvl w:val="0"/>
        <w:rPr>
          <w:rFonts w:ascii="Times New Roman" w:hAnsi="Times New Roman" w:eastAsia="黑体"/>
          <w:sz w:val="32"/>
          <w:szCs w:val="32"/>
        </w:rPr>
      </w:pPr>
      <w:bookmarkStart w:id="117" w:name="_Toc87993563"/>
      <w:bookmarkStart w:id="118" w:name="_Toc524329566"/>
      <w:bookmarkStart w:id="119" w:name="_Toc525302436"/>
      <w:r>
        <w:rPr>
          <w:rFonts w:ascii="Times New Roman" w:hAnsi="Times New Roman" w:eastAsia="黑体"/>
          <w:sz w:val="32"/>
          <w:szCs w:val="32"/>
        </w:rPr>
        <w:t>保障措施</w:t>
      </w:r>
      <w:bookmarkEnd w:id="117"/>
    </w:p>
    <w:bookmarkEnd w:id="118"/>
    <w:bookmarkEnd w:id="119"/>
    <w:p>
      <w:pPr>
        <w:spacing w:line="580" w:lineRule="exact"/>
        <w:outlineLvl w:val="1"/>
        <w:rPr>
          <w:rFonts w:ascii="Times New Roman" w:hAnsi="Times New Roman" w:eastAsia="楷体"/>
          <w:b/>
          <w:sz w:val="32"/>
          <w:szCs w:val="32"/>
        </w:rPr>
      </w:pPr>
      <w:bookmarkStart w:id="120" w:name="_Toc87993564"/>
      <w:r>
        <w:rPr>
          <w:rFonts w:ascii="Times New Roman" w:hAnsi="Times New Roman" w:eastAsia="楷体"/>
          <w:b/>
          <w:sz w:val="32"/>
          <w:szCs w:val="32"/>
        </w:rPr>
        <w:t>6.1组织保障</w:t>
      </w:r>
      <w:bookmarkEnd w:id="120"/>
    </w:p>
    <w:p>
      <w:pPr>
        <w:pStyle w:val="28"/>
        <w:spacing w:after="0" w:line="560" w:lineRule="exact"/>
        <w:ind w:left="0" w:leftChars="0" w:firstLine="640"/>
        <w:rPr>
          <w:rFonts w:ascii="Times New Roman" w:hAnsi="Times New Roman" w:eastAsia="仿宋_GB2312"/>
          <w:sz w:val="32"/>
          <w:szCs w:val="32"/>
        </w:rPr>
      </w:pPr>
      <w:r>
        <w:rPr>
          <w:rFonts w:ascii="Times New Roman" w:hAnsi="Times New Roman" w:eastAsia="仿宋_GB2312"/>
          <w:sz w:val="32"/>
          <w:szCs w:val="32"/>
        </w:rPr>
        <w:t>完善领导体制机制，加强组织领导。推进澧县“十四五”脱贫主导特色产业发展需要政府发挥主导作用，建立强有力的领导机构和高效、灵活的工作机制。全县将加强脱贫主导特色产业发展的组织领导和协调，实施各镇（街道）政府对本地区重点产业发展总负责，各相关部门按照职责合理分工，密切配合、各司其职，尽快制定具体的政策措施；切实提高各镇（街道）政府对澧县脱贫主导特色产业发展重要性的认识，把脱贫主导特色产业发展纳入到澧县各个发展规划之中，确保认识到位、责任到位、措施到位；实行镇（街道）政府目标责任制，实行“重心下移、区域负责、属地管理”，将重点农业产业发展纳入到各单位日常管理和工作考核之中，把各个产业目标、任务、责任落实到企业和单位，落实到产业和项目，落实到具体的负责人，做到层层负责责，逐级落实。</w:t>
      </w:r>
    </w:p>
    <w:p>
      <w:pPr>
        <w:spacing w:line="580" w:lineRule="exact"/>
        <w:outlineLvl w:val="1"/>
        <w:rPr>
          <w:rFonts w:ascii="Times New Roman" w:hAnsi="Times New Roman" w:eastAsia="楷体"/>
          <w:b/>
          <w:sz w:val="32"/>
          <w:szCs w:val="32"/>
        </w:rPr>
      </w:pPr>
      <w:bookmarkStart w:id="121" w:name="_Toc87993565"/>
      <w:r>
        <w:rPr>
          <w:rFonts w:ascii="Times New Roman" w:hAnsi="Times New Roman" w:eastAsia="楷体"/>
          <w:b/>
          <w:sz w:val="32"/>
          <w:szCs w:val="32"/>
        </w:rPr>
        <w:t>6.2政策保障</w:t>
      </w:r>
      <w:bookmarkEnd w:id="121"/>
    </w:p>
    <w:p>
      <w:pPr>
        <w:spacing w:line="580" w:lineRule="exact"/>
        <w:outlineLvl w:val="2"/>
        <w:rPr>
          <w:rFonts w:ascii="Times New Roman" w:hAnsi="Times New Roman" w:eastAsia="楷体"/>
          <w:b/>
          <w:sz w:val="32"/>
          <w:szCs w:val="32"/>
        </w:rPr>
      </w:pPr>
      <w:bookmarkStart w:id="122" w:name="_Toc87993566"/>
      <w:r>
        <w:rPr>
          <w:rFonts w:ascii="Times New Roman" w:hAnsi="Times New Roman" w:eastAsia="仿宋_GB2312"/>
          <w:b/>
          <w:sz w:val="32"/>
          <w:szCs w:val="32"/>
        </w:rPr>
        <w:t>6.2.1</w:t>
      </w:r>
      <w:r>
        <w:rPr>
          <w:rFonts w:ascii="Times New Roman" w:hAnsi="Times New Roman" w:eastAsia="楷体"/>
          <w:b/>
          <w:sz w:val="32"/>
          <w:szCs w:val="32"/>
        </w:rPr>
        <w:t>脱贫主导特色产业支撑服务体系</w:t>
      </w:r>
      <w:bookmarkEnd w:id="122"/>
    </w:p>
    <w:p>
      <w:pPr>
        <w:widowControl/>
        <w:spacing w:line="580" w:lineRule="exact"/>
        <w:ind w:firstLine="643" w:firstLineChars="200"/>
        <w:rPr>
          <w:rFonts w:ascii="Times New Roman" w:hAnsi="Times New Roman" w:eastAsia="仿宋_GB2312"/>
          <w:b/>
          <w:bCs/>
          <w:sz w:val="32"/>
          <w:szCs w:val="32"/>
        </w:rPr>
      </w:pPr>
      <w:r>
        <w:rPr>
          <w:rFonts w:ascii="Times New Roman" w:hAnsi="Times New Roman" w:eastAsia="仿宋_GB2312"/>
          <w:b/>
          <w:bCs/>
          <w:sz w:val="32"/>
          <w:szCs w:val="32"/>
        </w:rPr>
        <w:t>完善经营制度。</w:t>
      </w:r>
      <w:r>
        <w:rPr>
          <w:rFonts w:ascii="Times New Roman" w:hAnsi="Times New Roman" w:eastAsia="仿宋_GB2312"/>
          <w:bCs/>
          <w:sz w:val="32"/>
          <w:szCs w:val="32"/>
        </w:rPr>
        <w:t>引导有稳定非农就业收入、长期在城镇居住生活的农户土地承包经营权股权化转让或赠与，农村承包土地经营权可以依法向金融机构抵押融资、入股从事农业产业化经营。建立土地适度规模流转激励机制，鼓励村级组织开展土地流转服务，引导土地整村、整组流转。建立土地流转审查监督机制，矛盾纠纷调处仲裁机制和规模经营主体准入机制，强化工商资本租赁农地的监管和风险防范机制建设。</w:t>
      </w:r>
    </w:p>
    <w:p>
      <w:pPr>
        <w:widowControl/>
        <w:spacing w:line="580" w:lineRule="exact"/>
        <w:ind w:firstLine="643" w:firstLineChars="200"/>
        <w:rPr>
          <w:rFonts w:ascii="Times New Roman" w:hAnsi="Times New Roman" w:eastAsia="仿宋_GB2312"/>
          <w:bCs/>
          <w:sz w:val="32"/>
          <w:szCs w:val="32"/>
        </w:rPr>
      </w:pPr>
      <w:r>
        <w:rPr>
          <w:rFonts w:ascii="Times New Roman" w:hAnsi="Times New Roman" w:eastAsia="仿宋_GB2312"/>
          <w:b/>
          <w:bCs/>
          <w:sz w:val="32"/>
          <w:szCs w:val="32"/>
        </w:rPr>
        <w:t>采取更加积极的农民创业就业政策</w:t>
      </w:r>
      <w:r>
        <w:rPr>
          <w:rFonts w:ascii="Times New Roman" w:hAnsi="Times New Roman" w:eastAsia="仿宋_GB2312"/>
          <w:bCs/>
          <w:sz w:val="32"/>
          <w:szCs w:val="32"/>
        </w:rPr>
        <w:t>，加强岗位技能培训，拓宽农民就业渠道，提高农民就业质量，支持农民创业开办农家乐、农产品网店。积极在现代农业园区设立创业园、科技孵化基地，为大学毕业的高素质农民提供创业支持。改革经营制度，坚持和完善农村基本经营制度，坚持农民家庭经营主体地位，培育新型农业经营主体，发展多种形式适度规模经营。加快闲置或低效集体资源优化整合，鼓励多方参与，深化股份合作，完善收益分配机制，提高股份合作经济组织分红水平。 </w:t>
      </w:r>
    </w:p>
    <w:p>
      <w:pPr>
        <w:widowControl/>
        <w:spacing w:line="580" w:lineRule="exact"/>
        <w:ind w:firstLine="643" w:firstLineChars="200"/>
        <w:rPr>
          <w:rFonts w:ascii="Times New Roman" w:hAnsi="Times New Roman" w:eastAsia="仿宋_GB2312"/>
          <w:b/>
          <w:bCs/>
          <w:sz w:val="32"/>
          <w:szCs w:val="32"/>
        </w:rPr>
      </w:pPr>
      <w:r>
        <w:rPr>
          <w:rFonts w:ascii="Times New Roman" w:hAnsi="Times New Roman" w:eastAsia="仿宋_GB2312"/>
          <w:b/>
          <w:bCs/>
          <w:sz w:val="32"/>
          <w:szCs w:val="32"/>
        </w:rPr>
        <w:t>注重科技创新。</w:t>
      </w:r>
      <w:r>
        <w:rPr>
          <w:rFonts w:ascii="Times New Roman" w:hAnsi="Times New Roman" w:eastAsia="仿宋_GB2312"/>
          <w:bCs/>
          <w:sz w:val="32"/>
          <w:szCs w:val="32"/>
        </w:rPr>
        <w:t>不断深化农业科技体制改革，布局实施一批农业科技创新专项工程，大力培育农业高新技术产业，建设农业高新技术产业创业平台或创新中心，孵化培育高新技术企业，提高农业科技自主创新能力。加大基层科技工作力度，构建新型农业社会化科技服务体系，打造农业农村领域众创空间，推动农村创新创业。</w:t>
      </w:r>
    </w:p>
    <w:p>
      <w:pPr>
        <w:widowControl/>
        <w:spacing w:line="580" w:lineRule="exact"/>
        <w:ind w:firstLine="643" w:firstLineChars="200"/>
        <w:rPr>
          <w:rFonts w:ascii="Times New Roman" w:hAnsi="Times New Roman" w:eastAsia="仿宋_GB2312"/>
          <w:b/>
          <w:bCs/>
          <w:sz w:val="32"/>
          <w:szCs w:val="32"/>
        </w:rPr>
      </w:pPr>
      <w:r>
        <w:rPr>
          <w:rFonts w:ascii="Times New Roman" w:hAnsi="Times New Roman" w:eastAsia="仿宋_GB2312"/>
          <w:b/>
          <w:bCs/>
          <w:sz w:val="32"/>
          <w:szCs w:val="32"/>
        </w:rPr>
        <w:t>注重人才支撑</w:t>
      </w:r>
      <w:r>
        <w:rPr>
          <w:rFonts w:ascii="Times New Roman" w:hAnsi="Times New Roman" w:eastAsia="仿宋_GB2312"/>
          <w:bCs/>
          <w:sz w:val="32"/>
          <w:szCs w:val="32"/>
        </w:rPr>
        <w:t>。积极营造有利于人才培养、引进和使用的政策环境和用人机制，强化现代农业科技公共服务平台建设，重点推进农业科技创新平台建设，完善研发、创新装备，进一步明晰知识产权，创新成果转化机制，探索完善科研成果权益分配激励机制，提高人才的工作稳定性和创新积极性。</w:t>
      </w:r>
      <w:r>
        <w:rPr>
          <w:rFonts w:ascii="Times New Roman" w:hAnsi="Times New Roman" w:eastAsia="仿宋_GB2312"/>
          <w:sz w:val="32"/>
          <w:szCs w:val="32"/>
        </w:rPr>
        <w:t>加快引进基层紧缺人才，打造一支规模合理、结构优良、扎根基层、服务发展的基层专业技术人才队伍，满足澧县农业重点产业、新兴产业急需紧缺人才需要。基层事业单位公开招聘人员，可适当放宽专业要求，适当降低笔试最低控制分数线，报考人数较少的岗位可适当降低开考比例。农技、水利等部门招聘专业技术人员，可适当放宽学历，但不得突破行业职业准入要求。对于引进的高层次人才或急需紧缺专业人才的，可以通过特设岗位搭建工作平台。</w:t>
      </w:r>
      <w:r>
        <w:rPr>
          <w:rFonts w:ascii="Times New Roman" w:hAnsi="Times New Roman" w:eastAsia="仿宋_GB2312"/>
          <w:bCs/>
          <w:sz w:val="32"/>
          <w:szCs w:val="32"/>
        </w:rPr>
        <w:t>依托职业院校、行业协会和产业基地，加大投入力度，扩大培训规模，大力开展现代农业管理和从业人员培训，注重培训效果。充分利用现代传媒技术，加大远程培训，显著提升信息化对农业发展的支撑作用。实施本土农技推广骨干人才培养计划，分类、分层开展休闲农业管理和服务人员培训，提高从业人员素质，提高服务水平。各级政府要设立各类专项培训资金，保障人员培训和素质提升。</w:t>
      </w:r>
    </w:p>
    <w:p>
      <w:pPr>
        <w:spacing w:line="580" w:lineRule="exact"/>
        <w:outlineLvl w:val="2"/>
        <w:rPr>
          <w:rFonts w:ascii="Times New Roman" w:hAnsi="Times New Roman" w:eastAsia="仿宋_GB2312"/>
          <w:b/>
          <w:sz w:val="32"/>
          <w:szCs w:val="32"/>
        </w:rPr>
      </w:pPr>
      <w:bookmarkStart w:id="123" w:name="_Toc87993567"/>
      <w:r>
        <w:rPr>
          <w:rFonts w:ascii="Times New Roman" w:hAnsi="Times New Roman" w:eastAsia="仿宋_GB2312"/>
          <w:b/>
          <w:sz w:val="32"/>
          <w:szCs w:val="32"/>
        </w:rPr>
        <w:t>6.2.2土地支撑政策</w:t>
      </w:r>
      <w:bookmarkEnd w:id="123"/>
    </w:p>
    <w:p>
      <w:pPr>
        <w:widowControl/>
        <w:spacing w:line="580" w:lineRule="exact"/>
        <w:ind w:firstLine="640" w:firstLineChars="200"/>
        <w:rPr>
          <w:rFonts w:ascii="Times New Roman" w:hAnsi="Times New Roman" w:eastAsia="仿宋_GB2312"/>
          <w:bCs/>
          <w:sz w:val="32"/>
          <w:szCs w:val="32"/>
        </w:rPr>
      </w:pPr>
      <w:r>
        <w:rPr>
          <w:rFonts w:ascii="Times New Roman" w:hAnsi="Times New Roman" w:eastAsia="仿宋_GB2312"/>
          <w:bCs/>
          <w:sz w:val="32"/>
          <w:szCs w:val="32"/>
        </w:rPr>
        <w:t>改革土地制度，坚持农村土地集体所有权、稳定农户家庭承包权、放活土地经营权，引导土地经营权有序流转，鼓励土地适度规模经营，向农业园区或家庭农场、合作社等新型农业经营主体流转。探索具体用地项目公共利益认定机制，完善征地民主协商程序、征地补偿标准，建立健全征地补偿安置争议解决机制。推动落实农村集体土地违法用地整治工作，严格责任追究，建立强有力的违法用地巡查及打击处理长效机制。支持农村集体经济组织依法采取租赁、入股等方式使用建设用地举办农村新产业，鼓励各种所有制经济主体参与农村新业态项目，平等受让建设用地土地使用权。</w:t>
      </w:r>
      <w:r>
        <w:rPr>
          <w:rFonts w:ascii="Times New Roman" w:hAnsi="Times New Roman" w:eastAsia="仿宋_GB2312"/>
          <w:kern w:val="0"/>
          <w:sz w:val="32"/>
          <w:szCs w:val="32"/>
        </w:rPr>
        <w:t>落实支持农村建设和发展的用地保障政策，优化耕地保护、村落建设、产业发展、生态保护等用地布局，重点对以农业和旅游为主的乡镇进行倾斜，乡镇土地利用总体规划可以预留一定比例的规划建设用地指标，用于农业农村发展。根据规划确定的用地结构和布局，年度土地利用计划分配中可安排一定比例新增建设用地指标，专项支持农业农村发展，并留足农村非农产业发展建设用地空间，支持农村新产业新业态发展和农民就近就地就业。对</w:t>
      </w:r>
      <w:r>
        <w:rPr>
          <w:rFonts w:ascii="Times New Roman" w:hAnsi="Times New Roman" w:eastAsia="仿宋_GB2312"/>
          <w:sz w:val="32"/>
          <w:szCs w:val="32"/>
        </w:rPr>
        <w:t>脱贫主导特色产业</w:t>
      </w:r>
      <w:r>
        <w:rPr>
          <w:rFonts w:ascii="Times New Roman" w:hAnsi="Times New Roman" w:eastAsia="仿宋_GB2312"/>
          <w:kern w:val="0"/>
          <w:sz w:val="32"/>
          <w:szCs w:val="32"/>
        </w:rPr>
        <w:t>发展过程中所需各类生产设施和附属设施用地，以及由于农业规模经营必须兴建的配套设施，在不占用永久基本农田的前提下，纳入设施农用地管理，实行县级备案。鼓励农业生产与村落建设、乡村绿化等用地复合利用。</w:t>
      </w:r>
    </w:p>
    <w:p>
      <w:pPr>
        <w:spacing w:line="580" w:lineRule="exact"/>
        <w:outlineLvl w:val="2"/>
        <w:rPr>
          <w:rFonts w:ascii="Times New Roman" w:hAnsi="Times New Roman" w:eastAsia="仿宋_GB2312"/>
          <w:b/>
          <w:sz w:val="32"/>
          <w:szCs w:val="32"/>
        </w:rPr>
      </w:pPr>
      <w:bookmarkStart w:id="124" w:name="_Toc87993568"/>
      <w:r>
        <w:rPr>
          <w:rFonts w:ascii="Times New Roman" w:hAnsi="Times New Roman" w:eastAsia="仿宋_GB2312"/>
          <w:b/>
          <w:sz w:val="32"/>
          <w:szCs w:val="32"/>
        </w:rPr>
        <w:t>6.2.3金融支撑政策</w:t>
      </w:r>
      <w:bookmarkEnd w:id="124"/>
    </w:p>
    <w:p>
      <w:pPr>
        <w:pStyle w:val="28"/>
        <w:spacing w:after="0" w:line="560" w:lineRule="exact"/>
        <w:ind w:left="0" w:leftChars="0" w:firstLine="640"/>
        <w:rPr>
          <w:rFonts w:ascii="Times New Roman" w:hAnsi="Times New Roman" w:eastAsia="仿宋_GB2312"/>
          <w:b/>
          <w:sz w:val="32"/>
          <w:szCs w:val="32"/>
        </w:rPr>
      </w:pPr>
      <w:r>
        <w:rPr>
          <w:rFonts w:ascii="Times New Roman" w:hAnsi="Times New Roman" w:eastAsia="仿宋_GB2312"/>
          <w:sz w:val="32"/>
          <w:szCs w:val="32"/>
        </w:rPr>
        <w:t>积极引进社会资本，鼓励各类投资主体参与农业农村建设。推进多层次普惠性农业保险体系建设，探索特色农业保险试点，完善农业保险再保险体系，提高新型农业经营主体参保比例，规范农业保险市场秩序。利用社会资本参与脱贫主导特色产业项目建设。加强社会资本监管，明确政策边界，保护好农民群众利益。</w:t>
      </w:r>
      <w:r>
        <w:rPr>
          <w:rFonts w:ascii="Times New Roman" w:hAnsi="Times New Roman" w:eastAsia="仿宋_GB2312"/>
          <w:bCs/>
          <w:sz w:val="32"/>
          <w:szCs w:val="32"/>
        </w:rPr>
        <w:t>将农业科技创新作为财政投入优先领域，引导金融资本支持农业产业化发展。健全担保风险防控体系，设立新型经营主体贷款风险补偿基金，构建银行、担保、再担保、政府四方联动的信贷风险化解机制，为新型农业经营主体提供信贷担保，着力解决好新型农业经营主体融资难、融资贵问题。建立市场化林权收储机构，为林业生产贷款提供林权收储担保的机构给予风险补偿等。鼓励金融机构与新型农业经营主体建立紧密合作关系，推广产业链金融模式。推动成立农投公司，加快推进银行、保险机构、农业信贷担保公司等入驻新型农业经营主体生产经营直报系统。鼓励金融机构对新型经营主体实施灵活贷款期限、简化审批流程、优先发放贷款等优惠措施。整合民间投资，鼓励民资进入实体经济、社会事业领域和基础建设领域。以上市融资为抓手，激活民间资本；大力发展信心金融组织，探索建立以澧县农业主导产业、行业龙头企业为发起人的行业性小额贷款公司，加大监管力度；尝试通过股权质押融资、定向募集、引入战略投资人等途径，拓宽成长型企业融资渠道。</w:t>
      </w:r>
    </w:p>
    <w:p>
      <w:pPr>
        <w:spacing w:line="580" w:lineRule="exact"/>
        <w:outlineLvl w:val="2"/>
        <w:rPr>
          <w:rFonts w:ascii="Times New Roman" w:hAnsi="Times New Roman" w:eastAsia="仿宋_GB2312"/>
          <w:b/>
          <w:sz w:val="32"/>
          <w:szCs w:val="32"/>
        </w:rPr>
      </w:pPr>
      <w:bookmarkStart w:id="125" w:name="_Toc87993569"/>
      <w:r>
        <w:rPr>
          <w:rFonts w:ascii="Times New Roman" w:hAnsi="Times New Roman" w:eastAsia="仿宋_GB2312"/>
          <w:b/>
          <w:sz w:val="32"/>
          <w:szCs w:val="32"/>
        </w:rPr>
        <w:t>6.2.4农业保险政策</w:t>
      </w:r>
      <w:bookmarkEnd w:id="125"/>
    </w:p>
    <w:p>
      <w:pPr>
        <w:pStyle w:val="28"/>
        <w:spacing w:after="0" w:line="560" w:lineRule="exact"/>
        <w:ind w:left="0" w:leftChars="0" w:firstLine="640"/>
        <w:rPr>
          <w:rFonts w:ascii="Times New Roman" w:hAnsi="Times New Roman" w:eastAsia="仿宋_GB2312"/>
          <w:bCs/>
          <w:sz w:val="32"/>
          <w:szCs w:val="32"/>
        </w:rPr>
      </w:pPr>
      <w:r>
        <w:rPr>
          <w:rFonts w:ascii="Times New Roman" w:hAnsi="Times New Roman" w:eastAsia="仿宋_GB2312"/>
          <w:bCs/>
          <w:sz w:val="32"/>
          <w:szCs w:val="32"/>
        </w:rPr>
        <w:t>认真贯彻《农业保险条例》和《湖南省财政厅农业保险保费补贴管理办法》、《湖南省财政厅关于2021年农业保险工作有关事项的通知》(湘财金〔2021〕2号）等文件精神，抓好政策性农业保险实施，做好农业大灾保险试点工作，重点抓好“政策险+大灾险+商业险”三级保险实施，积极总结经验，探索开展商业性农业保险。</w:t>
      </w:r>
    </w:p>
    <w:p>
      <w:pPr>
        <w:pStyle w:val="28"/>
        <w:spacing w:after="0" w:line="560" w:lineRule="exact"/>
        <w:ind w:left="0" w:leftChars="0" w:firstLine="640"/>
        <w:rPr>
          <w:rFonts w:ascii="Times New Roman" w:hAnsi="Times New Roman" w:eastAsia="仿宋_GB2312"/>
          <w:bCs/>
          <w:sz w:val="32"/>
          <w:szCs w:val="32"/>
        </w:rPr>
      </w:pPr>
      <w:r>
        <w:rPr>
          <w:rFonts w:ascii="Times New Roman" w:hAnsi="Times New Roman" w:eastAsia="仿宋_GB2312"/>
          <w:bCs/>
          <w:sz w:val="32"/>
          <w:szCs w:val="32"/>
        </w:rPr>
        <w:t>加强农保监管。加大对承保机构虚假承保、虚假理赔等处罚力度，对出现重大违规行为和重大风险的承保机构，坚决依法清退出农业保险市场。营造发展环境。积极贯彻财政部等五部委《关于加快农业保险高质量发展的指导意见》，建立健全农业保险工作机制，明确部门职责，凝聚工作合力。认真落实《湖南省政策性农业保险承保机构工作绩效评价暂行办法》。启动“农业保险规范年”宣传活动，通过多种途径，积极主动向农户宣传普及农业保险政策和相关知识，鼓励并引导农户生产经营组织自愿参保。完善农业保险保障体系，扩大农业保险保费补贴的品种和范围，有效降低农业的自然风险和市场风险。</w:t>
      </w:r>
    </w:p>
    <w:p>
      <w:pPr>
        <w:spacing w:line="580" w:lineRule="exact"/>
        <w:outlineLvl w:val="1"/>
        <w:rPr>
          <w:rFonts w:ascii="Times New Roman" w:hAnsi="Times New Roman" w:eastAsia="楷体"/>
          <w:b/>
          <w:sz w:val="32"/>
          <w:szCs w:val="32"/>
        </w:rPr>
      </w:pPr>
      <w:bookmarkStart w:id="126" w:name="_Toc87993570"/>
      <w:r>
        <w:rPr>
          <w:rFonts w:ascii="Times New Roman" w:hAnsi="Times New Roman" w:eastAsia="楷体"/>
          <w:b/>
          <w:sz w:val="32"/>
          <w:szCs w:val="32"/>
        </w:rPr>
        <w:t>6.3资金保障</w:t>
      </w:r>
      <w:bookmarkEnd w:id="126"/>
    </w:p>
    <w:p>
      <w:pPr>
        <w:pStyle w:val="28"/>
        <w:spacing w:after="0" w:line="560" w:lineRule="exact"/>
        <w:ind w:left="0" w:leftChars="0" w:firstLine="640"/>
        <w:rPr>
          <w:rFonts w:ascii="Times New Roman" w:hAnsi="Times New Roman" w:eastAsia="仿宋_GB2312"/>
          <w:sz w:val="32"/>
          <w:szCs w:val="32"/>
        </w:rPr>
      </w:pPr>
      <w:r>
        <w:rPr>
          <w:rFonts w:ascii="Times New Roman" w:hAnsi="Times New Roman" w:eastAsia="仿宋_GB2312"/>
          <w:sz w:val="32"/>
          <w:szCs w:val="32"/>
        </w:rPr>
        <w:t>一是建立稳定的资金渠道，积极争取国家、省、市对澧县重点脱贫主导特色产业发展的资金投入，抓住乡村振兴的机遇，将脱贫主导特色产业发展作为县财政投入的重点领域，并扩大投资规模，逐步提高政府预算产业发展投资比重，涉农整合资金、衔接乡村振兴资金、财政支农资金优先支持脱贫主导特色产业发展，使脱贫主导特色产业发展投入与财政收入呈同步增长。</w:t>
      </w:r>
    </w:p>
    <w:p>
      <w:pPr>
        <w:pStyle w:val="28"/>
        <w:spacing w:after="0" w:line="560" w:lineRule="exact"/>
        <w:ind w:left="0" w:leftChars="0" w:firstLine="640"/>
        <w:rPr>
          <w:rFonts w:ascii="Times New Roman" w:hAnsi="Times New Roman" w:eastAsia="仿宋_GB2312"/>
          <w:sz w:val="32"/>
          <w:szCs w:val="32"/>
        </w:rPr>
      </w:pPr>
      <w:r>
        <w:rPr>
          <w:rFonts w:ascii="Times New Roman" w:hAnsi="Times New Roman" w:eastAsia="仿宋_GB2312"/>
          <w:sz w:val="32"/>
          <w:szCs w:val="32"/>
        </w:rPr>
        <w:t>二是加大招商引资力度，发挥好财政资金的撬动效应。积极引进农业产业龙头企业，出台招商引资产业扶持奖励办法，继续实施招商引资县级领导负责制，围绕澧县脱贫主导特色产业发展开展招商引资。把招商引资作为经济工作的重要抓手，突出产业招商和专业招商，做实招商引资项目协调服务，切实提高招商项目签约率、开工率、竣工率、投产率。加强招商队伍建设，打造一支专业化招商队伍。完善招商引资考核办法，激发招商潜力。</w:t>
      </w:r>
    </w:p>
    <w:p>
      <w:pPr>
        <w:pStyle w:val="28"/>
        <w:spacing w:after="0" w:line="560" w:lineRule="exact"/>
        <w:ind w:left="0" w:leftChars="0" w:firstLine="640"/>
        <w:rPr>
          <w:rFonts w:ascii="Times New Roman" w:hAnsi="Times New Roman" w:eastAsia="仿宋_GB2312"/>
          <w:sz w:val="32"/>
          <w:szCs w:val="32"/>
        </w:rPr>
      </w:pPr>
      <w:r>
        <w:rPr>
          <w:rFonts w:ascii="Times New Roman" w:hAnsi="Times New Roman" w:eastAsia="仿宋_GB2312"/>
          <w:sz w:val="32"/>
          <w:szCs w:val="32"/>
        </w:rPr>
        <w:t>三是完善农村金融服务体系，将国有商业银行、农村保险机构以及农村金融组织参与到农村金融体系中来，提供全方位的农村金融服务。完善贷款抵押办法，扩大农村抵押担保物范围以及推行多种有效担保模式。同时建立健全贷款风险补偿机制，用于分担自然灾害等不可抗力造成的贷款损失，保障农民基本权益。</w:t>
      </w:r>
    </w:p>
    <w:p>
      <w:pPr>
        <w:spacing w:line="580" w:lineRule="exact"/>
        <w:outlineLvl w:val="1"/>
        <w:rPr>
          <w:rFonts w:ascii="Times New Roman" w:hAnsi="Times New Roman" w:eastAsia="楷体"/>
          <w:b/>
          <w:sz w:val="32"/>
          <w:szCs w:val="32"/>
        </w:rPr>
      </w:pPr>
      <w:bookmarkStart w:id="127" w:name="_Toc87993571"/>
      <w:r>
        <w:rPr>
          <w:rFonts w:ascii="Times New Roman" w:hAnsi="Times New Roman" w:eastAsia="楷体"/>
          <w:b/>
          <w:sz w:val="32"/>
          <w:szCs w:val="32"/>
        </w:rPr>
        <w:t>6.4监督考核</w:t>
      </w:r>
      <w:bookmarkEnd w:id="127"/>
    </w:p>
    <w:p>
      <w:pPr>
        <w:pStyle w:val="28"/>
        <w:spacing w:after="0" w:line="560" w:lineRule="exact"/>
        <w:ind w:left="0" w:leftChars="0" w:firstLine="640"/>
        <w:rPr>
          <w:rFonts w:ascii="Times New Roman" w:hAnsi="Times New Roman" w:eastAsia="仿宋_GB2312"/>
          <w:sz w:val="32"/>
          <w:szCs w:val="32"/>
        </w:rPr>
      </w:pPr>
      <w:r>
        <w:rPr>
          <w:rFonts w:ascii="Times New Roman" w:hAnsi="Times New Roman" w:eastAsia="仿宋_GB2312"/>
          <w:sz w:val="32"/>
          <w:szCs w:val="32"/>
        </w:rPr>
        <w:t>将规划实施成效纳入各级党委、政府及有关部门的年度绩效考评内容，考核结果作为各级党政干部年度考核、选拔任用的重要依据，确保各项目标任务完成。本规划确定的约束性指标以及重大工程、重大政策和重要改革任务，要明确责任主体和进度要求，确保质量和效果。建立规划实施督促检查机制，适时开展规划中期评估和总结评估。</w:t>
      </w:r>
    </w:p>
    <w:p>
      <w:pPr>
        <w:widowControl/>
        <w:spacing w:line="580" w:lineRule="exact"/>
        <w:ind w:firstLine="640" w:firstLineChars="200"/>
        <w:rPr>
          <w:rFonts w:ascii="Times New Roman" w:hAnsi="Times New Roman" w:eastAsia="仿宋_GB2312"/>
          <w:bCs/>
          <w:sz w:val="32"/>
          <w:szCs w:val="32"/>
        </w:rPr>
      </w:pPr>
    </w:p>
    <w:p>
      <w:pPr>
        <w:widowControl/>
        <w:spacing w:line="580" w:lineRule="exact"/>
        <w:rPr>
          <w:rFonts w:ascii="Times New Roman" w:hAnsi="Times New Roman" w:eastAsia="仿宋_GB2312"/>
          <w:bCs/>
          <w:sz w:val="32"/>
          <w:szCs w:val="32"/>
        </w:rPr>
        <w:sectPr>
          <w:pgSz w:w="11906" w:h="16838"/>
          <w:pgMar w:top="1440" w:right="1797" w:bottom="1440" w:left="1797" w:header="851" w:footer="992" w:gutter="0"/>
          <w:cols w:space="425" w:num="1"/>
          <w:docGrid w:type="lines" w:linePitch="312" w:charSpace="0"/>
        </w:sectPr>
      </w:pPr>
    </w:p>
    <w:p>
      <w:pPr>
        <w:spacing w:line="360" w:lineRule="auto"/>
        <w:jc w:val="center"/>
        <w:rPr>
          <w:rFonts w:ascii="Times New Roman" w:hAnsi="Times New Roman" w:eastAsia="仿宋_GB2312"/>
          <w:b/>
          <w:sz w:val="32"/>
          <w:szCs w:val="32"/>
        </w:rPr>
      </w:pPr>
      <w:r>
        <w:rPr>
          <w:rFonts w:ascii="Times New Roman" w:hAnsi="Times New Roman" w:eastAsia="仿宋_GB2312"/>
          <w:b/>
          <w:sz w:val="32"/>
          <w:szCs w:val="32"/>
        </w:rPr>
        <w:t>附表：澧县“十四五”脱贫主导特色产业发展规划重点项目一览表</w:t>
      </w:r>
    </w:p>
    <w:tbl>
      <w:tblPr>
        <w:tblStyle w:val="29"/>
        <w:tblW w:w="5138" w:type="pct"/>
        <w:tblInd w:w="0" w:type="dxa"/>
        <w:tblLayout w:type="autofit"/>
        <w:tblCellMar>
          <w:top w:w="0" w:type="dxa"/>
          <w:left w:w="108" w:type="dxa"/>
          <w:bottom w:w="0" w:type="dxa"/>
          <w:right w:w="108" w:type="dxa"/>
        </w:tblCellMar>
      </w:tblPr>
      <w:tblGrid>
        <w:gridCol w:w="527"/>
        <w:gridCol w:w="2272"/>
        <w:gridCol w:w="848"/>
        <w:gridCol w:w="1273"/>
        <w:gridCol w:w="1558"/>
        <w:gridCol w:w="6310"/>
        <w:gridCol w:w="1777"/>
      </w:tblGrid>
      <w:tr>
        <w:tblPrEx>
          <w:tblCellMar>
            <w:top w:w="0" w:type="dxa"/>
            <w:left w:w="108" w:type="dxa"/>
            <w:bottom w:w="0" w:type="dxa"/>
            <w:right w:w="108" w:type="dxa"/>
          </w:tblCellMar>
        </w:tblPrEx>
        <w:trPr>
          <w:cantSplit/>
          <w:trHeight w:val="499" w:hRule="atLeast"/>
          <w:tblHeader/>
        </w:trPr>
        <w:tc>
          <w:tcPr>
            <w:tcW w:w="181"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
                <w:bCs/>
                <w:color w:val="000000"/>
                <w:kern w:val="0"/>
                <w:sz w:val="24"/>
              </w:rPr>
            </w:pPr>
            <w:r>
              <w:rPr>
                <w:rFonts w:ascii="Times New Roman" w:hAnsi="Times New Roman" w:eastAsia="仿宋_GB2312"/>
                <w:b/>
                <w:bCs/>
                <w:color w:val="000000"/>
                <w:kern w:val="0"/>
                <w:sz w:val="24"/>
              </w:rPr>
              <w:t>序号</w:t>
            </w:r>
          </w:p>
        </w:tc>
        <w:tc>
          <w:tcPr>
            <w:tcW w:w="780"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b/>
                <w:bCs/>
                <w:color w:val="000000"/>
                <w:kern w:val="0"/>
                <w:sz w:val="24"/>
              </w:rPr>
            </w:pPr>
            <w:r>
              <w:rPr>
                <w:rFonts w:ascii="Times New Roman" w:hAnsi="Times New Roman" w:eastAsia="仿宋_GB2312"/>
                <w:b/>
                <w:bCs/>
                <w:color w:val="000000"/>
                <w:kern w:val="0"/>
                <w:sz w:val="24"/>
              </w:rPr>
              <w:t>项目名称</w:t>
            </w:r>
          </w:p>
        </w:tc>
        <w:tc>
          <w:tcPr>
            <w:tcW w:w="291"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b/>
                <w:bCs/>
                <w:color w:val="000000"/>
                <w:kern w:val="0"/>
                <w:sz w:val="24"/>
              </w:rPr>
            </w:pPr>
            <w:r>
              <w:rPr>
                <w:rFonts w:ascii="Times New Roman" w:hAnsi="Times New Roman" w:eastAsia="仿宋_GB2312"/>
                <w:b/>
                <w:bCs/>
                <w:color w:val="000000"/>
                <w:kern w:val="0"/>
                <w:sz w:val="24"/>
              </w:rPr>
              <w:t>建设</w:t>
            </w:r>
          </w:p>
          <w:p>
            <w:pPr>
              <w:widowControl/>
              <w:jc w:val="center"/>
              <w:rPr>
                <w:rFonts w:ascii="Times New Roman" w:hAnsi="Times New Roman" w:eastAsia="仿宋_GB2312"/>
                <w:b/>
                <w:bCs/>
                <w:color w:val="000000"/>
                <w:kern w:val="0"/>
                <w:sz w:val="24"/>
              </w:rPr>
            </w:pPr>
            <w:r>
              <w:rPr>
                <w:rFonts w:ascii="Times New Roman" w:hAnsi="Times New Roman" w:eastAsia="仿宋_GB2312"/>
                <w:b/>
                <w:bCs/>
                <w:color w:val="000000"/>
                <w:kern w:val="0"/>
                <w:sz w:val="24"/>
              </w:rPr>
              <w:t>性质</w:t>
            </w:r>
          </w:p>
        </w:tc>
        <w:tc>
          <w:tcPr>
            <w:tcW w:w="437"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b/>
                <w:bCs/>
                <w:color w:val="000000"/>
                <w:kern w:val="0"/>
                <w:sz w:val="24"/>
              </w:rPr>
            </w:pPr>
            <w:r>
              <w:rPr>
                <w:rFonts w:ascii="Times New Roman" w:hAnsi="Times New Roman" w:eastAsia="仿宋_GB2312"/>
                <w:b/>
                <w:bCs/>
                <w:color w:val="000000"/>
                <w:kern w:val="0"/>
                <w:sz w:val="24"/>
              </w:rPr>
              <w:t>起止年限</w:t>
            </w:r>
          </w:p>
        </w:tc>
        <w:tc>
          <w:tcPr>
            <w:tcW w:w="535"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b/>
                <w:bCs/>
                <w:color w:val="000000"/>
                <w:kern w:val="0"/>
                <w:sz w:val="24"/>
              </w:rPr>
            </w:pPr>
            <w:r>
              <w:rPr>
                <w:rFonts w:ascii="Times New Roman" w:hAnsi="Times New Roman" w:eastAsia="仿宋_GB2312"/>
                <w:b/>
                <w:bCs/>
                <w:color w:val="000000"/>
                <w:kern w:val="0"/>
                <w:sz w:val="24"/>
              </w:rPr>
              <w:t>总投资</w:t>
            </w:r>
          </w:p>
          <w:p>
            <w:pPr>
              <w:widowControl/>
              <w:jc w:val="center"/>
              <w:rPr>
                <w:rFonts w:ascii="Times New Roman" w:hAnsi="Times New Roman" w:eastAsia="仿宋_GB2312"/>
                <w:b/>
                <w:bCs/>
                <w:color w:val="000000"/>
                <w:kern w:val="0"/>
                <w:sz w:val="24"/>
              </w:rPr>
            </w:pPr>
            <w:r>
              <w:rPr>
                <w:rFonts w:ascii="Times New Roman" w:hAnsi="Times New Roman" w:eastAsia="仿宋_GB2312"/>
                <w:b/>
                <w:bCs/>
                <w:color w:val="000000"/>
                <w:kern w:val="0"/>
                <w:sz w:val="24"/>
              </w:rPr>
              <w:t>（亿元）</w:t>
            </w:r>
          </w:p>
        </w:tc>
        <w:tc>
          <w:tcPr>
            <w:tcW w:w="2166"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b/>
                <w:bCs/>
                <w:color w:val="000000"/>
                <w:kern w:val="0"/>
                <w:sz w:val="24"/>
              </w:rPr>
            </w:pPr>
            <w:r>
              <w:rPr>
                <w:rFonts w:ascii="Times New Roman" w:hAnsi="Times New Roman" w:eastAsia="仿宋_GB2312"/>
                <w:b/>
                <w:bCs/>
                <w:color w:val="000000"/>
                <w:kern w:val="0"/>
                <w:sz w:val="24"/>
              </w:rPr>
              <w:t>建设规模和内容</w:t>
            </w:r>
          </w:p>
        </w:tc>
        <w:tc>
          <w:tcPr>
            <w:tcW w:w="610"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b/>
                <w:bCs/>
                <w:color w:val="000000"/>
                <w:kern w:val="0"/>
                <w:sz w:val="24"/>
              </w:rPr>
            </w:pPr>
            <w:r>
              <w:rPr>
                <w:rFonts w:ascii="Times New Roman" w:hAnsi="Times New Roman" w:eastAsia="仿宋_GB2312"/>
                <w:b/>
                <w:bCs/>
                <w:color w:val="000000"/>
                <w:kern w:val="0"/>
                <w:sz w:val="24"/>
              </w:rPr>
              <w:t>项目所在地</w:t>
            </w:r>
          </w:p>
        </w:tc>
      </w:tr>
      <w:tr>
        <w:tblPrEx>
          <w:tblCellMar>
            <w:top w:w="0" w:type="dxa"/>
            <w:left w:w="108" w:type="dxa"/>
            <w:bottom w:w="0" w:type="dxa"/>
            <w:right w:w="108" w:type="dxa"/>
          </w:tblCellMar>
        </w:tblPrEx>
        <w:trPr>
          <w:cantSplit/>
          <w:trHeight w:val="300" w:hRule="atLeast"/>
        </w:trPr>
        <w:tc>
          <w:tcPr>
            <w:tcW w:w="5000" w:type="pct"/>
            <w:gridSpan w:val="7"/>
            <w:tcBorders>
              <w:top w:val="single" w:color="auto" w:sz="4" w:space="0"/>
              <w:left w:val="single" w:color="auto" w:sz="4" w:space="0"/>
              <w:bottom w:val="single" w:color="auto" w:sz="4" w:space="0"/>
              <w:right w:val="single" w:color="000000" w:sz="4" w:space="0"/>
            </w:tcBorders>
            <w:shd w:val="clear" w:color="auto" w:fill="auto"/>
            <w:vAlign w:val="center"/>
          </w:tcPr>
          <w:p>
            <w:pPr>
              <w:widowControl/>
              <w:jc w:val="center"/>
              <w:rPr>
                <w:rFonts w:ascii="Times New Roman" w:hAnsi="Times New Roman" w:eastAsia="仿宋_GB2312"/>
                <w:b/>
                <w:bCs/>
                <w:color w:val="000000"/>
                <w:kern w:val="0"/>
                <w:sz w:val="24"/>
              </w:rPr>
            </w:pPr>
            <w:r>
              <w:rPr>
                <w:rFonts w:ascii="Times New Roman" w:hAnsi="Times New Roman" w:eastAsia="仿宋_GB2312"/>
                <w:b/>
                <w:bCs/>
                <w:color w:val="000000"/>
                <w:kern w:val="0"/>
                <w:sz w:val="24"/>
              </w:rPr>
              <w:t>一、特色农产品提质工程</w:t>
            </w:r>
          </w:p>
        </w:tc>
      </w:tr>
      <w:tr>
        <w:tblPrEx>
          <w:tblCellMar>
            <w:top w:w="0" w:type="dxa"/>
            <w:left w:w="108" w:type="dxa"/>
            <w:bottom w:w="0" w:type="dxa"/>
            <w:right w:w="108" w:type="dxa"/>
          </w:tblCellMar>
        </w:tblPrEx>
        <w:trPr>
          <w:cantSplit/>
          <w:trHeight w:val="739" w:hRule="atLeast"/>
        </w:trPr>
        <w:tc>
          <w:tcPr>
            <w:tcW w:w="181" w:type="pct"/>
            <w:tcBorders>
              <w:top w:val="nil"/>
              <w:left w:val="single" w:color="auto" w:sz="4" w:space="0"/>
              <w:bottom w:val="single" w:color="auto" w:sz="4" w:space="0"/>
              <w:right w:val="nil"/>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w:t>
            </w:r>
          </w:p>
        </w:tc>
        <w:tc>
          <w:tcPr>
            <w:tcW w:w="780"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优质葡萄基地建设</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续建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10</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新扩优质葡萄生产基地4万亩，提质改造老葡萄园2.5万亩，建立1万亩阳光玫瑰葡萄高标准示范园，完善规模园区基础设施建设，配套冷链物流及分级包装设施设备。</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城头山、官垸、如东、小渡口等镇</w:t>
            </w:r>
          </w:p>
        </w:tc>
      </w:tr>
      <w:tr>
        <w:tblPrEx>
          <w:tblCellMar>
            <w:top w:w="0" w:type="dxa"/>
            <w:left w:w="108" w:type="dxa"/>
            <w:bottom w:w="0" w:type="dxa"/>
            <w:right w:w="108" w:type="dxa"/>
          </w:tblCellMar>
        </w:tblPrEx>
        <w:trPr>
          <w:cantSplit/>
          <w:trHeight w:val="1380" w:hRule="atLeast"/>
        </w:trPr>
        <w:tc>
          <w:tcPr>
            <w:tcW w:w="181" w:type="pct"/>
            <w:tcBorders>
              <w:top w:val="nil"/>
              <w:left w:val="single" w:color="auto" w:sz="4" w:space="0"/>
              <w:bottom w:val="single" w:color="auto" w:sz="4" w:space="0"/>
              <w:right w:val="nil"/>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w:t>
            </w:r>
          </w:p>
        </w:tc>
        <w:tc>
          <w:tcPr>
            <w:tcW w:w="780"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桔柚产业提质建设</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续建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3.8</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重点在丘岗地建设优质桔柚生产基地2万亩，提质改造低产桔柚园2.5万亩，完善新建园区土地平整等基础设施，配套园区节水灌溉设施，分区建设仓储分级包装车间，打造区域产品品牌。</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复兴、盐井、如东、梦溪、金罗、大堰</w:t>
            </w:r>
            <w:r>
              <w:rPr>
                <w:rFonts w:hint="eastAsia" w:ascii="宋体" w:hAnsi="宋体" w:cs="宋体"/>
                <w:color w:val="000000"/>
                <w:kern w:val="0"/>
                <w:sz w:val="24"/>
              </w:rPr>
              <w:t>垱</w:t>
            </w:r>
            <w:r>
              <w:rPr>
                <w:rFonts w:hint="eastAsia" w:ascii="仿宋_GB2312" w:hAnsi="仿宋_GB2312" w:eastAsia="仿宋_GB2312" w:cs="仿宋_GB2312"/>
                <w:color w:val="000000"/>
                <w:kern w:val="0"/>
                <w:sz w:val="24"/>
              </w:rPr>
              <w:t>、王家厂、火连坡、码头铺等镇</w:t>
            </w:r>
          </w:p>
        </w:tc>
      </w:tr>
      <w:tr>
        <w:tblPrEx>
          <w:tblCellMar>
            <w:top w:w="0" w:type="dxa"/>
            <w:left w:w="108" w:type="dxa"/>
            <w:bottom w:w="0" w:type="dxa"/>
            <w:right w:w="108" w:type="dxa"/>
          </w:tblCellMar>
        </w:tblPrEx>
        <w:trPr>
          <w:cantSplit/>
          <w:trHeight w:val="1200" w:hRule="atLeast"/>
        </w:trPr>
        <w:tc>
          <w:tcPr>
            <w:tcW w:w="181" w:type="pct"/>
            <w:tcBorders>
              <w:top w:val="nil"/>
              <w:left w:val="single" w:color="auto" w:sz="4" w:space="0"/>
              <w:bottom w:val="single" w:color="auto" w:sz="4" w:space="0"/>
              <w:right w:val="nil"/>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3</w:t>
            </w:r>
          </w:p>
        </w:tc>
        <w:tc>
          <w:tcPr>
            <w:tcW w:w="780"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葡萄特色小镇建设项目</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续建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2020-2023</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8</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改扩建葡萄1万亩，建设500亩智慧葡萄园，建设50家以上标准示范园，建成1家储容年达5万吨仓储冷链物流公司，建成一个葡萄检验检测交易中心，打造全国阳光玫瑰葡萄之乡。</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城头山镇</w:t>
            </w:r>
          </w:p>
        </w:tc>
      </w:tr>
      <w:tr>
        <w:tblPrEx>
          <w:tblCellMar>
            <w:top w:w="0" w:type="dxa"/>
            <w:left w:w="108" w:type="dxa"/>
            <w:bottom w:w="0" w:type="dxa"/>
            <w:right w:w="108" w:type="dxa"/>
          </w:tblCellMar>
        </w:tblPrEx>
        <w:trPr>
          <w:cantSplit/>
          <w:trHeight w:val="1200" w:hRule="atLeast"/>
        </w:trPr>
        <w:tc>
          <w:tcPr>
            <w:tcW w:w="181" w:type="pct"/>
            <w:tcBorders>
              <w:top w:val="nil"/>
              <w:left w:val="single" w:color="auto" w:sz="4" w:space="0"/>
              <w:bottom w:val="single" w:color="auto" w:sz="4" w:space="0"/>
              <w:right w:val="nil"/>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4</w:t>
            </w:r>
          </w:p>
        </w:tc>
        <w:tc>
          <w:tcPr>
            <w:tcW w:w="780"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油茶产业提升建设</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1.6</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新造油茶林2万亩、低产林改造5万亩，发展油茶林下养殖1万亩，建设精制茶油深加工生产线5条，建设高标准丰产油茶林示范园1万亩。</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火连坡、王家厂、码头铺、金罗、大堰</w:t>
            </w:r>
            <w:r>
              <w:rPr>
                <w:rFonts w:hint="eastAsia" w:ascii="宋体" w:hAnsi="宋体" w:cs="宋体"/>
                <w:color w:val="000000"/>
                <w:kern w:val="0"/>
                <w:sz w:val="24"/>
              </w:rPr>
              <w:t>垱</w:t>
            </w:r>
            <w:r>
              <w:rPr>
                <w:rFonts w:hint="eastAsia" w:ascii="仿宋_GB2312" w:hAnsi="仿宋_GB2312" w:eastAsia="仿宋_GB2312" w:cs="仿宋_GB2312"/>
                <w:color w:val="000000"/>
                <w:kern w:val="0"/>
                <w:sz w:val="24"/>
              </w:rPr>
              <w:t>、澧南等镇</w:t>
            </w:r>
          </w:p>
        </w:tc>
      </w:tr>
      <w:tr>
        <w:tblPrEx>
          <w:tblCellMar>
            <w:top w:w="0" w:type="dxa"/>
            <w:left w:w="108" w:type="dxa"/>
            <w:bottom w:w="0" w:type="dxa"/>
            <w:right w:w="108" w:type="dxa"/>
          </w:tblCellMar>
        </w:tblPrEx>
        <w:trPr>
          <w:cantSplit/>
          <w:trHeight w:val="1200" w:hRule="atLeast"/>
        </w:trPr>
        <w:tc>
          <w:tcPr>
            <w:tcW w:w="181" w:type="pct"/>
            <w:tcBorders>
              <w:top w:val="nil"/>
              <w:left w:val="single" w:color="auto" w:sz="4" w:space="0"/>
              <w:bottom w:val="single" w:color="auto" w:sz="4" w:space="0"/>
              <w:right w:val="nil"/>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5</w:t>
            </w:r>
          </w:p>
        </w:tc>
        <w:tc>
          <w:tcPr>
            <w:tcW w:w="780"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蔬菜产业基地建设</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续建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12</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建设3万亩绿色蔬菜种植区，蔬菜加工企业3家，发展龙头企业2家，蔬菜专业合作社30家，家庭农场10家；建设4个蔬菜高质高效核心示范园、8个蔬菜标准化生产基地（含食用菌）；培育2个大型蔬菜集约化育苗中心，年育苗量可达1000万株。开展康养、农旅、研教等一体化建设，完善基础设施，配套冷链物流设施设备，创建地方特色品牌。</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火连坡、码头铺、王家厂、城头山、涔南、小渡口等镇</w:t>
            </w:r>
          </w:p>
        </w:tc>
      </w:tr>
      <w:tr>
        <w:tblPrEx>
          <w:tblCellMar>
            <w:top w:w="0" w:type="dxa"/>
            <w:left w:w="108" w:type="dxa"/>
            <w:bottom w:w="0" w:type="dxa"/>
            <w:right w:w="108" w:type="dxa"/>
          </w:tblCellMar>
        </w:tblPrEx>
        <w:trPr>
          <w:cantSplit/>
          <w:trHeight w:val="720" w:hRule="atLeast"/>
        </w:trPr>
        <w:tc>
          <w:tcPr>
            <w:tcW w:w="181" w:type="pct"/>
            <w:tcBorders>
              <w:top w:val="nil"/>
              <w:left w:val="single" w:color="auto" w:sz="4" w:space="0"/>
              <w:bottom w:val="single" w:color="auto" w:sz="4" w:space="0"/>
              <w:right w:val="nil"/>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6</w:t>
            </w:r>
          </w:p>
        </w:tc>
        <w:tc>
          <w:tcPr>
            <w:tcW w:w="780"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湘莲产业基地建设</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续建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1.8</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重点在如东、梦溪、小渡口、涔南、王家厂等镇开展湘莲生产3万亩，配套建设烘干加工包装设施设备等。</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如东、梦溪、小渡口、涔南、王家厂等镇</w:t>
            </w:r>
          </w:p>
        </w:tc>
      </w:tr>
      <w:tr>
        <w:tblPrEx>
          <w:tblCellMar>
            <w:top w:w="0" w:type="dxa"/>
            <w:left w:w="108" w:type="dxa"/>
            <w:bottom w:w="0" w:type="dxa"/>
            <w:right w:w="108" w:type="dxa"/>
          </w:tblCellMar>
        </w:tblPrEx>
        <w:trPr>
          <w:cantSplit/>
          <w:trHeight w:val="1099" w:hRule="atLeast"/>
        </w:trPr>
        <w:tc>
          <w:tcPr>
            <w:tcW w:w="181" w:type="pct"/>
            <w:tcBorders>
              <w:top w:val="nil"/>
              <w:left w:val="single" w:color="auto" w:sz="4" w:space="0"/>
              <w:bottom w:val="single" w:color="auto" w:sz="4" w:space="0"/>
              <w:right w:val="nil"/>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7</w:t>
            </w:r>
          </w:p>
        </w:tc>
        <w:tc>
          <w:tcPr>
            <w:tcW w:w="780"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中药材产业项目</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续建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10</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建设集加工、仓储、科研、展销于一体的健康产业园和具有文旅、康养功能的中药植物园，建设标准化的中药材良种繁育基地。培育湘枳生物、冠元生物、惠农林业、中药材饮片厂等精深加工企业，配套完善产业链，形成拳头产品和品牌。实行产学研结合，组建澧专家服务团，推动植物药材种植、动物药材和矿物质药材的开发与利用。</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甘溪滩、火连坡、王家厂、码头铺等镇</w:t>
            </w:r>
          </w:p>
        </w:tc>
      </w:tr>
      <w:tr>
        <w:tblPrEx>
          <w:tblCellMar>
            <w:top w:w="0" w:type="dxa"/>
            <w:left w:w="108" w:type="dxa"/>
            <w:bottom w:w="0" w:type="dxa"/>
            <w:right w:w="108" w:type="dxa"/>
          </w:tblCellMar>
        </w:tblPrEx>
        <w:trPr>
          <w:cantSplit/>
          <w:trHeight w:val="900" w:hRule="atLeast"/>
        </w:trPr>
        <w:tc>
          <w:tcPr>
            <w:tcW w:w="181" w:type="pct"/>
            <w:tcBorders>
              <w:top w:val="nil"/>
              <w:left w:val="single" w:color="auto" w:sz="4" w:space="0"/>
              <w:bottom w:val="single" w:color="auto" w:sz="4" w:space="0"/>
              <w:right w:val="nil"/>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8</w:t>
            </w:r>
          </w:p>
        </w:tc>
        <w:tc>
          <w:tcPr>
            <w:tcW w:w="780"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茶叶产业提升项目</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1.2</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在现有4万亩茶叶种植规模基础上，推进老茶园改造，大力发展有机茶园，强化绿色认证。对现有的茶叶品牌进行整合，积极引导制茶企业、茶叶经营者和茶园业主提升绿茶，做精做好红茶，挤入常德茶叶区域品牌范畴，打响“双上绿芽”地方特色品牌。</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甘溪滩、火连坡、王家厂、码头铺等镇</w:t>
            </w:r>
          </w:p>
        </w:tc>
      </w:tr>
      <w:tr>
        <w:tblPrEx>
          <w:tblCellMar>
            <w:top w:w="0" w:type="dxa"/>
            <w:left w:w="108" w:type="dxa"/>
            <w:bottom w:w="0" w:type="dxa"/>
            <w:right w:w="108" w:type="dxa"/>
          </w:tblCellMar>
        </w:tblPrEx>
        <w:trPr>
          <w:cantSplit/>
          <w:trHeight w:val="4020"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9</w:t>
            </w:r>
          </w:p>
        </w:tc>
        <w:tc>
          <w:tcPr>
            <w:tcW w:w="780"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循环农业产业园建设项目（5处）</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5</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1.以湖南城头山红薯食品科技有限公司为主体（红薯粉丝生产）,利用红薯玉米秸秆开展畜禽养殖，薯渣、淀粉渣、畜禽粪便、秸秆混合生产有机肥，开展粉丝和养殖饲料加工，构建种养加为一体的循环经济圈。</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2.以常德正新农业发展有限公司为主体（鲟鱼+蔬菜），利用鲟鱼养殖废水种植蔬菜，尾菜养猪，猪粪秸秆生产加工有机肥，有机肥种植蔬菜，蔬菜配送港澳市场，其他产品进行宅配服务，构建三产融合的循环农业体系。</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3.以湖南冠元生物科技有限公司为主体（植物提取，药物中间体）利用柑橘落果、紫雌菊、红车轴草等为原料经过物理化学提取分离，定向获取和浓集植物的某一种或多种有效成分生产医药原粉，废弃物与养殖废物、秸秆生产有机肥，有机肥用于葡萄、蔬菜生产，形成农产品深度加工和废物利用有机结合的循环农业经济体。</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4.以湖南硕丰科技有限公司为主体（养殖+种植），利用玉米、红薯、稻谷养猪，养殖场沼液灌溉林地，沼渣与秸秆生产有机肥，种植业使用有机肥，柑橘使用秸秆进行果园覆盖栽培，有机肥生产玉米、稻谷等农产品，形成种养结合污染零排放产业园区。</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5.以澧县万古台生态农业科技发展有限公司（养殖+种植）为龙头，利用养殖场沼液和林下养殖粪便作为茶园肥料，生产有机肥。稻谷、玉米、红薯等作为养殖饲料，形成三产融合一体的循环农业模式。</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大堰</w:t>
            </w:r>
            <w:r>
              <w:rPr>
                <w:rFonts w:hint="eastAsia" w:ascii="宋体" w:hAnsi="宋体" w:cs="宋体"/>
                <w:color w:val="000000"/>
                <w:kern w:val="0"/>
                <w:sz w:val="24"/>
              </w:rPr>
              <w:t>垱</w:t>
            </w:r>
            <w:r>
              <w:rPr>
                <w:rFonts w:hint="eastAsia" w:ascii="仿宋_GB2312" w:hAnsi="仿宋_GB2312" w:eastAsia="仿宋_GB2312" w:cs="仿宋_GB2312"/>
                <w:color w:val="000000"/>
                <w:kern w:val="0"/>
                <w:sz w:val="24"/>
              </w:rPr>
              <w:t>镇</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火连坡镇</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官垸镇</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码头铺镇</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甘溪滩镇</w:t>
            </w:r>
          </w:p>
        </w:tc>
      </w:tr>
      <w:tr>
        <w:tblPrEx>
          <w:tblCellMar>
            <w:top w:w="0" w:type="dxa"/>
            <w:left w:w="108" w:type="dxa"/>
            <w:bottom w:w="0" w:type="dxa"/>
            <w:right w:w="108" w:type="dxa"/>
          </w:tblCellMar>
        </w:tblPrEx>
        <w:trPr>
          <w:cantSplit/>
          <w:trHeight w:val="360"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
                <w:bCs/>
                <w:color w:val="000000"/>
                <w:kern w:val="0"/>
                <w:sz w:val="24"/>
              </w:rPr>
            </w:pPr>
            <w:r>
              <w:rPr>
                <w:rFonts w:ascii="Times New Roman" w:hAnsi="Times New Roman" w:eastAsia="仿宋_GB2312"/>
                <w:b/>
                <w:bCs/>
                <w:color w:val="000000"/>
                <w:kern w:val="0"/>
                <w:sz w:val="24"/>
              </w:rPr>
              <w:t>　</w:t>
            </w:r>
          </w:p>
        </w:tc>
        <w:tc>
          <w:tcPr>
            <w:tcW w:w="780"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小计</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　</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　</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53.4</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　</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　</w:t>
            </w:r>
          </w:p>
        </w:tc>
      </w:tr>
      <w:tr>
        <w:tblPrEx>
          <w:tblCellMar>
            <w:top w:w="0" w:type="dxa"/>
            <w:left w:w="108" w:type="dxa"/>
            <w:bottom w:w="0" w:type="dxa"/>
            <w:right w:w="108" w:type="dxa"/>
          </w:tblCellMar>
        </w:tblPrEx>
        <w:trPr>
          <w:cantSplit/>
          <w:trHeight w:val="379" w:hRule="atLeast"/>
        </w:trPr>
        <w:tc>
          <w:tcPr>
            <w:tcW w:w="5000" w:type="pct"/>
            <w:gridSpan w:val="7"/>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
                <w:bCs/>
                <w:color w:val="000000"/>
                <w:kern w:val="0"/>
                <w:sz w:val="24"/>
              </w:rPr>
            </w:pPr>
            <w:r>
              <w:rPr>
                <w:rFonts w:ascii="Times New Roman" w:hAnsi="Times New Roman" w:eastAsia="仿宋_GB2312"/>
                <w:b/>
                <w:bCs/>
                <w:color w:val="000000"/>
                <w:kern w:val="0"/>
                <w:sz w:val="24"/>
              </w:rPr>
              <w:t>二、农产品加工提升工程</w:t>
            </w:r>
          </w:p>
        </w:tc>
      </w:tr>
      <w:tr>
        <w:tblPrEx>
          <w:tblCellMar>
            <w:top w:w="0" w:type="dxa"/>
            <w:left w:w="108" w:type="dxa"/>
            <w:bottom w:w="0" w:type="dxa"/>
            <w:right w:w="108" w:type="dxa"/>
          </w:tblCellMar>
        </w:tblPrEx>
        <w:trPr>
          <w:cantSplit/>
          <w:trHeight w:val="840" w:hRule="atLeast"/>
        </w:trPr>
        <w:tc>
          <w:tcPr>
            <w:tcW w:w="181"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1</w:t>
            </w:r>
          </w:p>
        </w:tc>
        <w:tc>
          <w:tcPr>
            <w:tcW w:w="78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kern w:val="0"/>
                <w:sz w:val="24"/>
              </w:rPr>
            </w:pPr>
            <w:r>
              <w:rPr>
                <w:rFonts w:ascii="Times New Roman" w:hAnsi="Times New Roman" w:eastAsia="仿宋_GB2312"/>
                <w:kern w:val="0"/>
                <w:sz w:val="24"/>
              </w:rPr>
              <w:t>澧县城头山稻米产业园建设项目</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新建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15</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kern w:val="0"/>
                <w:sz w:val="24"/>
              </w:rPr>
            </w:pPr>
            <w:r>
              <w:rPr>
                <w:rFonts w:ascii="Times New Roman" w:hAnsi="Times New Roman" w:eastAsia="仿宋_GB2312"/>
                <w:kern w:val="0"/>
                <w:sz w:val="24"/>
              </w:rPr>
              <w:t>利用“城头山大米”区域品牌，以洞庭春米业、春华秋实、腾宏米业、华鑫米业等稻米加工企业为龙头，打造澧县“城头山”优质稻米产业园。开展订单生产50万亩，扩建提升稻米生产线和稻谷烘干仓储设施，开展稻米加工副产品二次加工利用，提升生产效益。</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kern w:val="0"/>
                <w:sz w:val="24"/>
              </w:rPr>
            </w:pPr>
            <w:r>
              <w:rPr>
                <w:rFonts w:ascii="Times New Roman" w:hAnsi="Times New Roman" w:eastAsia="仿宋_GB2312"/>
                <w:kern w:val="0"/>
                <w:sz w:val="24"/>
              </w:rPr>
              <w:t>城头山镇等</w:t>
            </w:r>
          </w:p>
        </w:tc>
      </w:tr>
      <w:tr>
        <w:tblPrEx>
          <w:tblCellMar>
            <w:top w:w="0" w:type="dxa"/>
            <w:left w:w="108" w:type="dxa"/>
            <w:bottom w:w="0" w:type="dxa"/>
            <w:right w:w="108" w:type="dxa"/>
          </w:tblCellMar>
        </w:tblPrEx>
        <w:trPr>
          <w:cantSplit/>
          <w:trHeight w:val="859" w:hRule="atLeast"/>
        </w:trPr>
        <w:tc>
          <w:tcPr>
            <w:tcW w:w="181"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2</w:t>
            </w:r>
          </w:p>
        </w:tc>
        <w:tc>
          <w:tcPr>
            <w:tcW w:w="78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澧县油脂加工重整建设项目</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改扩建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12</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1.利用“澧县双低油菜籽”地理标志，打造“澧县双低菜籽油”区域品牌；</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2.通过招商引资，盘活盈成油脂资产，重现国家级龙头企业辉煌；</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3.整合县内中小型特色油脂加工企业，创建澧县油脂加工产业园。</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澧西街道、城头山镇等</w:t>
            </w:r>
          </w:p>
        </w:tc>
      </w:tr>
      <w:tr>
        <w:tblPrEx>
          <w:tblCellMar>
            <w:top w:w="0" w:type="dxa"/>
            <w:left w:w="108" w:type="dxa"/>
            <w:bottom w:w="0" w:type="dxa"/>
            <w:right w:w="108" w:type="dxa"/>
          </w:tblCellMar>
        </w:tblPrEx>
        <w:trPr>
          <w:cantSplit/>
          <w:trHeight w:val="619"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3</w:t>
            </w:r>
          </w:p>
        </w:tc>
        <w:tc>
          <w:tcPr>
            <w:tcW w:w="780"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桔柚加工业</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2.5</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1.建立桔柚打蜡分级包装生产线10条；</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2.建设1家年加工2万吨的桔柚食品加工生产企业。</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复兴、盐井、金罗等镇</w:t>
            </w:r>
          </w:p>
        </w:tc>
      </w:tr>
      <w:tr>
        <w:tblPrEx>
          <w:tblCellMar>
            <w:top w:w="0" w:type="dxa"/>
            <w:left w:w="108" w:type="dxa"/>
            <w:bottom w:w="0" w:type="dxa"/>
            <w:right w:w="108" w:type="dxa"/>
          </w:tblCellMar>
        </w:tblPrEx>
        <w:trPr>
          <w:cantSplit/>
          <w:trHeight w:val="799"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4</w:t>
            </w:r>
          </w:p>
        </w:tc>
        <w:tc>
          <w:tcPr>
            <w:tcW w:w="780"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蔬菜加工厂</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建立5家蔬菜初加工生产企业，1家蔬菜精深加工企业</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小渡口、涔南、城头山、火连坡等镇</w:t>
            </w:r>
          </w:p>
        </w:tc>
      </w:tr>
      <w:tr>
        <w:tblPrEx>
          <w:tblCellMar>
            <w:top w:w="0" w:type="dxa"/>
            <w:left w:w="108" w:type="dxa"/>
            <w:bottom w:w="0" w:type="dxa"/>
            <w:right w:w="108" w:type="dxa"/>
          </w:tblCellMar>
        </w:tblPrEx>
        <w:trPr>
          <w:cantSplit/>
          <w:trHeight w:val="799"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Cs/>
                <w:kern w:val="0"/>
                <w:sz w:val="24"/>
              </w:rPr>
            </w:pPr>
            <w:r>
              <w:rPr>
                <w:rFonts w:ascii="Times New Roman" w:hAnsi="Times New Roman" w:eastAsia="仿宋_GB2312"/>
                <w:bCs/>
                <w:kern w:val="0"/>
                <w:sz w:val="24"/>
              </w:rPr>
              <w:t>5</w:t>
            </w:r>
          </w:p>
        </w:tc>
        <w:tc>
          <w:tcPr>
            <w:tcW w:w="780"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粉丝生产加工项目</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新建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1.5</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kern w:val="0"/>
                <w:sz w:val="24"/>
              </w:rPr>
            </w:pPr>
            <w:r>
              <w:rPr>
                <w:rFonts w:ascii="Times New Roman" w:hAnsi="Times New Roman" w:eastAsia="仿宋_GB2312"/>
                <w:kern w:val="0"/>
                <w:sz w:val="24"/>
              </w:rPr>
              <w:t>以湖南城头山红薯食品科技有限公司等粉丝加工为龙头，结合产业扶贫，在全县开展红薯、蚕豆种植，扩建加工生产线，打造“丝念粉丝”知名品牌。</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kern w:val="0"/>
                <w:sz w:val="24"/>
              </w:rPr>
            </w:pPr>
            <w:r>
              <w:rPr>
                <w:rFonts w:ascii="Times New Roman" w:hAnsi="Times New Roman" w:eastAsia="仿宋_GB2312"/>
                <w:kern w:val="0"/>
                <w:sz w:val="24"/>
              </w:rPr>
              <w:t>大堰</w:t>
            </w:r>
            <w:r>
              <w:rPr>
                <w:rFonts w:hint="eastAsia" w:ascii="宋体" w:hAnsi="宋体" w:cs="宋体"/>
                <w:kern w:val="0"/>
                <w:sz w:val="24"/>
              </w:rPr>
              <w:t>垱</w:t>
            </w:r>
            <w:r>
              <w:rPr>
                <w:rFonts w:hint="eastAsia" w:ascii="仿宋_GB2312" w:hAnsi="仿宋_GB2312" w:eastAsia="仿宋_GB2312" w:cs="仿宋_GB2312"/>
                <w:kern w:val="0"/>
                <w:sz w:val="24"/>
              </w:rPr>
              <w:t>、火连坡镇甘溪滩、码头铺、王家厂等镇</w:t>
            </w:r>
          </w:p>
        </w:tc>
      </w:tr>
      <w:tr>
        <w:tblPrEx>
          <w:tblCellMar>
            <w:top w:w="0" w:type="dxa"/>
            <w:left w:w="108" w:type="dxa"/>
            <w:bottom w:w="0" w:type="dxa"/>
            <w:right w:w="108" w:type="dxa"/>
          </w:tblCellMar>
        </w:tblPrEx>
        <w:trPr>
          <w:cantSplit/>
          <w:trHeight w:val="799"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6</w:t>
            </w:r>
          </w:p>
        </w:tc>
        <w:tc>
          <w:tcPr>
            <w:tcW w:w="780"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畜禽肉类加工厂建设项目</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2021-2015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3</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建设一条年屠宰生猪60万头,肉牛1万头,家禽30万羽的加工畜禽肉类生产线。</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梦溪镇</w:t>
            </w:r>
          </w:p>
        </w:tc>
      </w:tr>
      <w:tr>
        <w:tblPrEx>
          <w:tblCellMar>
            <w:top w:w="0" w:type="dxa"/>
            <w:left w:w="108" w:type="dxa"/>
            <w:bottom w:w="0" w:type="dxa"/>
            <w:right w:w="108" w:type="dxa"/>
          </w:tblCellMar>
        </w:tblPrEx>
        <w:trPr>
          <w:cantSplit/>
          <w:trHeight w:val="799"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7</w:t>
            </w:r>
          </w:p>
        </w:tc>
        <w:tc>
          <w:tcPr>
            <w:tcW w:w="78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kern w:val="0"/>
                <w:sz w:val="24"/>
              </w:rPr>
            </w:pPr>
            <w:r>
              <w:rPr>
                <w:rFonts w:ascii="Times New Roman" w:hAnsi="Times New Roman" w:eastAsia="仿宋_GB2312"/>
                <w:kern w:val="0"/>
                <w:sz w:val="24"/>
              </w:rPr>
              <w:t>澧县中药材健康产业园建设项目</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新建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8.5</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kern w:val="0"/>
                <w:sz w:val="24"/>
              </w:rPr>
            </w:pPr>
            <w:r>
              <w:rPr>
                <w:rFonts w:ascii="Times New Roman" w:hAnsi="Times New Roman" w:eastAsia="仿宋_GB2312"/>
                <w:kern w:val="0"/>
                <w:sz w:val="24"/>
              </w:rPr>
              <w:t>1.生产基地建设：基地面积15000亩，重点是土地平整、排灌设施、地力提升等基础设施建设；</w:t>
            </w:r>
            <w:r>
              <w:rPr>
                <w:rFonts w:ascii="Times New Roman" w:hAnsi="Times New Roman" w:eastAsia="仿宋_GB2312"/>
                <w:kern w:val="0"/>
                <w:sz w:val="24"/>
              </w:rPr>
              <w:br w:type="textWrapping"/>
            </w:r>
            <w:r>
              <w:rPr>
                <w:rFonts w:ascii="Times New Roman" w:hAnsi="Times New Roman" w:eastAsia="仿宋_GB2312"/>
                <w:kern w:val="0"/>
                <w:sz w:val="24"/>
              </w:rPr>
              <w:t>2.生产设施设备建设：配套生产设施设备，设施用房1250</w:t>
            </w:r>
            <w:r>
              <w:rPr>
                <w:rFonts w:ascii="Segoe UI Symbol" w:hAnsi="Segoe UI Symbol" w:eastAsia="仿宋_GB2312" w:cs="Segoe UI Symbol"/>
                <w:kern w:val="0"/>
                <w:sz w:val="24"/>
              </w:rPr>
              <w:t>㎡</w:t>
            </w:r>
            <w:r>
              <w:rPr>
                <w:rFonts w:hint="eastAsia" w:ascii="仿宋_GB2312" w:hAnsi="仿宋_GB2312" w:eastAsia="仿宋_GB2312" w:cs="仿宋_GB2312"/>
                <w:kern w:val="0"/>
                <w:sz w:val="24"/>
              </w:rPr>
              <w:t>；</w:t>
            </w:r>
            <w:r>
              <w:rPr>
                <w:rFonts w:ascii="Times New Roman" w:hAnsi="Times New Roman" w:eastAsia="仿宋_GB2312"/>
                <w:kern w:val="0"/>
                <w:sz w:val="24"/>
              </w:rPr>
              <w:br w:type="textWrapping"/>
            </w:r>
            <w:r>
              <w:rPr>
                <w:rFonts w:ascii="Times New Roman" w:hAnsi="Times New Roman" w:eastAsia="仿宋_GB2312"/>
                <w:kern w:val="0"/>
                <w:sz w:val="24"/>
              </w:rPr>
              <w:t>3.生产管理监测平台建设：配套建设生产管理监测平台及监测设施设备；</w:t>
            </w:r>
            <w:r>
              <w:rPr>
                <w:rFonts w:ascii="Times New Roman" w:hAnsi="Times New Roman" w:eastAsia="仿宋_GB2312"/>
                <w:kern w:val="0"/>
                <w:sz w:val="24"/>
              </w:rPr>
              <w:br w:type="textWrapping"/>
            </w:r>
            <w:r>
              <w:rPr>
                <w:rFonts w:ascii="Times New Roman" w:hAnsi="Times New Roman" w:eastAsia="仿宋_GB2312"/>
                <w:kern w:val="0"/>
                <w:sz w:val="24"/>
              </w:rPr>
              <w:t>4.仓储物流中心建设：占地面积123亩，办公用房、交易中心及附属设施1450</w:t>
            </w:r>
            <w:r>
              <w:rPr>
                <w:rFonts w:ascii="Segoe UI Symbol" w:hAnsi="Segoe UI Symbol" w:eastAsia="仿宋_GB2312" w:cs="Segoe UI Symbol"/>
                <w:kern w:val="0"/>
                <w:sz w:val="24"/>
              </w:rPr>
              <w:t>㎡</w:t>
            </w:r>
            <w:r>
              <w:rPr>
                <w:rFonts w:hint="eastAsia" w:ascii="仿宋_GB2312" w:hAnsi="仿宋_GB2312" w:eastAsia="仿宋_GB2312" w:cs="仿宋_GB2312"/>
                <w:kern w:val="0"/>
                <w:sz w:val="24"/>
              </w:rPr>
              <w:t>，标准厂房</w:t>
            </w:r>
            <w:r>
              <w:rPr>
                <w:rFonts w:ascii="Times New Roman" w:hAnsi="Times New Roman" w:eastAsia="仿宋_GB2312"/>
                <w:kern w:val="0"/>
                <w:sz w:val="24"/>
              </w:rPr>
              <w:t>30000</w:t>
            </w:r>
            <w:r>
              <w:rPr>
                <w:rFonts w:ascii="Segoe UI Symbol" w:hAnsi="Segoe UI Symbol" w:eastAsia="仿宋_GB2312" w:cs="Segoe UI Symbol"/>
                <w:kern w:val="0"/>
                <w:sz w:val="24"/>
              </w:rPr>
              <w:t>㎡</w:t>
            </w:r>
            <w:r>
              <w:rPr>
                <w:rFonts w:hint="eastAsia" w:ascii="仿宋_GB2312" w:hAnsi="仿宋_GB2312" w:eastAsia="仿宋_GB2312" w:cs="仿宋_GB2312"/>
                <w:kern w:val="0"/>
                <w:sz w:val="24"/>
              </w:rPr>
              <w:t>，仓库</w:t>
            </w:r>
            <w:r>
              <w:rPr>
                <w:rFonts w:ascii="Times New Roman" w:hAnsi="Times New Roman" w:eastAsia="仿宋_GB2312"/>
                <w:kern w:val="0"/>
                <w:sz w:val="24"/>
              </w:rPr>
              <w:t>50000</w:t>
            </w:r>
            <w:r>
              <w:rPr>
                <w:rFonts w:ascii="Segoe UI Symbol" w:hAnsi="Segoe UI Symbol" w:eastAsia="仿宋_GB2312" w:cs="Segoe UI Symbol"/>
                <w:kern w:val="0"/>
                <w:sz w:val="24"/>
              </w:rPr>
              <w:t>㎡</w:t>
            </w:r>
            <w:r>
              <w:rPr>
                <w:rFonts w:hint="eastAsia" w:ascii="仿宋_GB2312" w:hAnsi="仿宋_GB2312" w:eastAsia="仿宋_GB2312" w:cs="仿宋_GB2312"/>
                <w:kern w:val="0"/>
                <w:sz w:val="24"/>
              </w:rPr>
              <w:t>，配套相关生产设备；</w:t>
            </w:r>
            <w:r>
              <w:rPr>
                <w:rFonts w:ascii="Times New Roman" w:hAnsi="Times New Roman" w:eastAsia="仿宋_GB2312"/>
                <w:kern w:val="0"/>
                <w:sz w:val="24"/>
              </w:rPr>
              <w:br w:type="textWrapping"/>
            </w:r>
            <w:r>
              <w:rPr>
                <w:rFonts w:ascii="Times New Roman" w:hAnsi="Times New Roman" w:eastAsia="仿宋_GB2312"/>
                <w:kern w:val="0"/>
                <w:sz w:val="24"/>
              </w:rPr>
              <w:t>5.健康服务产业园建设：用地面积200亩，规划建筑面积100000</w:t>
            </w:r>
            <w:r>
              <w:rPr>
                <w:rFonts w:ascii="Segoe UI Symbol" w:hAnsi="Segoe UI Symbol" w:eastAsia="仿宋_GB2312" w:cs="Segoe UI Symbol"/>
                <w:kern w:val="0"/>
                <w:sz w:val="24"/>
              </w:rPr>
              <w:t>㎡</w:t>
            </w:r>
            <w:r>
              <w:rPr>
                <w:rFonts w:hint="eastAsia" w:ascii="仿宋_GB2312" w:hAnsi="仿宋_GB2312" w:eastAsia="仿宋_GB2312" w:cs="仿宋_GB2312"/>
                <w:kern w:val="0"/>
                <w:sz w:val="24"/>
              </w:rPr>
              <w:t>，包括医疗健康园、医护康体园、养老养生园、养老医院等。</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kern w:val="0"/>
                <w:sz w:val="24"/>
              </w:rPr>
            </w:pPr>
            <w:r>
              <w:rPr>
                <w:rFonts w:ascii="Times New Roman" w:hAnsi="Times New Roman" w:eastAsia="仿宋_GB2312"/>
                <w:kern w:val="0"/>
                <w:sz w:val="24"/>
              </w:rPr>
              <w:t>火连坡、王家厂甘溪滩等镇</w:t>
            </w:r>
          </w:p>
        </w:tc>
      </w:tr>
      <w:tr>
        <w:tblPrEx>
          <w:tblCellMar>
            <w:top w:w="0" w:type="dxa"/>
            <w:left w:w="108" w:type="dxa"/>
            <w:bottom w:w="0" w:type="dxa"/>
            <w:right w:w="108" w:type="dxa"/>
          </w:tblCellMar>
        </w:tblPrEx>
        <w:trPr>
          <w:cantSplit/>
          <w:trHeight w:val="259"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
                <w:bCs/>
                <w:color w:val="000000"/>
                <w:kern w:val="0"/>
                <w:sz w:val="24"/>
              </w:rPr>
            </w:pPr>
            <w:r>
              <w:rPr>
                <w:rFonts w:ascii="Times New Roman" w:hAnsi="Times New Roman" w:eastAsia="仿宋_GB2312"/>
                <w:b/>
                <w:bCs/>
                <w:color w:val="000000"/>
                <w:kern w:val="0"/>
                <w:sz w:val="24"/>
              </w:rPr>
              <w:t>　</w:t>
            </w:r>
          </w:p>
        </w:tc>
        <w:tc>
          <w:tcPr>
            <w:tcW w:w="780"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小计</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　</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　</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44.5</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　</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　</w:t>
            </w:r>
          </w:p>
        </w:tc>
      </w:tr>
      <w:tr>
        <w:tblPrEx>
          <w:tblCellMar>
            <w:top w:w="0" w:type="dxa"/>
            <w:left w:w="108" w:type="dxa"/>
            <w:bottom w:w="0" w:type="dxa"/>
            <w:right w:w="108" w:type="dxa"/>
          </w:tblCellMar>
        </w:tblPrEx>
        <w:trPr>
          <w:cantSplit/>
          <w:trHeight w:val="342" w:hRule="atLeast"/>
        </w:trPr>
        <w:tc>
          <w:tcPr>
            <w:tcW w:w="5000" w:type="pct"/>
            <w:gridSpan w:val="7"/>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
                <w:bCs/>
                <w:color w:val="000000"/>
                <w:kern w:val="0"/>
                <w:sz w:val="24"/>
              </w:rPr>
            </w:pPr>
            <w:r>
              <w:rPr>
                <w:rFonts w:ascii="Times New Roman" w:hAnsi="Times New Roman" w:eastAsia="仿宋_GB2312"/>
                <w:b/>
                <w:bCs/>
                <w:color w:val="000000"/>
                <w:kern w:val="0"/>
                <w:sz w:val="24"/>
              </w:rPr>
              <w:t>三、农业基地建设工程</w:t>
            </w:r>
          </w:p>
        </w:tc>
      </w:tr>
      <w:tr>
        <w:tblPrEx>
          <w:tblCellMar>
            <w:top w:w="0" w:type="dxa"/>
            <w:left w:w="108" w:type="dxa"/>
            <w:bottom w:w="0" w:type="dxa"/>
            <w:right w:w="108" w:type="dxa"/>
          </w:tblCellMar>
        </w:tblPrEx>
        <w:trPr>
          <w:cantSplit/>
          <w:trHeight w:val="2419"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1</w:t>
            </w:r>
          </w:p>
        </w:tc>
        <w:tc>
          <w:tcPr>
            <w:tcW w:w="780"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澧县优质“菜油”示范基地</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2020-2022</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建设一个“核心区”和两个“示范区”，包括培育区域公用品牌和企业产品品牌、提升产品供给质量、夯实产业基础支撑、促进融合发展。</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城头山、大堰</w:t>
            </w:r>
            <w:r>
              <w:rPr>
                <w:rFonts w:hint="eastAsia" w:ascii="宋体" w:hAnsi="宋体" w:cs="宋体"/>
                <w:color w:val="000000"/>
                <w:kern w:val="0"/>
                <w:sz w:val="24"/>
              </w:rPr>
              <w:t>垱</w:t>
            </w:r>
            <w:r>
              <w:rPr>
                <w:rFonts w:hint="eastAsia" w:ascii="仿宋_GB2312" w:hAnsi="仿宋_GB2312" w:eastAsia="仿宋_GB2312" w:cs="仿宋_GB2312"/>
                <w:color w:val="000000"/>
                <w:kern w:val="0"/>
                <w:sz w:val="24"/>
              </w:rPr>
              <w:t>、复兴、小渡口、官垸、如东等</w:t>
            </w:r>
            <w:r>
              <w:rPr>
                <w:rFonts w:ascii="Times New Roman" w:hAnsi="Times New Roman" w:eastAsia="仿宋_GB2312"/>
                <w:color w:val="000000"/>
                <w:kern w:val="0"/>
                <w:sz w:val="24"/>
              </w:rPr>
              <w:t>6个镇</w:t>
            </w:r>
          </w:p>
        </w:tc>
      </w:tr>
      <w:tr>
        <w:tblPrEx>
          <w:tblCellMar>
            <w:top w:w="0" w:type="dxa"/>
            <w:left w:w="108" w:type="dxa"/>
            <w:bottom w:w="0" w:type="dxa"/>
            <w:right w:w="108" w:type="dxa"/>
          </w:tblCellMar>
        </w:tblPrEx>
        <w:trPr>
          <w:cantSplit/>
          <w:trHeight w:val="2419"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2</w:t>
            </w:r>
          </w:p>
        </w:tc>
        <w:tc>
          <w:tcPr>
            <w:tcW w:w="780"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澧县优质稻米基地建设与品牌创建</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5</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1.以“公司+服务组织+种植合作社”组织形式，实行“早加+晚优”和“一季晚优+油菜”的种植模式，建立45万亩年产17万吨高档优质稻米生产基地。</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2.利用“世界城祖.稻作之源”城头山稻作文化，在全国各地开设澧州米店，打造”城头山”稻米品牌，建立优质大米年销售额35亿元以上市场营销体系。</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3.建立以引种试验、标准化栽培示范、新技术应用示范为重点的技术体系。</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4.推进洞庭春米业与锦绣千村的有机整合，提高企业市场，力争进入资本市场。</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5.扩建仓储设施，改进加工设备，提升加工技术与能力。</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6.建设高效快捷物流系统。</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7.开展技术人才引进，以及职业技能培训。</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城头山镇、大堰</w:t>
            </w:r>
            <w:r>
              <w:rPr>
                <w:rFonts w:hint="eastAsia" w:ascii="宋体" w:hAnsi="宋体" w:cs="宋体"/>
                <w:color w:val="000000"/>
                <w:kern w:val="0"/>
                <w:sz w:val="24"/>
              </w:rPr>
              <w:t>垱</w:t>
            </w:r>
            <w:r>
              <w:rPr>
                <w:rFonts w:hint="eastAsia" w:ascii="仿宋_GB2312" w:hAnsi="仿宋_GB2312" w:eastAsia="仿宋_GB2312" w:cs="仿宋_GB2312"/>
                <w:color w:val="000000"/>
                <w:kern w:val="0"/>
                <w:sz w:val="24"/>
              </w:rPr>
              <w:t>镇、涔南镇、梦溪镇、复兴厂镇、如东镇、官垸镇、小渡口镇、澧阳街道、澧西街道、澧南镇</w:t>
            </w:r>
          </w:p>
        </w:tc>
      </w:tr>
      <w:tr>
        <w:tblPrEx>
          <w:tblCellMar>
            <w:top w:w="0" w:type="dxa"/>
            <w:left w:w="108" w:type="dxa"/>
            <w:bottom w:w="0" w:type="dxa"/>
            <w:right w:w="108" w:type="dxa"/>
          </w:tblCellMar>
        </w:tblPrEx>
        <w:trPr>
          <w:cantSplit/>
          <w:trHeight w:val="739"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Cs/>
                <w:kern w:val="0"/>
                <w:sz w:val="24"/>
              </w:rPr>
            </w:pPr>
            <w:r>
              <w:rPr>
                <w:rFonts w:ascii="Times New Roman" w:hAnsi="Times New Roman" w:eastAsia="仿宋_GB2312"/>
                <w:bCs/>
                <w:kern w:val="0"/>
                <w:sz w:val="24"/>
              </w:rPr>
              <w:t>3</w:t>
            </w:r>
          </w:p>
        </w:tc>
        <w:tc>
          <w:tcPr>
            <w:tcW w:w="780"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产业扶贫种苗繁育基地</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新建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kern w:val="0"/>
                <w:sz w:val="24"/>
              </w:rPr>
            </w:pPr>
            <w:r>
              <w:rPr>
                <w:rFonts w:ascii="Times New Roman" w:hAnsi="Times New Roman" w:eastAsia="仿宋_GB2312"/>
                <w:kern w:val="0"/>
                <w:sz w:val="24"/>
              </w:rPr>
              <w:t>0.5</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kern w:val="0"/>
                <w:sz w:val="24"/>
              </w:rPr>
            </w:pPr>
            <w:r>
              <w:rPr>
                <w:rFonts w:ascii="Times New Roman" w:hAnsi="Times New Roman" w:eastAsia="仿宋_GB2312"/>
                <w:kern w:val="0"/>
                <w:sz w:val="24"/>
              </w:rPr>
              <w:t>建设石菖蒲、葛根、菊花等中药材，桔柚等果木，油茶、花卉苗木等经济林种苗繁育基地2000亩。</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kern w:val="0"/>
                <w:sz w:val="24"/>
              </w:rPr>
            </w:pPr>
            <w:r>
              <w:rPr>
                <w:rFonts w:ascii="Times New Roman" w:hAnsi="Times New Roman" w:eastAsia="仿宋_GB2312"/>
                <w:kern w:val="0"/>
                <w:sz w:val="24"/>
              </w:rPr>
              <w:t>甘溪滩、盐井、复兴、梦溪、如东等镇</w:t>
            </w:r>
          </w:p>
        </w:tc>
      </w:tr>
      <w:tr>
        <w:tblPrEx>
          <w:tblCellMar>
            <w:top w:w="0" w:type="dxa"/>
            <w:left w:w="108" w:type="dxa"/>
            <w:bottom w:w="0" w:type="dxa"/>
            <w:right w:w="108" w:type="dxa"/>
          </w:tblCellMar>
        </w:tblPrEx>
        <w:trPr>
          <w:cantSplit/>
          <w:trHeight w:val="499"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4</w:t>
            </w:r>
          </w:p>
        </w:tc>
        <w:tc>
          <w:tcPr>
            <w:tcW w:w="780"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如东镇水沫堰渔光互补建设项目</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2.5</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在如东镇水沫堰开展2000亩渔光互补项目建设。</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如东镇</w:t>
            </w:r>
          </w:p>
        </w:tc>
      </w:tr>
      <w:tr>
        <w:tblPrEx>
          <w:tblCellMar>
            <w:top w:w="0" w:type="dxa"/>
            <w:left w:w="108" w:type="dxa"/>
            <w:bottom w:w="0" w:type="dxa"/>
            <w:right w:w="108" w:type="dxa"/>
          </w:tblCellMar>
        </w:tblPrEx>
        <w:trPr>
          <w:cantSplit/>
          <w:trHeight w:val="1039"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5</w:t>
            </w:r>
          </w:p>
        </w:tc>
        <w:tc>
          <w:tcPr>
            <w:tcW w:w="780"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澧县农业科技示范园建设</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1.基础设施建设：400亩</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2.智慧农业园：育苗工厂、蔬果栽培、物联网  50亩</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3.农业展示园：新品种新技术新设备试验示范150亩</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4.观光休闲园：康养、采摘、垂钓、餐饮  100亩</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5.农企孵化：吸引企业进驻 100亩</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农科所</w:t>
            </w:r>
          </w:p>
        </w:tc>
      </w:tr>
      <w:tr>
        <w:tblPrEx>
          <w:tblCellMar>
            <w:top w:w="0" w:type="dxa"/>
            <w:left w:w="108" w:type="dxa"/>
            <w:bottom w:w="0" w:type="dxa"/>
            <w:right w:w="108" w:type="dxa"/>
          </w:tblCellMar>
        </w:tblPrEx>
        <w:trPr>
          <w:cantSplit/>
          <w:trHeight w:val="1020"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6</w:t>
            </w:r>
          </w:p>
        </w:tc>
        <w:tc>
          <w:tcPr>
            <w:tcW w:w="780"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20万头生猪产业化建设项目</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5</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1、生猪良种繁育体系建设。改、扩建三个年生产10000头良种猪繁育场；2、生猪人工授精体系建设。全县建一个生猪人工授精总站；3、服务体系建设。兽药平价超市，免疫监测、疫病诊断、投入品分析实验室；4、建设生猪标准化规模养殖示范场10个（每个猪场要求“零排放”发酵床养殖，大型沼气池利用的健康养殖方式）。</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梦溪镇</w:t>
            </w:r>
          </w:p>
        </w:tc>
      </w:tr>
      <w:tr>
        <w:tblPrEx>
          <w:tblCellMar>
            <w:top w:w="0" w:type="dxa"/>
            <w:left w:w="108" w:type="dxa"/>
            <w:bottom w:w="0" w:type="dxa"/>
            <w:right w:w="108" w:type="dxa"/>
          </w:tblCellMar>
        </w:tblPrEx>
        <w:trPr>
          <w:cantSplit/>
          <w:trHeight w:val="559"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7</w:t>
            </w:r>
          </w:p>
        </w:tc>
        <w:tc>
          <w:tcPr>
            <w:tcW w:w="780"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澧县动物疫病预防体系建设项目</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3</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1、扩建和改建县级兽医实验室；2、在东常高速城头山服务区（省际边界由北往南）建设动物卫生监督检查；3、扩建和改建19家镇街动物防疫站办公场所。</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澧浦街道</w:t>
            </w:r>
          </w:p>
        </w:tc>
      </w:tr>
      <w:tr>
        <w:tblPrEx>
          <w:tblCellMar>
            <w:top w:w="0" w:type="dxa"/>
            <w:left w:w="108" w:type="dxa"/>
            <w:bottom w:w="0" w:type="dxa"/>
            <w:right w:w="108" w:type="dxa"/>
          </w:tblCellMar>
        </w:tblPrEx>
        <w:trPr>
          <w:cantSplit/>
          <w:trHeight w:val="379"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
                <w:bCs/>
                <w:color w:val="000000"/>
                <w:kern w:val="0"/>
                <w:sz w:val="24"/>
              </w:rPr>
            </w:pPr>
            <w:r>
              <w:rPr>
                <w:rFonts w:ascii="Times New Roman" w:hAnsi="Times New Roman" w:eastAsia="仿宋_GB2312"/>
                <w:b/>
                <w:bCs/>
                <w:color w:val="000000"/>
                <w:kern w:val="0"/>
                <w:sz w:val="24"/>
              </w:rPr>
              <w:t>　</w:t>
            </w:r>
          </w:p>
        </w:tc>
        <w:tc>
          <w:tcPr>
            <w:tcW w:w="780"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小计</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　</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　</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19.0</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　</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　</w:t>
            </w:r>
          </w:p>
        </w:tc>
      </w:tr>
      <w:tr>
        <w:tblPrEx>
          <w:tblCellMar>
            <w:top w:w="0" w:type="dxa"/>
            <w:left w:w="108" w:type="dxa"/>
            <w:bottom w:w="0" w:type="dxa"/>
            <w:right w:w="108" w:type="dxa"/>
          </w:tblCellMar>
        </w:tblPrEx>
        <w:trPr>
          <w:cantSplit/>
          <w:trHeight w:val="480" w:hRule="atLeast"/>
        </w:trPr>
        <w:tc>
          <w:tcPr>
            <w:tcW w:w="5000" w:type="pct"/>
            <w:gridSpan w:val="7"/>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
                <w:bCs/>
                <w:color w:val="000000"/>
                <w:kern w:val="0"/>
                <w:sz w:val="24"/>
              </w:rPr>
            </w:pPr>
            <w:r>
              <w:rPr>
                <w:rFonts w:ascii="Times New Roman" w:hAnsi="Times New Roman" w:eastAsia="仿宋_GB2312"/>
                <w:b/>
                <w:bCs/>
                <w:color w:val="000000"/>
                <w:kern w:val="0"/>
                <w:sz w:val="24"/>
              </w:rPr>
              <w:t>四、休闲农业发展工程</w:t>
            </w:r>
          </w:p>
        </w:tc>
      </w:tr>
      <w:tr>
        <w:tblPrEx>
          <w:tblCellMar>
            <w:top w:w="0" w:type="dxa"/>
            <w:left w:w="108" w:type="dxa"/>
            <w:bottom w:w="0" w:type="dxa"/>
            <w:right w:w="108" w:type="dxa"/>
          </w:tblCellMar>
        </w:tblPrEx>
        <w:trPr>
          <w:cantSplit/>
          <w:trHeight w:val="762"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1</w:t>
            </w:r>
          </w:p>
        </w:tc>
        <w:tc>
          <w:tcPr>
            <w:tcW w:w="780"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太青山茶旅融合发展项目</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1.5</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整合太青山茶叶资源，发掘太青山自然景观及文化底蕴，完善基础设施，打造茶旅融合旅游区。</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甘溪滩镇</w:t>
            </w:r>
          </w:p>
        </w:tc>
      </w:tr>
      <w:tr>
        <w:tblPrEx>
          <w:tblCellMar>
            <w:top w:w="0" w:type="dxa"/>
            <w:left w:w="108" w:type="dxa"/>
            <w:bottom w:w="0" w:type="dxa"/>
            <w:right w:w="108" w:type="dxa"/>
          </w:tblCellMar>
        </w:tblPrEx>
        <w:trPr>
          <w:cantSplit/>
          <w:trHeight w:val="1200"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2</w:t>
            </w:r>
          </w:p>
        </w:tc>
        <w:tc>
          <w:tcPr>
            <w:tcW w:w="780"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枫林大观园</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3.5</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依托3万亩花卉、果树、葡萄、湘莲、柑橘，马公湖、杨家湖万亩水面，渔光互补，九龙山自然风光，枫林寺等古迹，打造集休闲、宗教、水上乐园一体的枫林大观园</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如东镇</w:t>
            </w:r>
          </w:p>
        </w:tc>
      </w:tr>
      <w:tr>
        <w:tblPrEx>
          <w:tblCellMar>
            <w:top w:w="0" w:type="dxa"/>
            <w:left w:w="108" w:type="dxa"/>
            <w:bottom w:w="0" w:type="dxa"/>
            <w:right w:w="108" w:type="dxa"/>
          </w:tblCellMar>
        </w:tblPrEx>
        <w:trPr>
          <w:cantSplit/>
          <w:trHeight w:val="900"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3</w:t>
            </w:r>
          </w:p>
        </w:tc>
        <w:tc>
          <w:tcPr>
            <w:tcW w:w="780"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城头山等景区乡村旅游开发项目</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扩建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2021-2015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15</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围绕城头山、鸡叫城、彭山等景区，开发乡村休闲旅游产业</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城头山、涔南、澧南、梦溪等镇</w:t>
            </w:r>
          </w:p>
        </w:tc>
      </w:tr>
      <w:tr>
        <w:tblPrEx>
          <w:tblCellMar>
            <w:top w:w="0" w:type="dxa"/>
            <w:left w:w="108" w:type="dxa"/>
            <w:bottom w:w="0" w:type="dxa"/>
            <w:right w:w="108" w:type="dxa"/>
          </w:tblCellMar>
        </w:tblPrEx>
        <w:trPr>
          <w:cantSplit/>
          <w:trHeight w:val="679"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
                <w:bCs/>
                <w:color w:val="000000"/>
                <w:kern w:val="0"/>
                <w:sz w:val="24"/>
              </w:rPr>
            </w:pPr>
            <w:r>
              <w:rPr>
                <w:rFonts w:ascii="Times New Roman" w:hAnsi="Times New Roman" w:eastAsia="仿宋_GB2312"/>
                <w:b/>
                <w:bCs/>
                <w:color w:val="000000"/>
                <w:kern w:val="0"/>
                <w:sz w:val="24"/>
              </w:rPr>
              <w:t>　</w:t>
            </w:r>
          </w:p>
        </w:tc>
        <w:tc>
          <w:tcPr>
            <w:tcW w:w="780"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小计</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　</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　</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30.0</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　</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　</w:t>
            </w:r>
          </w:p>
        </w:tc>
      </w:tr>
      <w:tr>
        <w:tblPrEx>
          <w:tblCellMar>
            <w:top w:w="0" w:type="dxa"/>
            <w:left w:w="108" w:type="dxa"/>
            <w:bottom w:w="0" w:type="dxa"/>
            <w:right w:w="108" w:type="dxa"/>
          </w:tblCellMar>
        </w:tblPrEx>
        <w:trPr>
          <w:cantSplit/>
          <w:trHeight w:val="480" w:hRule="atLeast"/>
        </w:trPr>
        <w:tc>
          <w:tcPr>
            <w:tcW w:w="5000" w:type="pct"/>
            <w:gridSpan w:val="7"/>
            <w:tcBorders>
              <w:top w:val="single" w:color="auto" w:sz="4" w:space="0"/>
              <w:left w:val="single" w:color="auto" w:sz="4" w:space="0"/>
              <w:bottom w:val="single" w:color="auto" w:sz="4" w:space="0"/>
              <w:right w:val="single" w:color="000000" w:sz="4" w:space="0"/>
            </w:tcBorders>
            <w:shd w:val="clear" w:color="auto" w:fill="auto"/>
            <w:vAlign w:val="center"/>
          </w:tcPr>
          <w:p>
            <w:pPr>
              <w:widowControl/>
              <w:jc w:val="center"/>
              <w:rPr>
                <w:rFonts w:ascii="Times New Roman" w:hAnsi="Times New Roman" w:eastAsia="仿宋_GB2312"/>
                <w:b/>
                <w:bCs/>
                <w:color w:val="000000"/>
                <w:kern w:val="0"/>
                <w:sz w:val="24"/>
              </w:rPr>
            </w:pPr>
            <w:r>
              <w:rPr>
                <w:rFonts w:ascii="Times New Roman" w:hAnsi="Times New Roman" w:eastAsia="仿宋_GB2312"/>
                <w:b/>
                <w:bCs/>
                <w:color w:val="000000"/>
                <w:kern w:val="0"/>
                <w:sz w:val="24"/>
              </w:rPr>
              <w:t>五、农业产业园区建设工程</w:t>
            </w:r>
          </w:p>
        </w:tc>
      </w:tr>
      <w:tr>
        <w:tblPrEx>
          <w:tblCellMar>
            <w:top w:w="0" w:type="dxa"/>
            <w:left w:w="108" w:type="dxa"/>
            <w:bottom w:w="0" w:type="dxa"/>
            <w:right w:w="108" w:type="dxa"/>
          </w:tblCellMar>
        </w:tblPrEx>
        <w:trPr>
          <w:cantSplit/>
          <w:trHeight w:val="919" w:hRule="atLeast"/>
        </w:trPr>
        <w:tc>
          <w:tcPr>
            <w:tcW w:w="181" w:type="pct"/>
            <w:tcBorders>
              <w:top w:val="nil"/>
              <w:left w:val="single" w:color="auto" w:sz="4" w:space="0"/>
              <w:bottom w:val="single" w:color="auto" w:sz="4" w:space="0"/>
              <w:right w:val="nil"/>
            </w:tcBorders>
            <w:shd w:val="clear" w:color="auto" w:fill="auto"/>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1</w:t>
            </w:r>
          </w:p>
        </w:tc>
        <w:tc>
          <w:tcPr>
            <w:tcW w:w="780"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一园两中心</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7.8</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依托湖南锦绣千村农业专业合作社，建设“国家现代农业产业园、农民生产服务中心、农民生活服务中心”，国家现代农业产业园包括水稻智能化育秧工厂、农资配送中心、水稻新品种新技术新装备展示园、水稻生态种养示范园、农业观光体验园。</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城头山镇</w:t>
            </w:r>
          </w:p>
        </w:tc>
      </w:tr>
      <w:tr>
        <w:tblPrEx>
          <w:tblCellMar>
            <w:top w:w="0" w:type="dxa"/>
            <w:left w:w="108" w:type="dxa"/>
            <w:bottom w:w="0" w:type="dxa"/>
            <w:right w:w="108" w:type="dxa"/>
          </w:tblCellMar>
        </w:tblPrEx>
        <w:trPr>
          <w:cantSplit/>
          <w:trHeight w:val="859"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2</w:t>
            </w:r>
          </w:p>
        </w:tc>
        <w:tc>
          <w:tcPr>
            <w:tcW w:w="780"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葡萄科技产业示范园</w:t>
            </w:r>
          </w:p>
        </w:tc>
        <w:tc>
          <w:tcPr>
            <w:tcW w:w="291" w:type="pct"/>
            <w:tcBorders>
              <w:top w:val="single" w:color="auto" w:sz="4" w:space="0"/>
              <w:left w:val="single" w:color="auto" w:sz="4" w:space="0"/>
              <w:bottom w:val="single" w:color="auto" w:sz="4" w:space="0"/>
              <w:right w:val="nil"/>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437"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nil"/>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3</w:t>
            </w:r>
          </w:p>
        </w:tc>
        <w:tc>
          <w:tcPr>
            <w:tcW w:w="2166"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依托农康葡萄专业合作社，建设2000亩葡萄产业示范片、500亩葡萄智慧示范园、葡萄品种展示馆、葡萄科技培训大楼、葡萄研发中心、葡萄电商物流中心、葡萄主题广场.</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城头山镇</w:t>
            </w:r>
          </w:p>
        </w:tc>
      </w:tr>
      <w:tr>
        <w:tblPrEx>
          <w:tblCellMar>
            <w:top w:w="0" w:type="dxa"/>
            <w:left w:w="108" w:type="dxa"/>
            <w:bottom w:w="0" w:type="dxa"/>
            <w:right w:w="108" w:type="dxa"/>
          </w:tblCellMar>
        </w:tblPrEx>
        <w:trPr>
          <w:cantSplit/>
          <w:trHeight w:val="1579" w:hRule="atLeast"/>
        </w:trPr>
        <w:tc>
          <w:tcPr>
            <w:tcW w:w="181" w:type="pct"/>
            <w:tcBorders>
              <w:top w:val="nil"/>
              <w:left w:val="single" w:color="auto" w:sz="4" w:space="0"/>
              <w:bottom w:val="single" w:color="auto" w:sz="4" w:space="0"/>
              <w:right w:val="nil"/>
            </w:tcBorders>
            <w:shd w:val="clear" w:color="auto" w:fill="auto"/>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3</w:t>
            </w:r>
          </w:p>
        </w:tc>
        <w:tc>
          <w:tcPr>
            <w:tcW w:w="780"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澧水右岸田园综合体</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5.5</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1.建设澧水右岸风光带。包括沿9公里紫桥公路两旁十里花海，10.5公里澧水大堤风光带，澧水刘家洲、皮家洲，揭家洲洲滩湿地公园。</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2.完善彭钦艳风景区。包括华诚4A级风景区提质升级，钦山寺禅宗文化基地建设，钦山生态公园建设，艳州风景区开发等。</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3.建设虾稻田观光园。整合巨隆公司现有资源，开发千亩荷花基地、垂钓基地、蔬菜采摘基地，打造澧水流域最大的观光农业园。</w:t>
            </w:r>
          </w:p>
        </w:tc>
        <w:tc>
          <w:tcPr>
            <w:tcW w:w="610" w:type="pct"/>
            <w:tcBorders>
              <w:top w:val="nil"/>
              <w:left w:val="nil"/>
              <w:bottom w:val="single" w:color="auto" w:sz="4" w:space="0"/>
              <w:right w:val="single" w:color="auto" w:sz="4" w:space="0"/>
            </w:tcBorders>
            <w:shd w:val="clear" w:color="auto" w:fill="auto"/>
            <w:vAlign w:val="center"/>
          </w:tcPr>
          <w:p>
            <w:pPr>
              <w:widowControl/>
              <w:ind w:firstLine="240" w:firstLineChars="100"/>
              <w:jc w:val="left"/>
              <w:rPr>
                <w:rFonts w:ascii="Times New Roman" w:hAnsi="Times New Roman" w:eastAsia="仿宋_GB2312"/>
                <w:color w:val="000000"/>
                <w:kern w:val="0"/>
                <w:sz w:val="24"/>
              </w:rPr>
            </w:pPr>
            <w:r>
              <w:rPr>
                <w:rFonts w:ascii="Times New Roman" w:hAnsi="Times New Roman" w:eastAsia="仿宋_GB2312"/>
                <w:color w:val="000000"/>
                <w:kern w:val="0"/>
                <w:sz w:val="24"/>
              </w:rPr>
              <w:t>澧南镇</w:t>
            </w:r>
          </w:p>
        </w:tc>
      </w:tr>
      <w:tr>
        <w:tblPrEx>
          <w:tblCellMar>
            <w:top w:w="0" w:type="dxa"/>
            <w:left w:w="108" w:type="dxa"/>
            <w:bottom w:w="0" w:type="dxa"/>
            <w:right w:w="108" w:type="dxa"/>
          </w:tblCellMar>
        </w:tblPrEx>
        <w:trPr>
          <w:cantSplit/>
          <w:trHeight w:val="1740" w:hRule="atLeast"/>
        </w:trPr>
        <w:tc>
          <w:tcPr>
            <w:tcW w:w="181" w:type="pct"/>
            <w:tcBorders>
              <w:top w:val="nil"/>
              <w:left w:val="single" w:color="auto" w:sz="4" w:space="0"/>
              <w:bottom w:val="single" w:color="auto" w:sz="4" w:space="0"/>
              <w:right w:val="nil"/>
            </w:tcBorders>
            <w:shd w:val="clear" w:color="auto" w:fill="auto"/>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4</w:t>
            </w:r>
          </w:p>
        </w:tc>
        <w:tc>
          <w:tcPr>
            <w:tcW w:w="780"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现代农业公园</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5</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1.基础设施建设：1000亩</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2.智慧农业园：育苗工厂、蔬果栽培、物联网50亩</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3.农业展示园：新品种新技术新设备试验示范150亩</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4.观光休闲园：康养、采摘、垂钓、餐饮100亩</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5.农企孵化：吸引企业进驻 100亩</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6.农民教育培训基地：通过互联网建立农村科技人才网络培训平台，利用农业展示园建设农民教育实训基地，与科研院校联姻成立农业专家团队。</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澧西街道</w:t>
            </w:r>
          </w:p>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马堰村、</w:t>
            </w:r>
          </w:p>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新高堰村</w:t>
            </w:r>
          </w:p>
        </w:tc>
      </w:tr>
      <w:tr>
        <w:tblPrEx>
          <w:tblCellMar>
            <w:top w:w="0" w:type="dxa"/>
            <w:left w:w="108" w:type="dxa"/>
            <w:bottom w:w="0" w:type="dxa"/>
            <w:right w:w="108" w:type="dxa"/>
          </w:tblCellMar>
        </w:tblPrEx>
        <w:trPr>
          <w:cantSplit/>
          <w:trHeight w:val="960" w:hRule="atLeast"/>
        </w:trPr>
        <w:tc>
          <w:tcPr>
            <w:tcW w:w="181" w:type="pct"/>
            <w:tcBorders>
              <w:top w:val="nil"/>
              <w:left w:val="single" w:color="auto" w:sz="4" w:space="0"/>
              <w:bottom w:val="single" w:color="auto" w:sz="4" w:space="0"/>
              <w:right w:val="nil"/>
            </w:tcBorders>
            <w:shd w:val="clear" w:color="auto" w:fill="auto"/>
            <w:vAlign w:val="center"/>
          </w:tcPr>
          <w:p>
            <w:pPr>
              <w:widowControl/>
              <w:jc w:val="center"/>
              <w:rPr>
                <w:rFonts w:ascii="Times New Roman" w:hAnsi="Times New Roman" w:eastAsia="仿宋_GB2312"/>
                <w:bCs/>
                <w:color w:val="000000"/>
                <w:kern w:val="0"/>
                <w:sz w:val="24"/>
              </w:rPr>
            </w:pPr>
            <w:r>
              <w:rPr>
                <w:rFonts w:ascii="Times New Roman" w:hAnsi="Times New Roman" w:eastAsia="仿宋_GB2312"/>
                <w:bCs/>
                <w:color w:val="000000"/>
                <w:kern w:val="0"/>
                <w:sz w:val="24"/>
              </w:rPr>
              <w:t>5</w:t>
            </w:r>
          </w:p>
        </w:tc>
        <w:tc>
          <w:tcPr>
            <w:tcW w:w="780"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产业强镇建设</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新建</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2021-2025</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20</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建设城头山葡萄、复兴桔柚、王家厂中药材、官垸对虾、澧南休闲农业等五个产业强镇</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城头山、复兴、王家厂、官垸、澧南</w:t>
            </w:r>
          </w:p>
        </w:tc>
      </w:tr>
      <w:tr>
        <w:tblPrEx>
          <w:tblCellMar>
            <w:top w:w="0" w:type="dxa"/>
            <w:left w:w="108" w:type="dxa"/>
            <w:bottom w:w="0" w:type="dxa"/>
            <w:right w:w="108" w:type="dxa"/>
          </w:tblCellMar>
        </w:tblPrEx>
        <w:trPr>
          <w:cantSplit/>
          <w:trHeight w:val="294"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
                <w:bCs/>
                <w:color w:val="000000"/>
                <w:kern w:val="0"/>
                <w:sz w:val="24"/>
              </w:rPr>
            </w:pPr>
            <w:r>
              <w:rPr>
                <w:rFonts w:ascii="Times New Roman" w:hAnsi="Times New Roman" w:eastAsia="仿宋_GB2312"/>
                <w:b/>
                <w:bCs/>
                <w:color w:val="000000"/>
                <w:kern w:val="0"/>
                <w:sz w:val="24"/>
              </w:rPr>
              <w:t>　</w:t>
            </w:r>
          </w:p>
        </w:tc>
        <w:tc>
          <w:tcPr>
            <w:tcW w:w="780"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小计</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　</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　</w:t>
            </w:r>
          </w:p>
        </w:tc>
        <w:tc>
          <w:tcPr>
            <w:tcW w:w="535"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41.3</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　</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olor w:val="000000"/>
                <w:kern w:val="0"/>
                <w:sz w:val="24"/>
              </w:rPr>
            </w:pPr>
            <w:r>
              <w:rPr>
                <w:rFonts w:ascii="Times New Roman" w:hAnsi="Times New Roman" w:eastAsia="仿宋_GB2312"/>
                <w:color w:val="000000"/>
                <w:kern w:val="0"/>
                <w:sz w:val="24"/>
              </w:rPr>
              <w:t>　</w:t>
            </w:r>
          </w:p>
        </w:tc>
      </w:tr>
      <w:tr>
        <w:tblPrEx>
          <w:tblCellMar>
            <w:top w:w="0" w:type="dxa"/>
            <w:left w:w="108" w:type="dxa"/>
            <w:bottom w:w="0" w:type="dxa"/>
            <w:right w:w="108" w:type="dxa"/>
          </w:tblCellMar>
        </w:tblPrEx>
        <w:trPr>
          <w:cantSplit/>
          <w:trHeight w:val="255" w:hRule="atLeast"/>
        </w:trPr>
        <w:tc>
          <w:tcPr>
            <w:tcW w:w="18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b/>
                <w:bCs/>
                <w:color w:val="000000"/>
                <w:kern w:val="0"/>
                <w:sz w:val="24"/>
              </w:rPr>
            </w:pPr>
            <w:r>
              <w:rPr>
                <w:rFonts w:ascii="Times New Roman" w:hAnsi="Times New Roman" w:eastAsia="仿宋_GB2312"/>
                <w:b/>
                <w:bCs/>
                <w:color w:val="000000"/>
                <w:kern w:val="0"/>
                <w:sz w:val="24"/>
              </w:rPr>
              <w:t>　</w:t>
            </w:r>
          </w:p>
        </w:tc>
        <w:tc>
          <w:tcPr>
            <w:tcW w:w="780"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b/>
                <w:color w:val="000000"/>
                <w:kern w:val="0"/>
                <w:sz w:val="24"/>
              </w:rPr>
            </w:pPr>
            <w:r>
              <w:rPr>
                <w:rFonts w:ascii="Times New Roman" w:hAnsi="Times New Roman" w:eastAsia="仿宋_GB2312"/>
                <w:b/>
                <w:color w:val="000000"/>
                <w:kern w:val="0"/>
                <w:sz w:val="24"/>
              </w:rPr>
              <w:t>合计</w:t>
            </w:r>
          </w:p>
        </w:tc>
        <w:tc>
          <w:tcPr>
            <w:tcW w:w="291"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b/>
                <w:color w:val="000000"/>
                <w:kern w:val="0"/>
                <w:sz w:val="24"/>
              </w:rPr>
            </w:pPr>
            <w:r>
              <w:rPr>
                <w:rFonts w:ascii="Times New Roman" w:hAnsi="Times New Roman" w:eastAsia="仿宋_GB2312"/>
                <w:b/>
                <w:color w:val="000000"/>
                <w:kern w:val="0"/>
                <w:sz w:val="24"/>
              </w:rPr>
              <w:t>　</w:t>
            </w:r>
          </w:p>
        </w:tc>
        <w:tc>
          <w:tcPr>
            <w:tcW w:w="437" w:type="pct"/>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b/>
                <w:kern w:val="0"/>
                <w:sz w:val="24"/>
              </w:rPr>
            </w:pPr>
            <w:r>
              <w:rPr>
                <w:rFonts w:ascii="Times New Roman" w:hAnsi="Times New Roman" w:eastAsia="仿宋_GB2312"/>
                <w:b/>
                <w:kern w:val="0"/>
                <w:sz w:val="24"/>
              </w:rPr>
              <w:t>　</w:t>
            </w:r>
          </w:p>
        </w:tc>
        <w:tc>
          <w:tcPr>
            <w:tcW w:w="535"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b/>
                <w:kern w:val="0"/>
                <w:sz w:val="24"/>
              </w:rPr>
            </w:pPr>
            <w:r>
              <w:rPr>
                <w:rFonts w:ascii="Times New Roman" w:hAnsi="Times New Roman" w:eastAsia="仿宋_GB2312"/>
                <w:b/>
                <w:kern w:val="0"/>
                <w:sz w:val="24"/>
              </w:rPr>
              <w:t>178.2</w:t>
            </w:r>
          </w:p>
        </w:tc>
        <w:tc>
          <w:tcPr>
            <w:tcW w:w="2166"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b/>
                <w:color w:val="000000"/>
                <w:kern w:val="0"/>
                <w:sz w:val="24"/>
              </w:rPr>
            </w:pPr>
            <w:r>
              <w:rPr>
                <w:rFonts w:ascii="Times New Roman" w:hAnsi="Times New Roman" w:eastAsia="仿宋_GB2312"/>
                <w:b/>
                <w:color w:val="000000"/>
                <w:kern w:val="0"/>
                <w:sz w:val="24"/>
              </w:rPr>
              <w:t>　</w:t>
            </w:r>
          </w:p>
        </w:tc>
        <w:tc>
          <w:tcPr>
            <w:tcW w:w="610" w:type="pct"/>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b/>
                <w:color w:val="000000"/>
                <w:kern w:val="0"/>
                <w:sz w:val="24"/>
              </w:rPr>
            </w:pPr>
            <w:r>
              <w:rPr>
                <w:rFonts w:ascii="Times New Roman" w:hAnsi="Times New Roman" w:eastAsia="仿宋_GB2312"/>
                <w:b/>
                <w:color w:val="000000"/>
                <w:kern w:val="0"/>
                <w:sz w:val="24"/>
              </w:rPr>
              <w:t>　</w:t>
            </w:r>
          </w:p>
        </w:tc>
      </w:tr>
    </w:tbl>
    <w:p>
      <w:pPr>
        <w:spacing w:line="360" w:lineRule="auto"/>
        <w:jc w:val="center"/>
        <w:rPr>
          <w:rFonts w:ascii="Times New Roman" w:hAnsi="Times New Roman" w:eastAsia="仿宋_GB2312"/>
          <w:b/>
          <w:sz w:val="32"/>
          <w:szCs w:val="32"/>
        </w:rPr>
      </w:pPr>
    </w:p>
    <w:sectPr>
      <w:pgSz w:w="16838" w:h="11906" w:orient="landscape"/>
      <w:pgMar w:top="1797" w:right="1440" w:bottom="1797"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Plotter">
    <w:altName w:val="Times New Roman"/>
    <w:panose1 w:val="00000000000000000000"/>
    <w:charset w:val="00"/>
    <w:family w:val="roman"/>
    <w:pitch w:val="default"/>
    <w:sig w:usb0="00000000" w:usb1="00000000" w:usb2="00000000" w:usb3="00000000" w:csb0="00000000" w:csb1="00000000"/>
  </w:font>
  <w:font w:name="仿宋_GB2312">
    <w:panose1 w:val="02010609030101010101"/>
    <w:charset w:val="86"/>
    <w:family w:val="modern"/>
    <w:pitch w:val="default"/>
    <w:sig w:usb0="00000001" w:usb1="080E0000" w:usb2="00000000" w:usb3="00000000" w:csb0="00040000" w:csb1="00000000"/>
  </w:font>
  <w:font w:name="Arial">
    <w:panose1 w:val="020B0604020202020204"/>
    <w:charset w:val="00"/>
    <w:family w:val="swiss"/>
    <w:pitch w:val="default"/>
    <w:sig w:usb0="E0002AFF" w:usb1="C0007843" w:usb2="00000009" w:usb3="00000000" w:csb0="400001FF" w:csb1="FFFF0000"/>
  </w:font>
  <w:font w:name="仿宋">
    <w:panose1 w:val="02010609060101010101"/>
    <w:charset w:val="86"/>
    <w:family w:val="modern"/>
    <w:pitch w:val="default"/>
    <w:sig w:usb0="800002BF" w:usb1="38CF7CFA" w:usb2="00000016" w:usb3="00000000" w:csb0="00040001" w:csb1="00000000"/>
  </w:font>
  <w:font w:name="PMingLiU">
    <w:panose1 w:val="02020500000000000000"/>
    <w:charset w:val="88"/>
    <w:family w:val="auto"/>
    <w:pitch w:val="default"/>
    <w:sig w:usb0="A00002FF" w:usb1="28CFFCFA" w:usb2="00000016" w:usb3="00000000" w:csb0="00100001" w:csb1="00000000"/>
  </w:font>
  <w:font w:name="方正小标宋简体">
    <w:panose1 w:val="02010601030101010101"/>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Segoe UI Symbol">
    <w:panose1 w:val="020B0502040204020203"/>
    <w:charset w:val="00"/>
    <w:family w:val="swiss"/>
    <w:pitch w:val="default"/>
    <w:sig w:usb0="8000006F" w:usb1="1200FBEF" w:usb2="0064C000" w:usb3="00000002" w:csb0="0000000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84186737"/>
      <w:showingPlcHdr/>
    </w:sdtPr>
    <w:sdtContent>
      <w:p>
        <w:pPr>
          <w:pStyle w:val="16"/>
          <w:jc w:val="center"/>
        </w:pPr>
      </w:p>
    </w:sdtContent>
  </w:sdt>
  <w:p>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13049501"/>
      <w:showingPlcHdr/>
    </w:sdtPr>
    <w:sdtContent>
      <w:p>
        <w:pPr>
          <w:pStyle w:val="16"/>
        </w:pPr>
        <w:r>
          <w:t xml:space="preserve">     </w:t>
        </w:r>
      </w:p>
    </w:sdtContent>
  </w:sdt>
  <w:p>
    <w:pPr>
      <w:pStyle w:val="1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26618057"/>
    </w:sdtPr>
    <w:sdtContent>
      <w:p>
        <w:pPr>
          <w:pStyle w:val="16"/>
          <w:jc w:val="center"/>
        </w:pPr>
        <w:r>
          <w:rPr>
            <w:rFonts w:ascii="Times New Roman" w:hAnsi="Times New Roman"/>
          </w:rPr>
          <w:fldChar w:fldCharType="begin"/>
        </w:r>
        <w:r>
          <w:rPr>
            <w:rFonts w:ascii="Times New Roman" w:hAnsi="Times New Roman"/>
          </w:rPr>
          <w:instrText xml:space="preserve"> PAGE   \* MERGEFORMAT </w:instrText>
        </w:r>
        <w:r>
          <w:rPr>
            <w:rFonts w:ascii="Times New Roman" w:hAnsi="Times New Roman"/>
          </w:rPr>
          <w:fldChar w:fldCharType="separate"/>
        </w:r>
        <w:r>
          <w:rPr>
            <w:rFonts w:ascii="Times New Roman" w:hAnsi="Times New Roman"/>
            <w:lang w:val="zh-CN"/>
          </w:rPr>
          <w:t>11</w:t>
        </w:r>
        <w:r>
          <w:rPr>
            <w:rFonts w:ascii="Times New Roman" w:hAnsi="Times New Roman"/>
            <w:lang w:val="zh-CN"/>
          </w:rPr>
          <w:fldChar w:fldCharType="end"/>
        </w:r>
      </w:p>
    </w:sdtContent>
  </w:sdt>
  <w:p>
    <w:pPr>
      <w:pStyle w:val="1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FA53671"/>
    <w:multiLevelType w:val="multilevel"/>
    <w:tmpl w:val="4FA53671"/>
    <w:lvl w:ilvl="0" w:tentative="0">
      <w:start w:val="1"/>
      <w:numFmt w:val="japaneseCounting"/>
      <w:lvlText w:val="第%1章"/>
      <w:lvlJc w:val="left"/>
      <w:pPr>
        <w:ind w:left="1080" w:hanging="108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hideSpellingErrors/>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jZkY2IxY2U3NzVjM2I5YTZkNWI5MmM0OGU0MjY1YmIifQ=="/>
    <w:docVar w:name="KSO_WPS_MARK_KEY" w:val="314115d4-18fc-490a-bd7e-a61ea147091d"/>
  </w:docVars>
  <w:rsids>
    <w:rsidRoot w:val="00C52A6E"/>
    <w:rsid w:val="00000444"/>
    <w:rsid w:val="000007BC"/>
    <w:rsid w:val="00000B82"/>
    <w:rsid w:val="00000CB0"/>
    <w:rsid w:val="00001131"/>
    <w:rsid w:val="00001224"/>
    <w:rsid w:val="000012FA"/>
    <w:rsid w:val="0000198F"/>
    <w:rsid w:val="00001D9A"/>
    <w:rsid w:val="000022B3"/>
    <w:rsid w:val="0000271F"/>
    <w:rsid w:val="00002C97"/>
    <w:rsid w:val="00002F72"/>
    <w:rsid w:val="00003216"/>
    <w:rsid w:val="000036F4"/>
    <w:rsid w:val="00003969"/>
    <w:rsid w:val="00003F69"/>
    <w:rsid w:val="0000401C"/>
    <w:rsid w:val="00004089"/>
    <w:rsid w:val="00004E6A"/>
    <w:rsid w:val="0000546F"/>
    <w:rsid w:val="00005498"/>
    <w:rsid w:val="00005B72"/>
    <w:rsid w:val="00006024"/>
    <w:rsid w:val="0000638B"/>
    <w:rsid w:val="00006487"/>
    <w:rsid w:val="000068FF"/>
    <w:rsid w:val="00006A60"/>
    <w:rsid w:val="00006A79"/>
    <w:rsid w:val="00007299"/>
    <w:rsid w:val="00007468"/>
    <w:rsid w:val="000101B7"/>
    <w:rsid w:val="00010816"/>
    <w:rsid w:val="00010DD0"/>
    <w:rsid w:val="0001127B"/>
    <w:rsid w:val="000112A4"/>
    <w:rsid w:val="00011334"/>
    <w:rsid w:val="00011957"/>
    <w:rsid w:val="00011E04"/>
    <w:rsid w:val="00011E64"/>
    <w:rsid w:val="00011F6E"/>
    <w:rsid w:val="00012804"/>
    <w:rsid w:val="0001281C"/>
    <w:rsid w:val="00012D5B"/>
    <w:rsid w:val="000139EE"/>
    <w:rsid w:val="00013BAF"/>
    <w:rsid w:val="0001416E"/>
    <w:rsid w:val="0001435B"/>
    <w:rsid w:val="000145CA"/>
    <w:rsid w:val="0001460C"/>
    <w:rsid w:val="00014797"/>
    <w:rsid w:val="00014E3A"/>
    <w:rsid w:val="00015836"/>
    <w:rsid w:val="00015B53"/>
    <w:rsid w:val="00015D81"/>
    <w:rsid w:val="00015EDF"/>
    <w:rsid w:val="0001607F"/>
    <w:rsid w:val="0001642E"/>
    <w:rsid w:val="000168EB"/>
    <w:rsid w:val="000171A1"/>
    <w:rsid w:val="00017B2F"/>
    <w:rsid w:val="000201B2"/>
    <w:rsid w:val="00020673"/>
    <w:rsid w:val="00020792"/>
    <w:rsid w:val="000220DB"/>
    <w:rsid w:val="00022929"/>
    <w:rsid w:val="00022953"/>
    <w:rsid w:val="00022F99"/>
    <w:rsid w:val="000233D4"/>
    <w:rsid w:val="00023417"/>
    <w:rsid w:val="00023BBF"/>
    <w:rsid w:val="00024BC1"/>
    <w:rsid w:val="000252F1"/>
    <w:rsid w:val="00025C17"/>
    <w:rsid w:val="00025CF2"/>
    <w:rsid w:val="000266A5"/>
    <w:rsid w:val="000266EE"/>
    <w:rsid w:val="00026968"/>
    <w:rsid w:val="00026E49"/>
    <w:rsid w:val="0002750B"/>
    <w:rsid w:val="00027BE4"/>
    <w:rsid w:val="00027DD4"/>
    <w:rsid w:val="0003014D"/>
    <w:rsid w:val="00030977"/>
    <w:rsid w:val="00030D68"/>
    <w:rsid w:val="00030F5C"/>
    <w:rsid w:val="000317BC"/>
    <w:rsid w:val="000317CE"/>
    <w:rsid w:val="00031B73"/>
    <w:rsid w:val="00031D4B"/>
    <w:rsid w:val="00031F3B"/>
    <w:rsid w:val="0003251E"/>
    <w:rsid w:val="0003277D"/>
    <w:rsid w:val="0003296C"/>
    <w:rsid w:val="00032DB2"/>
    <w:rsid w:val="00033666"/>
    <w:rsid w:val="0003370A"/>
    <w:rsid w:val="00034795"/>
    <w:rsid w:val="00034813"/>
    <w:rsid w:val="00034EA7"/>
    <w:rsid w:val="00034F28"/>
    <w:rsid w:val="000358D7"/>
    <w:rsid w:val="00035ABE"/>
    <w:rsid w:val="0003600A"/>
    <w:rsid w:val="00036A1D"/>
    <w:rsid w:val="00036A91"/>
    <w:rsid w:val="00036AF2"/>
    <w:rsid w:val="00036D45"/>
    <w:rsid w:val="00037306"/>
    <w:rsid w:val="000374ED"/>
    <w:rsid w:val="00037724"/>
    <w:rsid w:val="00037A2A"/>
    <w:rsid w:val="00037EE7"/>
    <w:rsid w:val="0004004E"/>
    <w:rsid w:val="000400C7"/>
    <w:rsid w:val="00040306"/>
    <w:rsid w:val="00040393"/>
    <w:rsid w:val="0004098D"/>
    <w:rsid w:val="00040BCB"/>
    <w:rsid w:val="0004130C"/>
    <w:rsid w:val="0004136E"/>
    <w:rsid w:val="00041A9F"/>
    <w:rsid w:val="00042274"/>
    <w:rsid w:val="0004262A"/>
    <w:rsid w:val="000428E7"/>
    <w:rsid w:val="00042CD6"/>
    <w:rsid w:val="00043075"/>
    <w:rsid w:val="000435AF"/>
    <w:rsid w:val="00043D02"/>
    <w:rsid w:val="00043E02"/>
    <w:rsid w:val="00043E63"/>
    <w:rsid w:val="00044143"/>
    <w:rsid w:val="0004427B"/>
    <w:rsid w:val="0004450A"/>
    <w:rsid w:val="0004456D"/>
    <w:rsid w:val="00044867"/>
    <w:rsid w:val="0004494B"/>
    <w:rsid w:val="00044E96"/>
    <w:rsid w:val="00045276"/>
    <w:rsid w:val="0004539C"/>
    <w:rsid w:val="00045D23"/>
    <w:rsid w:val="00046121"/>
    <w:rsid w:val="000462D6"/>
    <w:rsid w:val="000466DE"/>
    <w:rsid w:val="00046A14"/>
    <w:rsid w:val="00046A90"/>
    <w:rsid w:val="00047E42"/>
    <w:rsid w:val="00047E4B"/>
    <w:rsid w:val="00047EEB"/>
    <w:rsid w:val="00050740"/>
    <w:rsid w:val="000509F5"/>
    <w:rsid w:val="00050A16"/>
    <w:rsid w:val="00050F5D"/>
    <w:rsid w:val="000513CF"/>
    <w:rsid w:val="00051843"/>
    <w:rsid w:val="00051952"/>
    <w:rsid w:val="0005211C"/>
    <w:rsid w:val="000522D8"/>
    <w:rsid w:val="00052392"/>
    <w:rsid w:val="000526F4"/>
    <w:rsid w:val="00052D67"/>
    <w:rsid w:val="00052E9C"/>
    <w:rsid w:val="000532FE"/>
    <w:rsid w:val="0005393F"/>
    <w:rsid w:val="00054AAB"/>
    <w:rsid w:val="000558E5"/>
    <w:rsid w:val="00055E03"/>
    <w:rsid w:val="00055F68"/>
    <w:rsid w:val="000563FC"/>
    <w:rsid w:val="000570C9"/>
    <w:rsid w:val="0005712E"/>
    <w:rsid w:val="00057721"/>
    <w:rsid w:val="0005777E"/>
    <w:rsid w:val="00057801"/>
    <w:rsid w:val="000578B7"/>
    <w:rsid w:val="00057DD3"/>
    <w:rsid w:val="0006042B"/>
    <w:rsid w:val="00060DAD"/>
    <w:rsid w:val="00061814"/>
    <w:rsid w:val="00061ABD"/>
    <w:rsid w:val="0006209B"/>
    <w:rsid w:val="0006211C"/>
    <w:rsid w:val="00062222"/>
    <w:rsid w:val="0006238F"/>
    <w:rsid w:val="000623A5"/>
    <w:rsid w:val="00062B7B"/>
    <w:rsid w:val="00062F7F"/>
    <w:rsid w:val="000633D2"/>
    <w:rsid w:val="00063425"/>
    <w:rsid w:val="00063492"/>
    <w:rsid w:val="000639E2"/>
    <w:rsid w:val="00063ACA"/>
    <w:rsid w:val="00063F6C"/>
    <w:rsid w:val="00064422"/>
    <w:rsid w:val="00064509"/>
    <w:rsid w:val="00064936"/>
    <w:rsid w:val="00064CCB"/>
    <w:rsid w:val="00064DC9"/>
    <w:rsid w:val="0006515D"/>
    <w:rsid w:val="00065460"/>
    <w:rsid w:val="000654ED"/>
    <w:rsid w:val="000656F6"/>
    <w:rsid w:val="000660D9"/>
    <w:rsid w:val="000668AD"/>
    <w:rsid w:val="00066967"/>
    <w:rsid w:val="00066B55"/>
    <w:rsid w:val="00066BCF"/>
    <w:rsid w:val="0006702C"/>
    <w:rsid w:val="0006706B"/>
    <w:rsid w:val="000672B7"/>
    <w:rsid w:val="000676A5"/>
    <w:rsid w:val="0006771B"/>
    <w:rsid w:val="00067793"/>
    <w:rsid w:val="000678EE"/>
    <w:rsid w:val="00067A82"/>
    <w:rsid w:val="00067E8A"/>
    <w:rsid w:val="000702AC"/>
    <w:rsid w:val="00070478"/>
    <w:rsid w:val="00070817"/>
    <w:rsid w:val="00070A37"/>
    <w:rsid w:val="00071160"/>
    <w:rsid w:val="00071700"/>
    <w:rsid w:val="00071827"/>
    <w:rsid w:val="00071C5E"/>
    <w:rsid w:val="0007243A"/>
    <w:rsid w:val="000724E5"/>
    <w:rsid w:val="00072551"/>
    <w:rsid w:val="000731CA"/>
    <w:rsid w:val="00073979"/>
    <w:rsid w:val="00073B63"/>
    <w:rsid w:val="00073CDA"/>
    <w:rsid w:val="00073D08"/>
    <w:rsid w:val="000743E7"/>
    <w:rsid w:val="00074D64"/>
    <w:rsid w:val="00075109"/>
    <w:rsid w:val="000757CC"/>
    <w:rsid w:val="00075B24"/>
    <w:rsid w:val="00075EE0"/>
    <w:rsid w:val="00076041"/>
    <w:rsid w:val="00076225"/>
    <w:rsid w:val="0007627F"/>
    <w:rsid w:val="0007645A"/>
    <w:rsid w:val="00076C86"/>
    <w:rsid w:val="00077015"/>
    <w:rsid w:val="00077198"/>
    <w:rsid w:val="00077709"/>
    <w:rsid w:val="000777B1"/>
    <w:rsid w:val="00077895"/>
    <w:rsid w:val="00077B63"/>
    <w:rsid w:val="00077E9C"/>
    <w:rsid w:val="00080F66"/>
    <w:rsid w:val="000810AE"/>
    <w:rsid w:val="000812B1"/>
    <w:rsid w:val="0008150A"/>
    <w:rsid w:val="0008197E"/>
    <w:rsid w:val="00081B0A"/>
    <w:rsid w:val="000820BD"/>
    <w:rsid w:val="0008229C"/>
    <w:rsid w:val="00082899"/>
    <w:rsid w:val="00083012"/>
    <w:rsid w:val="000830EF"/>
    <w:rsid w:val="0008346A"/>
    <w:rsid w:val="00083D51"/>
    <w:rsid w:val="000840B2"/>
    <w:rsid w:val="0008423F"/>
    <w:rsid w:val="000844E6"/>
    <w:rsid w:val="0008477E"/>
    <w:rsid w:val="000848AD"/>
    <w:rsid w:val="00084DB3"/>
    <w:rsid w:val="000859B0"/>
    <w:rsid w:val="00085CD2"/>
    <w:rsid w:val="000863E9"/>
    <w:rsid w:val="00086CA6"/>
    <w:rsid w:val="00087042"/>
    <w:rsid w:val="00087078"/>
    <w:rsid w:val="000870AC"/>
    <w:rsid w:val="00087136"/>
    <w:rsid w:val="0008783C"/>
    <w:rsid w:val="0009029C"/>
    <w:rsid w:val="00090593"/>
    <w:rsid w:val="00090726"/>
    <w:rsid w:val="00090DC0"/>
    <w:rsid w:val="00090F19"/>
    <w:rsid w:val="00090FAD"/>
    <w:rsid w:val="00091150"/>
    <w:rsid w:val="00091646"/>
    <w:rsid w:val="000918CA"/>
    <w:rsid w:val="00091BA1"/>
    <w:rsid w:val="00091DBB"/>
    <w:rsid w:val="00091F23"/>
    <w:rsid w:val="00091FD8"/>
    <w:rsid w:val="000920B8"/>
    <w:rsid w:val="00092301"/>
    <w:rsid w:val="000925F1"/>
    <w:rsid w:val="00092DDE"/>
    <w:rsid w:val="00092E16"/>
    <w:rsid w:val="00092FC5"/>
    <w:rsid w:val="000937C4"/>
    <w:rsid w:val="00093C12"/>
    <w:rsid w:val="00094392"/>
    <w:rsid w:val="000948DB"/>
    <w:rsid w:val="00094C5D"/>
    <w:rsid w:val="00094DC6"/>
    <w:rsid w:val="00094E47"/>
    <w:rsid w:val="00094E55"/>
    <w:rsid w:val="00094E78"/>
    <w:rsid w:val="0009562A"/>
    <w:rsid w:val="0009565B"/>
    <w:rsid w:val="0009625D"/>
    <w:rsid w:val="00096374"/>
    <w:rsid w:val="0009682B"/>
    <w:rsid w:val="00096889"/>
    <w:rsid w:val="00096B8D"/>
    <w:rsid w:val="00096D44"/>
    <w:rsid w:val="00096E0C"/>
    <w:rsid w:val="00096EE7"/>
    <w:rsid w:val="00096F2E"/>
    <w:rsid w:val="00096FB7"/>
    <w:rsid w:val="00097322"/>
    <w:rsid w:val="00097382"/>
    <w:rsid w:val="00097D03"/>
    <w:rsid w:val="000A00E6"/>
    <w:rsid w:val="000A01AD"/>
    <w:rsid w:val="000A08E2"/>
    <w:rsid w:val="000A0F94"/>
    <w:rsid w:val="000A13A4"/>
    <w:rsid w:val="000A1673"/>
    <w:rsid w:val="000A217B"/>
    <w:rsid w:val="000A24E8"/>
    <w:rsid w:val="000A250C"/>
    <w:rsid w:val="000A2B14"/>
    <w:rsid w:val="000A3210"/>
    <w:rsid w:val="000A3584"/>
    <w:rsid w:val="000A378B"/>
    <w:rsid w:val="000A3A80"/>
    <w:rsid w:val="000A3B5F"/>
    <w:rsid w:val="000A3D8A"/>
    <w:rsid w:val="000A3F53"/>
    <w:rsid w:val="000A4C51"/>
    <w:rsid w:val="000A52D5"/>
    <w:rsid w:val="000A548A"/>
    <w:rsid w:val="000A54BA"/>
    <w:rsid w:val="000A55C1"/>
    <w:rsid w:val="000A55EF"/>
    <w:rsid w:val="000A5970"/>
    <w:rsid w:val="000A61AC"/>
    <w:rsid w:val="000A649F"/>
    <w:rsid w:val="000A680E"/>
    <w:rsid w:val="000A6BE6"/>
    <w:rsid w:val="000A6E27"/>
    <w:rsid w:val="000A7233"/>
    <w:rsid w:val="000A73C4"/>
    <w:rsid w:val="000A7498"/>
    <w:rsid w:val="000A778C"/>
    <w:rsid w:val="000A7803"/>
    <w:rsid w:val="000A7CC4"/>
    <w:rsid w:val="000A7CD9"/>
    <w:rsid w:val="000A7D37"/>
    <w:rsid w:val="000B01B1"/>
    <w:rsid w:val="000B01FE"/>
    <w:rsid w:val="000B0770"/>
    <w:rsid w:val="000B09FA"/>
    <w:rsid w:val="000B0AF7"/>
    <w:rsid w:val="000B0DE3"/>
    <w:rsid w:val="000B135A"/>
    <w:rsid w:val="000B140F"/>
    <w:rsid w:val="000B14AE"/>
    <w:rsid w:val="000B16B6"/>
    <w:rsid w:val="000B1CEF"/>
    <w:rsid w:val="000B228B"/>
    <w:rsid w:val="000B2C05"/>
    <w:rsid w:val="000B31A5"/>
    <w:rsid w:val="000B3BC7"/>
    <w:rsid w:val="000B3CDD"/>
    <w:rsid w:val="000B3CF8"/>
    <w:rsid w:val="000B3D98"/>
    <w:rsid w:val="000B3E86"/>
    <w:rsid w:val="000B459A"/>
    <w:rsid w:val="000B4A54"/>
    <w:rsid w:val="000B4D43"/>
    <w:rsid w:val="000B4DC6"/>
    <w:rsid w:val="000B4ED4"/>
    <w:rsid w:val="000B5085"/>
    <w:rsid w:val="000B50F8"/>
    <w:rsid w:val="000B5173"/>
    <w:rsid w:val="000B5782"/>
    <w:rsid w:val="000B5799"/>
    <w:rsid w:val="000B5913"/>
    <w:rsid w:val="000B5B97"/>
    <w:rsid w:val="000B6029"/>
    <w:rsid w:val="000B64DC"/>
    <w:rsid w:val="000B6C65"/>
    <w:rsid w:val="000B6FF8"/>
    <w:rsid w:val="000B790A"/>
    <w:rsid w:val="000B797A"/>
    <w:rsid w:val="000B7F6C"/>
    <w:rsid w:val="000C0056"/>
    <w:rsid w:val="000C026B"/>
    <w:rsid w:val="000C0273"/>
    <w:rsid w:val="000C0859"/>
    <w:rsid w:val="000C0BF4"/>
    <w:rsid w:val="000C0FE6"/>
    <w:rsid w:val="000C1083"/>
    <w:rsid w:val="000C1C21"/>
    <w:rsid w:val="000C2152"/>
    <w:rsid w:val="000C21A6"/>
    <w:rsid w:val="000C2226"/>
    <w:rsid w:val="000C25DE"/>
    <w:rsid w:val="000C28E9"/>
    <w:rsid w:val="000C2A4E"/>
    <w:rsid w:val="000C2DA1"/>
    <w:rsid w:val="000C303C"/>
    <w:rsid w:val="000C30F1"/>
    <w:rsid w:val="000C31D1"/>
    <w:rsid w:val="000C325D"/>
    <w:rsid w:val="000C33B4"/>
    <w:rsid w:val="000C3D09"/>
    <w:rsid w:val="000C3F37"/>
    <w:rsid w:val="000C3FAF"/>
    <w:rsid w:val="000C4048"/>
    <w:rsid w:val="000C438E"/>
    <w:rsid w:val="000C4654"/>
    <w:rsid w:val="000C49B7"/>
    <w:rsid w:val="000C4A68"/>
    <w:rsid w:val="000C4A96"/>
    <w:rsid w:val="000C4BC5"/>
    <w:rsid w:val="000C5710"/>
    <w:rsid w:val="000C5754"/>
    <w:rsid w:val="000C5EBF"/>
    <w:rsid w:val="000C618B"/>
    <w:rsid w:val="000C67AD"/>
    <w:rsid w:val="000C6DD7"/>
    <w:rsid w:val="000C70F4"/>
    <w:rsid w:val="000C71BA"/>
    <w:rsid w:val="000C7359"/>
    <w:rsid w:val="000C750F"/>
    <w:rsid w:val="000C7530"/>
    <w:rsid w:val="000C77D2"/>
    <w:rsid w:val="000C7812"/>
    <w:rsid w:val="000C7831"/>
    <w:rsid w:val="000C7C1E"/>
    <w:rsid w:val="000C7FA3"/>
    <w:rsid w:val="000D02E2"/>
    <w:rsid w:val="000D0936"/>
    <w:rsid w:val="000D0DA4"/>
    <w:rsid w:val="000D10BD"/>
    <w:rsid w:val="000D1445"/>
    <w:rsid w:val="000D1A1F"/>
    <w:rsid w:val="000D29C3"/>
    <w:rsid w:val="000D29CD"/>
    <w:rsid w:val="000D2FB5"/>
    <w:rsid w:val="000D316F"/>
    <w:rsid w:val="000D3269"/>
    <w:rsid w:val="000D34F7"/>
    <w:rsid w:val="000D3C37"/>
    <w:rsid w:val="000D3E2C"/>
    <w:rsid w:val="000D40BB"/>
    <w:rsid w:val="000D4BC9"/>
    <w:rsid w:val="000D4D4A"/>
    <w:rsid w:val="000D4E5B"/>
    <w:rsid w:val="000D5172"/>
    <w:rsid w:val="000D5F32"/>
    <w:rsid w:val="000D612A"/>
    <w:rsid w:val="000D61D9"/>
    <w:rsid w:val="000D6741"/>
    <w:rsid w:val="000D67CB"/>
    <w:rsid w:val="000D6BA8"/>
    <w:rsid w:val="000D6BAE"/>
    <w:rsid w:val="000D6ED3"/>
    <w:rsid w:val="000D6F64"/>
    <w:rsid w:val="000D7A19"/>
    <w:rsid w:val="000D7BEF"/>
    <w:rsid w:val="000D7F80"/>
    <w:rsid w:val="000E0108"/>
    <w:rsid w:val="000E018F"/>
    <w:rsid w:val="000E02DC"/>
    <w:rsid w:val="000E0508"/>
    <w:rsid w:val="000E0AAA"/>
    <w:rsid w:val="000E1003"/>
    <w:rsid w:val="000E12C9"/>
    <w:rsid w:val="000E134F"/>
    <w:rsid w:val="000E17D6"/>
    <w:rsid w:val="000E26E4"/>
    <w:rsid w:val="000E2A30"/>
    <w:rsid w:val="000E2EFF"/>
    <w:rsid w:val="000E2F7C"/>
    <w:rsid w:val="000E38E0"/>
    <w:rsid w:val="000E400C"/>
    <w:rsid w:val="000E4C52"/>
    <w:rsid w:val="000E4E21"/>
    <w:rsid w:val="000E568B"/>
    <w:rsid w:val="000E59FD"/>
    <w:rsid w:val="000E612C"/>
    <w:rsid w:val="000E6497"/>
    <w:rsid w:val="000E6509"/>
    <w:rsid w:val="000E69D5"/>
    <w:rsid w:val="000E6C15"/>
    <w:rsid w:val="000E6FDF"/>
    <w:rsid w:val="000E70DA"/>
    <w:rsid w:val="000E7175"/>
    <w:rsid w:val="000E7342"/>
    <w:rsid w:val="000E7528"/>
    <w:rsid w:val="000E7701"/>
    <w:rsid w:val="000E7861"/>
    <w:rsid w:val="000E7BED"/>
    <w:rsid w:val="000E7E26"/>
    <w:rsid w:val="000E7E70"/>
    <w:rsid w:val="000E7EB5"/>
    <w:rsid w:val="000E7F05"/>
    <w:rsid w:val="000F02E1"/>
    <w:rsid w:val="000F03EA"/>
    <w:rsid w:val="000F05F7"/>
    <w:rsid w:val="000F09A0"/>
    <w:rsid w:val="000F0B26"/>
    <w:rsid w:val="000F0C6A"/>
    <w:rsid w:val="000F1980"/>
    <w:rsid w:val="000F1A9B"/>
    <w:rsid w:val="000F1DDC"/>
    <w:rsid w:val="000F21BC"/>
    <w:rsid w:val="000F24E4"/>
    <w:rsid w:val="000F2A79"/>
    <w:rsid w:val="000F2BC1"/>
    <w:rsid w:val="000F2E30"/>
    <w:rsid w:val="000F2EB9"/>
    <w:rsid w:val="000F32FD"/>
    <w:rsid w:val="000F356B"/>
    <w:rsid w:val="000F3C96"/>
    <w:rsid w:val="000F4060"/>
    <w:rsid w:val="000F4928"/>
    <w:rsid w:val="000F4A4C"/>
    <w:rsid w:val="000F512B"/>
    <w:rsid w:val="000F519C"/>
    <w:rsid w:val="000F54BB"/>
    <w:rsid w:val="000F58AE"/>
    <w:rsid w:val="000F58D9"/>
    <w:rsid w:val="000F5BF2"/>
    <w:rsid w:val="000F5DF7"/>
    <w:rsid w:val="000F62C5"/>
    <w:rsid w:val="000F6D12"/>
    <w:rsid w:val="000F70D0"/>
    <w:rsid w:val="000F7344"/>
    <w:rsid w:val="000F753F"/>
    <w:rsid w:val="000F767B"/>
    <w:rsid w:val="000F77D5"/>
    <w:rsid w:val="000F79FC"/>
    <w:rsid w:val="000F7EFB"/>
    <w:rsid w:val="0010006F"/>
    <w:rsid w:val="0010124B"/>
    <w:rsid w:val="001012DB"/>
    <w:rsid w:val="0010157C"/>
    <w:rsid w:val="001015EB"/>
    <w:rsid w:val="001017DF"/>
    <w:rsid w:val="00101B78"/>
    <w:rsid w:val="00101C30"/>
    <w:rsid w:val="00101D25"/>
    <w:rsid w:val="0010259F"/>
    <w:rsid w:val="00102E4D"/>
    <w:rsid w:val="00103111"/>
    <w:rsid w:val="00103298"/>
    <w:rsid w:val="00103980"/>
    <w:rsid w:val="00103EB8"/>
    <w:rsid w:val="0010439D"/>
    <w:rsid w:val="0010492F"/>
    <w:rsid w:val="001049BC"/>
    <w:rsid w:val="001049ED"/>
    <w:rsid w:val="00104F17"/>
    <w:rsid w:val="001055F5"/>
    <w:rsid w:val="0010573D"/>
    <w:rsid w:val="00105B65"/>
    <w:rsid w:val="00106210"/>
    <w:rsid w:val="00106512"/>
    <w:rsid w:val="0010698A"/>
    <w:rsid w:val="00107203"/>
    <w:rsid w:val="00107366"/>
    <w:rsid w:val="001073FE"/>
    <w:rsid w:val="001078C6"/>
    <w:rsid w:val="001079BC"/>
    <w:rsid w:val="0011028E"/>
    <w:rsid w:val="0011092A"/>
    <w:rsid w:val="001117E0"/>
    <w:rsid w:val="0011223F"/>
    <w:rsid w:val="001124EE"/>
    <w:rsid w:val="001125CE"/>
    <w:rsid w:val="00112834"/>
    <w:rsid w:val="0011298E"/>
    <w:rsid w:val="00112BDE"/>
    <w:rsid w:val="00113323"/>
    <w:rsid w:val="00113C0B"/>
    <w:rsid w:val="00114357"/>
    <w:rsid w:val="00114550"/>
    <w:rsid w:val="00114902"/>
    <w:rsid w:val="00114943"/>
    <w:rsid w:val="00114A73"/>
    <w:rsid w:val="00114F0F"/>
    <w:rsid w:val="00115233"/>
    <w:rsid w:val="001156F7"/>
    <w:rsid w:val="00115704"/>
    <w:rsid w:val="001162FF"/>
    <w:rsid w:val="0011646E"/>
    <w:rsid w:val="00116706"/>
    <w:rsid w:val="00116728"/>
    <w:rsid w:val="001167E5"/>
    <w:rsid w:val="001168E0"/>
    <w:rsid w:val="00116FCE"/>
    <w:rsid w:val="00117112"/>
    <w:rsid w:val="00117117"/>
    <w:rsid w:val="001174A4"/>
    <w:rsid w:val="0011752F"/>
    <w:rsid w:val="001175E4"/>
    <w:rsid w:val="00117753"/>
    <w:rsid w:val="00117E3B"/>
    <w:rsid w:val="00117F9C"/>
    <w:rsid w:val="0012010F"/>
    <w:rsid w:val="001201D3"/>
    <w:rsid w:val="001204E1"/>
    <w:rsid w:val="001209C0"/>
    <w:rsid w:val="00120F51"/>
    <w:rsid w:val="00121BF9"/>
    <w:rsid w:val="001224BB"/>
    <w:rsid w:val="00123622"/>
    <w:rsid w:val="0012413A"/>
    <w:rsid w:val="00124367"/>
    <w:rsid w:val="00124450"/>
    <w:rsid w:val="00124CD6"/>
    <w:rsid w:val="00124F39"/>
    <w:rsid w:val="00124FFD"/>
    <w:rsid w:val="0012515F"/>
    <w:rsid w:val="001252CD"/>
    <w:rsid w:val="00126148"/>
    <w:rsid w:val="001269ED"/>
    <w:rsid w:val="00126DC4"/>
    <w:rsid w:val="001271FE"/>
    <w:rsid w:val="00127357"/>
    <w:rsid w:val="0012748E"/>
    <w:rsid w:val="00127683"/>
    <w:rsid w:val="0012768D"/>
    <w:rsid w:val="001276E6"/>
    <w:rsid w:val="001276EB"/>
    <w:rsid w:val="0013079C"/>
    <w:rsid w:val="00130914"/>
    <w:rsid w:val="001309C8"/>
    <w:rsid w:val="0013147B"/>
    <w:rsid w:val="00131913"/>
    <w:rsid w:val="00131BC5"/>
    <w:rsid w:val="00132229"/>
    <w:rsid w:val="00132399"/>
    <w:rsid w:val="001334A8"/>
    <w:rsid w:val="001338D1"/>
    <w:rsid w:val="00133978"/>
    <w:rsid w:val="00134555"/>
    <w:rsid w:val="00134F93"/>
    <w:rsid w:val="001354B0"/>
    <w:rsid w:val="00135626"/>
    <w:rsid w:val="0013594E"/>
    <w:rsid w:val="00135DF6"/>
    <w:rsid w:val="00135E3F"/>
    <w:rsid w:val="00136197"/>
    <w:rsid w:val="00136198"/>
    <w:rsid w:val="00136335"/>
    <w:rsid w:val="00136DEE"/>
    <w:rsid w:val="00137298"/>
    <w:rsid w:val="001372DD"/>
    <w:rsid w:val="0014040F"/>
    <w:rsid w:val="00140C34"/>
    <w:rsid w:val="00141184"/>
    <w:rsid w:val="00141268"/>
    <w:rsid w:val="001417CE"/>
    <w:rsid w:val="00141839"/>
    <w:rsid w:val="001419F1"/>
    <w:rsid w:val="00141A64"/>
    <w:rsid w:val="00141D8F"/>
    <w:rsid w:val="00141E2E"/>
    <w:rsid w:val="001425F9"/>
    <w:rsid w:val="00142B06"/>
    <w:rsid w:val="00143179"/>
    <w:rsid w:val="00143450"/>
    <w:rsid w:val="0014357D"/>
    <w:rsid w:val="00143666"/>
    <w:rsid w:val="001436AB"/>
    <w:rsid w:val="00143723"/>
    <w:rsid w:val="00144275"/>
    <w:rsid w:val="00144469"/>
    <w:rsid w:val="00144548"/>
    <w:rsid w:val="001446B5"/>
    <w:rsid w:val="00144849"/>
    <w:rsid w:val="00144B10"/>
    <w:rsid w:val="00144C7C"/>
    <w:rsid w:val="00145FFC"/>
    <w:rsid w:val="00146175"/>
    <w:rsid w:val="0014660F"/>
    <w:rsid w:val="00146738"/>
    <w:rsid w:val="00146A24"/>
    <w:rsid w:val="00146B43"/>
    <w:rsid w:val="00146D75"/>
    <w:rsid w:val="00146F77"/>
    <w:rsid w:val="00147164"/>
    <w:rsid w:val="0014717F"/>
    <w:rsid w:val="00147CB2"/>
    <w:rsid w:val="001502AC"/>
    <w:rsid w:val="001504A8"/>
    <w:rsid w:val="00150B24"/>
    <w:rsid w:val="00150F6A"/>
    <w:rsid w:val="00151276"/>
    <w:rsid w:val="0015127B"/>
    <w:rsid w:val="001519E3"/>
    <w:rsid w:val="00151C38"/>
    <w:rsid w:val="00152192"/>
    <w:rsid w:val="001527FC"/>
    <w:rsid w:val="00152A38"/>
    <w:rsid w:val="00152E02"/>
    <w:rsid w:val="00152E2F"/>
    <w:rsid w:val="00152EDA"/>
    <w:rsid w:val="00153021"/>
    <w:rsid w:val="0015325B"/>
    <w:rsid w:val="00153F04"/>
    <w:rsid w:val="00153F39"/>
    <w:rsid w:val="0015401C"/>
    <w:rsid w:val="00154217"/>
    <w:rsid w:val="001547DA"/>
    <w:rsid w:val="001547FB"/>
    <w:rsid w:val="00154BFD"/>
    <w:rsid w:val="00154FD2"/>
    <w:rsid w:val="001558F7"/>
    <w:rsid w:val="00155A10"/>
    <w:rsid w:val="00155ADC"/>
    <w:rsid w:val="00155BC6"/>
    <w:rsid w:val="00155FA9"/>
    <w:rsid w:val="001562CD"/>
    <w:rsid w:val="001563BE"/>
    <w:rsid w:val="00156603"/>
    <w:rsid w:val="00156757"/>
    <w:rsid w:val="001569CE"/>
    <w:rsid w:val="001569CF"/>
    <w:rsid w:val="00156B74"/>
    <w:rsid w:val="00156F61"/>
    <w:rsid w:val="0015713B"/>
    <w:rsid w:val="00157163"/>
    <w:rsid w:val="001572E3"/>
    <w:rsid w:val="00157F3B"/>
    <w:rsid w:val="0016011D"/>
    <w:rsid w:val="0016017A"/>
    <w:rsid w:val="0016034D"/>
    <w:rsid w:val="001604B6"/>
    <w:rsid w:val="001605DE"/>
    <w:rsid w:val="00160A45"/>
    <w:rsid w:val="0016141B"/>
    <w:rsid w:val="0016159D"/>
    <w:rsid w:val="001615AA"/>
    <w:rsid w:val="00162413"/>
    <w:rsid w:val="001626AE"/>
    <w:rsid w:val="0016297C"/>
    <w:rsid w:val="001633A4"/>
    <w:rsid w:val="001639EF"/>
    <w:rsid w:val="00163D0E"/>
    <w:rsid w:val="00163FB2"/>
    <w:rsid w:val="001642A6"/>
    <w:rsid w:val="00164717"/>
    <w:rsid w:val="00164ED3"/>
    <w:rsid w:val="00165075"/>
    <w:rsid w:val="001650B4"/>
    <w:rsid w:val="0016515E"/>
    <w:rsid w:val="00165240"/>
    <w:rsid w:val="00165ACF"/>
    <w:rsid w:val="00165D0D"/>
    <w:rsid w:val="00165E3C"/>
    <w:rsid w:val="00166203"/>
    <w:rsid w:val="0016689C"/>
    <w:rsid w:val="001669CC"/>
    <w:rsid w:val="00166AF0"/>
    <w:rsid w:val="00166D08"/>
    <w:rsid w:val="0016751C"/>
    <w:rsid w:val="00167A97"/>
    <w:rsid w:val="00167C5E"/>
    <w:rsid w:val="001700B2"/>
    <w:rsid w:val="00170AC0"/>
    <w:rsid w:val="00170B64"/>
    <w:rsid w:val="001726C6"/>
    <w:rsid w:val="001727EA"/>
    <w:rsid w:val="001729E2"/>
    <w:rsid w:val="00172BE7"/>
    <w:rsid w:val="00172D31"/>
    <w:rsid w:val="0017385E"/>
    <w:rsid w:val="0017398D"/>
    <w:rsid w:val="00173B0B"/>
    <w:rsid w:val="0017418E"/>
    <w:rsid w:val="0017434F"/>
    <w:rsid w:val="001743DF"/>
    <w:rsid w:val="0017446D"/>
    <w:rsid w:val="00174764"/>
    <w:rsid w:val="0017479F"/>
    <w:rsid w:val="00174A54"/>
    <w:rsid w:val="0017509F"/>
    <w:rsid w:val="0017536F"/>
    <w:rsid w:val="00175710"/>
    <w:rsid w:val="00175A18"/>
    <w:rsid w:val="00175D48"/>
    <w:rsid w:val="00175DFC"/>
    <w:rsid w:val="00175F4D"/>
    <w:rsid w:val="001764A3"/>
    <w:rsid w:val="0017661F"/>
    <w:rsid w:val="0017673B"/>
    <w:rsid w:val="00176B2D"/>
    <w:rsid w:val="00176E53"/>
    <w:rsid w:val="00176E69"/>
    <w:rsid w:val="00177BB2"/>
    <w:rsid w:val="00180000"/>
    <w:rsid w:val="00180023"/>
    <w:rsid w:val="001805E0"/>
    <w:rsid w:val="00180A8E"/>
    <w:rsid w:val="00180B69"/>
    <w:rsid w:val="00180F13"/>
    <w:rsid w:val="00181472"/>
    <w:rsid w:val="00181CBE"/>
    <w:rsid w:val="001825D8"/>
    <w:rsid w:val="0018275C"/>
    <w:rsid w:val="00182AA0"/>
    <w:rsid w:val="00182B39"/>
    <w:rsid w:val="00184169"/>
    <w:rsid w:val="001847D2"/>
    <w:rsid w:val="001849A7"/>
    <w:rsid w:val="00184B72"/>
    <w:rsid w:val="00184CAA"/>
    <w:rsid w:val="00184D65"/>
    <w:rsid w:val="00185277"/>
    <w:rsid w:val="00185677"/>
    <w:rsid w:val="001857D1"/>
    <w:rsid w:val="00185AF5"/>
    <w:rsid w:val="00185CCC"/>
    <w:rsid w:val="00186238"/>
    <w:rsid w:val="0018664C"/>
    <w:rsid w:val="00186837"/>
    <w:rsid w:val="00186CCD"/>
    <w:rsid w:val="001870D7"/>
    <w:rsid w:val="00187100"/>
    <w:rsid w:val="001871D9"/>
    <w:rsid w:val="0018736B"/>
    <w:rsid w:val="00187945"/>
    <w:rsid w:val="00187A93"/>
    <w:rsid w:val="00187EB1"/>
    <w:rsid w:val="00187F50"/>
    <w:rsid w:val="00187F63"/>
    <w:rsid w:val="0019048A"/>
    <w:rsid w:val="0019091F"/>
    <w:rsid w:val="00190F11"/>
    <w:rsid w:val="00190F12"/>
    <w:rsid w:val="001911DC"/>
    <w:rsid w:val="001911F9"/>
    <w:rsid w:val="0019132F"/>
    <w:rsid w:val="001916EC"/>
    <w:rsid w:val="00191A6F"/>
    <w:rsid w:val="00191B6A"/>
    <w:rsid w:val="00191B85"/>
    <w:rsid w:val="00191D65"/>
    <w:rsid w:val="0019206C"/>
    <w:rsid w:val="00192239"/>
    <w:rsid w:val="00192459"/>
    <w:rsid w:val="00192CAB"/>
    <w:rsid w:val="001931F9"/>
    <w:rsid w:val="00193CA7"/>
    <w:rsid w:val="001943FE"/>
    <w:rsid w:val="00194978"/>
    <w:rsid w:val="001949EA"/>
    <w:rsid w:val="0019510E"/>
    <w:rsid w:val="0019565C"/>
    <w:rsid w:val="00195B78"/>
    <w:rsid w:val="00195C92"/>
    <w:rsid w:val="00196828"/>
    <w:rsid w:val="00196AB4"/>
    <w:rsid w:val="00196ED5"/>
    <w:rsid w:val="00197591"/>
    <w:rsid w:val="00197930"/>
    <w:rsid w:val="001979A6"/>
    <w:rsid w:val="001979F7"/>
    <w:rsid w:val="00197C25"/>
    <w:rsid w:val="00197CC6"/>
    <w:rsid w:val="001A014B"/>
    <w:rsid w:val="001A0705"/>
    <w:rsid w:val="001A0A71"/>
    <w:rsid w:val="001A102F"/>
    <w:rsid w:val="001A10B2"/>
    <w:rsid w:val="001A11FA"/>
    <w:rsid w:val="001A1BD5"/>
    <w:rsid w:val="001A20B1"/>
    <w:rsid w:val="001A21D7"/>
    <w:rsid w:val="001A224C"/>
    <w:rsid w:val="001A2629"/>
    <w:rsid w:val="001A280B"/>
    <w:rsid w:val="001A2CD7"/>
    <w:rsid w:val="001A2D4C"/>
    <w:rsid w:val="001A2F8B"/>
    <w:rsid w:val="001A3B8A"/>
    <w:rsid w:val="001A3D65"/>
    <w:rsid w:val="001A44BD"/>
    <w:rsid w:val="001A4BBB"/>
    <w:rsid w:val="001A502D"/>
    <w:rsid w:val="001A55D2"/>
    <w:rsid w:val="001A57C8"/>
    <w:rsid w:val="001A5AB1"/>
    <w:rsid w:val="001A5B90"/>
    <w:rsid w:val="001A5CE7"/>
    <w:rsid w:val="001A616A"/>
    <w:rsid w:val="001A62D2"/>
    <w:rsid w:val="001A65C1"/>
    <w:rsid w:val="001A65CB"/>
    <w:rsid w:val="001A687B"/>
    <w:rsid w:val="001A687F"/>
    <w:rsid w:val="001A6A79"/>
    <w:rsid w:val="001A6C9C"/>
    <w:rsid w:val="001A6EF1"/>
    <w:rsid w:val="001A70C9"/>
    <w:rsid w:val="001A71DF"/>
    <w:rsid w:val="001A785E"/>
    <w:rsid w:val="001A7920"/>
    <w:rsid w:val="001B04C2"/>
    <w:rsid w:val="001B0A12"/>
    <w:rsid w:val="001B11DB"/>
    <w:rsid w:val="001B151A"/>
    <w:rsid w:val="001B19D0"/>
    <w:rsid w:val="001B1FAD"/>
    <w:rsid w:val="001B1FD2"/>
    <w:rsid w:val="001B20DD"/>
    <w:rsid w:val="001B21CD"/>
    <w:rsid w:val="001B22A3"/>
    <w:rsid w:val="001B26F1"/>
    <w:rsid w:val="001B2BCA"/>
    <w:rsid w:val="001B2E5B"/>
    <w:rsid w:val="001B2E86"/>
    <w:rsid w:val="001B30B4"/>
    <w:rsid w:val="001B3357"/>
    <w:rsid w:val="001B37FB"/>
    <w:rsid w:val="001B3A50"/>
    <w:rsid w:val="001B43B0"/>
    <w:rsid w:val="001B4510"/>
    <w:rsid w:val="001B468C"/>
    <w:rsid w:val="001B46C2"/>
    <w:rsid w:val="001B4A38"/>
    <w:rsid w:val="001B4A91"/>
    <w:rsid w:val="001B5836"/>
    <w:rsid w:val="001B597C"/>
    <w:rsid w:val="001B5D02"/>
    <w:rsid w:val="001B5FAE"/>
    <w:rsid w:val="001B61B7"/>
    <w:rsid w:val="001B63E7"/>
    <w:rsid w:val="001B666D"/>
    <w:rsid w:val="001B6921"/>
    <w:rsid w:val="001B6A03"/>
    <w:rsid w:val="001B6ABD"/>
    <w:rsid w:val="001B6C8F"/>
    <w:rsid w:val="001B6E76"/>
    <w:rsid w:val="001B725F"/>
    <w:rsid w:val="001B7646"/>
    <w:rsid w:val="001B7D34"/>
    <w:rsid w:val="001C01A3"/>
    <w:rsid w:val="001C0230"/>
    <w:rsid w:val="001C0624"/>
    <w:rsid w:val="001C0A54"/>
    <w:rsid w:val="001C0B2E"/>
    <w:rsid w:val="001C0D0B"/>
    <w:rsid w:val="001C0F6C"/>
    <w:rsid w:val="001C145D"/>
    <w:rsid w:val="001C260D"/>
    <w:rsid w:val="001C268A"/>
    <w:rsid w:val="001C27F5"/>
    <w:rsid w:val="001C28E9"/>
    <w:rsid w:val="001C2943"/>
    <w:rsid w:val="001C2D29"/>
    <w:rsid w:val="001C2F7B"/>
    <w:rsid w:val="001C36AD"/>
    <w:rsid w:val="001C3CE5"/>
    <w:rsid w:val="001C42A4"/>
    <w:rsid w:val="001C4DF1"/>
    <w:rsid w:val="001C4F43"/>
    <w:rsid w:val="001C509C"/>
    <w:rsid w:val="001C59A8"/>
    <w:rsid w:val="001C61E5"/>
    <w:rsid w:val="001C6BEB"/>
    <w:rsid w:val="001C7361"/>
    <w:rsid w:val="001C74D3"/>
    <w:rsid w:val="001C76C6"/>
    <w:rsid w:val="001C7D00"/>
    <w:rsid w:val="001D0019"/>
    <w:rsid w:val="001D0AC2"/>
    <w:rsid w:val="001D0EF1"/>
    <w:rsid w:val="001D15C3"/>
    <w:rsid w:val="001D1920"/>
    <w:rsid w:val="001D1ADF"/>
    <w:rsid w:val="001D1E72"/>
    <w:rsid w:val="001D21E6"/>
    <w:rsid w:val="001D2454"/>
    <w:rsid w:val="001D24AE"/>
    <w:rsid w:val="001D2525"/>
    <w:rsid w:val="001D2795"/>
    <w:rsid w:val="001D28A5"/>
    <w:rsid w:val="001D2FBC"/>
    <w:rsid w:val="001D3078"/>
    <w:rsid w:val="001D35E2"/>
    <w:rsid w:val="001D3CFC"/>
    <w:rsid w:val="001D3DC3"/>
    <w:rsid w:val="001D4513"/>
    <w:rsid w:val="001D4662"/>
    <w:rsid w:val="001D46A1"/>
    <w:rsid w:val="001D474F"/>
    <w:rsid w:val="001D4CAB"/>
    <w:rsid w:val="001D5377"/>
    <w:rsid w:val="001D58C6"/>
    <w:rsid w:val="001D58ED"/>
    <w:rsid w:val="001D59A4"/>
    <w:rsid w:val="001D60B4"/>
    <w:rsid w:val="001D649C"/>
    <w:rsid w:val="001D67D3"/>
    <w:rsid w:val="001D7BF9"/>
    <w:rsid w:val="001D7FF9"/>
    <w:rsid w:val="001E0BCE"/>
    <w:rsid w:val="001E11DB"/>
    <w:rsid w:val="001E16D2"/>
    <w:rsid w:val="001E1859"/>
    <w:rsid w:val="001E1B1C"/>
    <w:rsid w:val="001E202E"/>
    <w:rsid w:val="001E23AA"/>
    <w:rsid w:val="001E295E"/>
    <w:rsid w:val="001E2A41"/>
    <w:rsid w:val="001E2C96"/>
    <w:rsid w:val="001E2D39"/>
    <w:rsid w:val="001E2EB4"/>
    <w:rsid w:val="001E3658"/>
    <w:rsid w:val="001E44B5"/>
    <w:rsid w:val="001E453E"/>
    <w:rsid w:val="001E45E7"/>
    <w:rsid w:val="001E4E4E"/>
    <w:rsid w:val="001E4F50"/>
    <w:rsid w:val="001E4FF0"/>
    <w:rsid w:val="001E52FC"/>
    <w:rsid w:val="001E53C8"/>
    <w:rsid w:val="001E5D0E"/>
    <w:rsid w:val="001E5E0E"/>
    <w:rsid w:val="001E5EA0"/>
    <w:rsid w:val="001E5F38"/>
    <w:rsid w:val="001E5FD9"/>
    <w:rsid w:val="001E632C"/>
    <w:rsid w:val="001E6332"/>
    <w:rsid w:val="001E6C93"/>
    <w:rsid w:val="001E7559"/>
    <w:rsid w:val="001E7CFD"/>
    <w:rsid w:val="001E7DD4"/>
    <w:rsid w:val="001F05CC"/>
    <w:rsid w:val="001F0D98"/>
    <w:rsid w:val="001F1413"/>
    <w:rsid w:val="001F1470"/>
    <w:rsid w:val="001F18A2"/>
    <w:rsid w:val="001F1930"/>
    <w:rsid w:val="001F1EB1"/>
    <w:rsid w:val="001F20E3"/>
    <w:rsid w:val="001F29D6"/>
    <w:rsid w:val="001F2B1B"/>
    <w:rsid w:val="001F302E"/>
    <w:rsid w:val="001F30BD"/>
    <w:rsid w:val="001F3D4B"/>
    <w:rsid w:val="001F4CC1"/>
    <w:rsid w:val="001F5097"/>
    <w:rsid w:val="001F5933"/>
    <w:rsid w:val="001F5976"/>
    <w:rsid w:val="001F5B2B"/>
    <w:rsid w:val="001F6047"/>
    <w:rsid w:val="001F64BD"/>
    <w:rsid w:val="001F6874"/>
    <w:rsid w:val="001F6877"/>
    <w:rsid w:val="001F702A"/>
    <w:rsid w:val="001F70AB"/>
    <w:rsid w:val="001F769E"/>
    <w:rsid w:val="001F7924"/>
    <w:rsid w:val="0020037B"/>
    <w:rsid w:val="0020060D"/>
    <w:rsid w:val="00200841"/>
    <w:rsid w:val="00200C8B"/>
    <w:rsid w:val="00200E72"/>
    <w:rsid w:val="00201548"/>
    <w:rsid w:val="002015B7"/>
    <w:rsid w:val="0020163E"/>
    <w:rsid w:val="00201A87"/>
    <w:rsid w:val="002021D9"/>
    <w:rsid w:val="00202457"/>
    <w:rsid w:val="002027CE"/>
    <w:rsid w:val="0020373A"/>
    <w:rsid w:val="0020396F"/>
    <w:rsid w:val="00203EA9"/>
    <w:rsid w:val="00203EC3"/>
    <w:rsid w:val="00204268"/>
    <w:rsid w:val="00204622"/>
    <w:rsid w:val="00204BD4"/>
    <w:rsid w:val="00204DF4"/>
    <w:rsid w:val="0020501B"/>
    <w:rsid w:val="0020597C"/>
    <w:rsid w:val="00205AE1"/>
    <w:rsid w:val="002062F8"/>
    <w:rsid w:val="002065D9"/>
    <w:rsid w:val="00206FD5"/>
    <w:rsid w:val="0020705A"/>
    <w:rsid w:val="00207222"/>
    <w:rsid w:val="00207BA3"/>
    <w:rsid w:val="00207BDF"/>
    <w:rsid w:val="00207E1F"/>
    <w:rsid w:val="0021019D"/>
    <w:rsid w:val="00210219"/>
    <w:rsid w:val="0021032C"/>
    <w:rsid w:val="00210523"/>
    <w:rsid w:val="00210595"/>
    <w:rsid w:val="00210B9D"/>
    <w:rsid w:val="00210BAE"/>
    <w:rsid w:val="00211341"/>
    <w:rsid w:val="00211624"/>
    <w:rsid w:val="0021183F"/>
    <w:rsid w:val="0021195D"/>
    <w:rsid w:val="00211AA5"/>
    <w:rsid w:val="00211CA7"/>
    <w:rsid w:val="00212171"/>
    <w:rsid w:val="0021218B"/>
    <w:rsid w:val="00212708"/>
    <w:rsid w:val="00212812"/>
    <w:rsid w:val="00212DAE"/>
    <w:rsid w:val="002130F4"/>
    <w:rsid w:val="002140B2"/>
    <w:rsid w:val="00214812"/>
    <w:rsid w:val="00214BA4"/>
    <w:rsid w:val="00214D11"/>
    <w:rsid w:val="00214F37"/>
    <w:rsid w:val="0021515F"/>
    <w:rsid w:val="00215409"/>
    <w:rsid w:val="00215E5A"/>
    <w:rsid w:val="00216049"/>
    <w:rsid w:val="002163E0"/>
    <w:rsid w:val="002170F0"/>
    <w:rsid w:val="0021716E"/>
    <w:rsid w:val="00217263"/>
    <w:rsid w:val="00217399"/>
    <w:rsid w:val="002178AB"/>
    <w:rsid w:val="002178FE"/>
    <w:rsid w:val="00217E35"/>
    <w:rsid w:val="00217E5B"/>
    <w:rsid w:val="00220736"/>
    <w:rsid w:val="002214E2"/>
    <w:rsid w:val="00221536"/>
    <w:rsid w:val="00221E72"/>
    <w:rsid w:val="00221EA1"/>
    <w:rsid w:val="00222241"/>
    <w:rsid w:val="00222F54"/>
    <w:rsid w:val="002233BE"/>
    <w:rsid w:val="00223677"/>
    <w:rsid w:val="002236B7"/>
    <w:rsid w:val="0022386D"/>
    <w:rsid w:val="002240D2"/>
    <w:rsid w:val="00224120"/>
    <w:rsid w:val="00224155"/>
    <w:rsid w:val="00224494"/>
    <w:rsid w:val="00224557"/>
    <w:rsid w:val="00224888"/>
    <w:rsid w:val="00225069"/>
    <w:rsid w:val="0022529B"/>
    <w:rsid w:val="00225515"/>
    <w:rsid w:val="00225638"/>
    <w:rsid w:val="00225AF4"/>
    <w:rsid w:val="00225BB8"/>
    <w:rsid w:val="00225C44"/>
    <w:rsid w:val="002263B5"/>
    <w:rsid w:val="00226BAC"/>
    <w:rsid w:val="00226C89"/>
    <w:rsid w:val="0022745E"/>
    <w:rsid w:val="00227A1B"/>
    <w:rsid w:val="00230032"/>
    <w:rsid w:val="002303B3"/>
    <w:rsid w:val="002303C4"/>
    <w:rsid w:val="00230CF7"/>
    <w:rsid w:val="00230D4E"/>
    <w:rsid w:val="00230EF6"/>
    <w:rsid w:val="00231420"/>
    <w:rsid w:val="00231765"/>
    <w:rsid w:val="002317BB"/>
    <w:rsid w:val="00231EE0"/>
    <w:rsid w:val="00232A69"/>
    <w:rsid w:val="0023317C"/>
    <w:rsid w:val="0023385C"/>
    <w:rsid w:val="00233C06"/>
    <w:rsid w:val="00233CAD"/>
    <w:rsid w:val="00234066"/>
    <w:rsid w:val="00234823"/>
    <w:rsid w:val="00235435"/>
    <w:rsid w:val="002354AD"/>
    <w:rsid w:val="002356F7"/>
    <w:rsid w:val="0023589D"/>
    <w:rsid w:val="00235E2A"/>
    <w:rsid w:val="00235FA8"/>
    <w:rsid w:val="00236097"/>
    <w:rsid w:val="002361F8"/>
    <w:rsid w:val="002369AC"/>
    <w:rsid w:val="002369DB"/>
    <w:rsid w:val="00236CBB"/>
    <w:rsid w:val="00237385"/>
    <w:rsid w:val="002378E2"/>
    <w:rsid w:val="00237D9B"/>
    <w:rsid w:val="00237E24"/>
    <w:rsid w:val="00237FB7"/>
    <w:rsid w:val="00237FF6"/>
    <w:rsid w:val="00240060"/>
    <w:rsid w:val="002401A7"/>
    <w:rsid w:val="00240831"/>
    <w:rsid w:val="0024098E"/>
    <w:rsid w:val="002409E5"/>
    <w:rsid w:val="00240BDF"/>
    <w:rsid w:val="00240F43"/>
    <w:rsid w:val="00240F68"/>
    <w:rsid w:val="00241781"/>
    <w:rsid w:val="0024219D"/>
    <w:rsid w:val="002425F6"/>
    <w:rsid w:val="0024275A"/>
    <w:rsid w:val="002429AB"/>
    <w:rsid w:val="00242DF2"/>
    <w:rsid w:val="00242EC5"/>
    <w:rsid w:val="00243CA6"/>
    <w:rsid w:val="00243F73"/>
    <w:rsid w:val="00243F83"/>
    <w:rsid w:val="0024404A"/>
    <w:rsid w:val="00244412"/>
    <w:rsid w:val="0024444B"/>
    <w:rsid w:val="00244AB4"/>
    <w:rsid w:val="002459D5"/>
    <w:rsid w:val="00245F84"/>
    <w:rsid w:val="0024601B"/>
    <w:rsid w:val="0024618E"/>
    <w:rsid w:val="002461C1"/>
    <w:rsid w:val="00246524"/>
    <w:rsid w:val="0024663E"/>
    <w:rsid w:val="0024686B"/>
    <w:rsid w:val="00247322"/>
    <w:rsid w:val="00247487"/>
    <w:rsid w:val="0024751E"/>
    <w:rsid w:val="00247C9A"/>
    <w:rsid w:val="00247EB8"/>
    <w:rsid w:val="00247FDA"/>
    <w:rsid w:val="002500C3"/>
    <w:rsid w:val="0025089F"/>
    <w:rsid w:val="00250E38"/>
    <w:rsid w:val="00250F73"/>
    <w:rsid w:val="002514A6"/>
    <w:rsid w:val="002514C8"/>
    <w:rsid w:val="00251707"/>
    <w:rsid w:val="002517E9"/>
    <w:rsid w:val="00251B01"/>
    <w:rsid w:val="00251D17"/>
    <w:rsid w:val="00252113"/>
    <w:rsid w:val="00252246"/>
    <w:rsid w:val="0025232F"/>
    <w:rsid w:val="00252641"/>
    <w:rsid w:val="00252813"/>
    <w:rsid w:val="002531C9"/>
    <w:rsid w:val="0025364F"/>
    <w:rsid w:val="00253794"/>
    <w:rsid w:val="00253B4F"/>
    <w:rsid w:val="00254495"/>
    <w:rsid w:val="002544B2"/>
    <w:rsid w:val="002546D7"/>
    <w:rsid w:val="00254BFD"/>
    <w:rsid w:val="00254D28"/>
    <w:rsid w:val="00254F1C"/>
    <w:rsid w:val="00255128"/>
    <w:rsid w:val="0025544F"/>
    <w:rsid w:val="002558E8"/>
    <w:rsid w:val="00255920"/>
    <w:rsid w:val="00255ABA"/>
    <w:rsid w:val="00255B73"/>
    <w:rsid w:val="00256D21"/>
    <w:rsid w:val="0025766F"/>
    <w:rsid w:val="00257A2F"/>
    <w:rsid w:val="00257AD2"/>
    <w:rsid w:val="0026042A"/>
    <w:rsid w:val="00260763"/>
    <w:rsid w:val="00260AD3"/>
    <w:rsid w:val="00260E51"/>
    <w:rsid w:val="0026114E"/>
    <w:rsid w:val="002611AB"/>
    <w:rsid w:val="002612C2"/>
    <w:rsid w:val="00261616"/>
    <w:rsid w:val="0026170A"/>
    <w:rsid w:val="00261BC4"/>
    <w:rsid w:val="00262EFD"/>
    <w:rsid w:val="002632EB"/>
    <w:rsid w:val="002635E3"/>
    <w:rsid w:val="002635F4"/>
    <w:rsid w:val="002636AE"/>
    <w:rsid w:val="002636BD"/>
    <w:rsid w:val="00263845"/>
    <w:rsid w:val="0026398E"/>
    <w:rsid w:val="00263DB0"/>
    <w:rsid w:val="0026421B"/>
    <w:rsid w:val="00264862"/>
    <w:rsid w:val="002649A2"/>
    <w:rsid w:val="00264BA3"/>
    <w:rsid w:val="002655B0"/>
    <w:rsid w:val="00265B7F"/>
    <w:rsid w:val="00265CD7"/>
    <w:rsid w:val="002663D8"/>
    <w:rsid w:val="00266886"/>
    <w:rsid w:val="0026696B"/>
    <w:rsid w:val="00266BE0"/>
    <w:rsid w:val="0026739A"/>
    <w:rsid w:val="002679A2"/>
    <w:rsid w:val="00270B29"/>
    <w:rsid w:val="00270E73"/>
    <w:rsid w:val="0027106C"/>
    <w:rsid w:val="002711EA"/>
    <w:rsid w:val="00271322"/>
    <w:rsid w:val="002725DC"/>
    <w:rsid w:val="00272CE9"/>
    <w:rsid w:val="002736B8"/>
    <w:rsid w:val="002738DB"/>
    <w:rsid w:val="002738F8"/>
    <w:rsid w:val="00273B24"/>
    <w:rsid w:val="00273B61"/>
    <w:rsid w:val="002741D7"/>
    <w:rsid w:val="002754F1"/>
    <w:rsid w:val="002755BA"/>
    <w:rsid w:val="00275A7C"/>
    <w:rsid w:val="00275BB7"/>
    <w:rsid w:val="00276393"/>
    <w:rsid w:val="00276B55"/>
    <w:rsid w:val="00276FB9"/>
    <w:rsid w:val="0027765F"/>
    <w:rsid w:val="00280076"/>
    <w:rsid w:val="002801B7"/>
    <w:rsid w:val="00280583"/>
    <w:rsid w:val="00280CC6"/>
    <w:rsid w:val="00280DCD"/>
    <w:rsid w:val="002814A8"/>
    <w:rsid w:val="0028365A"/>
    <w:rsid w:val="00283DC2"/>
    <w:rsid w:val="002846C2"/>
    <w:rsid w:val="00284E80"/>
    <w:rsid w:val="002850BB"/>
    <w:rsid w:val="002858B0"/>
    <w:rsid w:val="00285DD2"/>
    <w:rsid w:val="002861BB"/>
    <w:rsid w:val="00286EA0"/>
    <w:rsid w:val="00290142"/>
    <w:rsid w:val="0029036A"/>
    <w:rsid w:val="00290616"/>
    <w:rsid w:val="00290F86"/>
    <w:rsid w:val="002912FC"/>
    <w:rsid w:val="00291324"/>
    <w:rsid w:val="00291675"/>
    <w:rsid w:val="00291723"/>
    <w:rsid w:val="00291964"/>
    <w:rsid w:val="002919DC"/>
    <w:rsid w:val="00291C86"/>
    <w:rsid w:val="002925F5"/>
    <w:rsid w:val="002929BE"/>
    <w:rsid w:val="00292D66"/>
    <w:rsid w:val="002936A4"/>
    <w:rsid w:val="00293738"/>
    <w:rsid w:val="00293819"/>
    <w:rsid w:val="0029389B"/>
    <w:rsid w:val="00293956"/>
    <w:rsid w:val="00293CB1"/>
    <w:rsid w:val="0029413A"/>
    <w:rsid w:val="00294602"/>
    <w:rsid w:val="00294673"/>
    <w:rsid w:val="00294E37"/>
    <w:rsid w:val="00295250"/>
    <w:rsid w:val="00295D65"/>
    <w:rsid w:val="0029636D"/>
    <w:rsid w:val="00296372"/>
    <w:rsid w:val="00296511"/>
    <w:rsid w:val="00296588"/>
    <w:rsid w:val="002966A9"/>
    <w:rsid w:val="00297099"/>
    <w:rsid w:val="00297184"/>
    <w:rsid w:val="0029734D"/>
    <w:rsid w:val="00297416"/>
    <w:rsid w:val="002974D9"/>
    <w:rsid w:val="0029788B"/>
    <w:rsid w:val="00297D5A"/>
    <w:rsid w:val="002A01AB"/>
    <w:rsid w:val="002A031C"/>
    <w:rsid w:val="002A0639"/>
    <w:rsid w:val="002A0863"/>
    <w:rsid w:val="002A0C54"/>
    <w:rsid w:val="002A1149"/>
    <w:rsid w:val="002A156C"/>
    <w:rsid w:val="002A16D0"/>
    <w:rsid w:val="002A19BC"/>
    <w:rsid w:val="002A1BCE"/>
    <w:rsid w:val="002A1CFD"/>
    <w:rsid w:val="002A2409"/>
    <w:rsid w:val="002A2699"/>
    <w:rsid w:val="002A2AC1"/>
    <w:rsid w:val="002A2AFF"/>
    <w:rsid w:val="002A3531"/>
    <w:rsid w:val="002A37E0"/>
    <w:rsid w:val="002A3941"/>
    <w:rsid w:val="002A3A61"/>
    <w:rsid w:val="002A45ED"/>
    <w:rsid w:val="002A4B20"/>
    <w:rsid w:val="002A4B62"/>
    <w:rsid w:val="002A4CBE"/>
    <w:rsid w:val="002A54D5"/>
    <w:rsid w:val="002A5912"/>
    <w:rsid w:val="002A5A86"/>
    <w:rsid w:val="002A5F8A"/>
    <w:rsid w:val="002A6BBA"/>
    <w:rsid w:val="002A6C8A"/>
    <w:rsid w:val="002A76BC"/>
    <w:rsid w:val="002A7751"/>
    <w:rsid w:val="002B04A7"/>
    <w:rsid w:val="002B0664"/>
    <w:rsid w:val="002B06CB"/>
    <w:rsid w:val="002B07CD"/>
    <w:rsid w:val="002B0B5F"/>
    <w:rsid w:val="002B113B"/>
    <w:rsid w:val="002B124C"/>
    <w:rsid w:val="002B15D1"/>
    <w:rsid w:val="002B1989"/>
    <w:rsid w:val="002B19B9"/>
    <w:rsid w:val="002B1E07"/>
    <w:rsid w:val="002B2105"/>
    <w:rsid w:val="002B43FC"/>
    <w:rsid w:val="002B4530"/>
    <w:rsid w:val="002B49A0"/>
    <w:rsid w:val="002B502F"/>
    <w:rsid w:val="002B5A14"/>
    <w:rsid w:val="002B5EEB"/>
    <w:rsid w:val="002B5FC8"/>
    <w:rsid w:val="002B613F"/>
    <w:rsid w:val="002B6683"/>
    <w:rsid w:val="002B672F"/>
    <w:rsid w:val="002B7A3C"/>
    <w:rsid w:val="002B7B22"/>
    <w:rsid w:val="002B7C5F"/>
    <w:rsid w:val="002C03BE"/>
    <w:rsid w:val="002C04E1"/>
    <w:rsid w:val="002C0BD5"/>
    <w:rsid w:val="002C1228"/>
    <w:rsid w:val="002C1707"/>
    <w:rsid w:val="002C1BD8"/>
    <w:rsid w:val="002C23F2"/>
    <w:rsid w:val="002C2407"/>
    <w:rsid w:val="002C25E9"/>
    <w:rsid w:val="002C275F"/>
    <w:rsid w:val="002C2A9E"/>
    <w:rsid w:val="002C2E94"/>
    <w:rsid w:val="002C3259"/>
    <w:rsid w:val="002C3506"/>
    <w:rsid w:val="002C3568"/>
    <w:rsid w:val="002C4245"/>
    <w:rsid w:val="002C4308"/>
    <w:rsid w:val="002C440C"/>
    <w:rsid w:val="002C4B19"/>
    <w:rsid w:val="002C4B8B"/>
    <w:rsid w:val="002C4E23"/>
    <w:rsid w:val="002C4E82"/>
    <w:rsid w:val="002C5663"/>
    <w:rsid w:val="002C58A0"/>
    <w:rsid w:val="002C5D1E"/>
    <w:rsid w:val="002C64A7"/>
    <w:rsid w:val="002C663C"/>
    <w:rsid w:val="002C675C"/>
    <w:rsid w:val="002C6B26"/>
    <w:rsid w:val="002C6C12"/>
    <w:rsid w:val="002C78A2"/>
    <w:rsid w:val="002D06C5"/>
    <w:rsid w:val="002D0C74"/>
    <w:rsid w:val="002D10D5"/>
    <w:rsid w:val="002D1C2D"/>
    <w:rsid w:val="002D1DCF"/>
    <w:rsid w:val="002D2051"/>
    <w:rsid w:val="002D2254"/>
    <w:rsid w:val="002D2437"/>
    <w:rsid w:val="002D2681"/>
    <w:rsid w:val="002D270D"/>
    <w:rsid w:val="002D292D"/>
    <w:rsid w:val="002D294C"/>
    <w:rsid w:val="002D2983"/>
    <w:rsid w:val="002D34CA"/>
    <w:rsid w:val="002D3FF0"/>
    <w:rsid w:val="002D429D"/>
    <w:rsid w:val="002D4575"/>
    <w:rsid w:val="002D46B5"/>
    <w:rsid w:val="002D46DC"/>
    <w:rsid w:val="002D4AD6"/>
    <w:rsid w:val="002D4CFB"/>
    <w:rsid w:val="002D5127"/>
    <w:rsid w:val="002D54AD"/>
    <w:rsid w:val="002D5D1B"/>
    <w:rsid w:val="002D5F43"/>
    <w:rsid w:val="002D5FBC"/>
    <w:rsid w:val="002D5FE4"/>
    <w:rsid w:val="002D6428"/>
    <w:rsid w:val="002D6935"/>
    <w:rsid w:val="002D6DDE"/>
    <w:rsid w:val="002D76FD"/>
    <w:rsid w:val="002D7F3A"/>
    <w:rsid w:val="002E0072"/>
    <w:rsid w:val="002E072C"/>
    <w:rsid w:val="002E096F"/>
    <w:rsid w:val="002E0CF2"/>
    <w:rsid w:val="002E0FDD"/>
    <w:rsid w:val="002E1077"/>
    <w:rsid w:val="002E1405"/>
    <w:rsid w:val="002E147A"/>
    <w:rsid w:val="002E17C6"/>
    <w:rsid w:val="002E1E62"/>
    <w:rsid w:val="002E23AB"/>
    <w:rsid w:val="002E2DBA"/>
    <w:rsid w:val="002E31C9"/>
    <w:rsid w:val="002E3696"/>
    <w:rsid w:val="002E3769"/>
    <w:rsid w:val="002E3ADC"/>
    <w:rsid w:val="002E3C56"/>
    <w:rsid w:val="002E3E68"/>
    <w:rsid w:val="002E4506"/>
    <w:rsid w:val="002E4765"/>
    <w:rsid w:val="002E49DF"/>
    <w:rsid w:val="002E4A97"/>
    <w:rsid w:val="002E518D"/>
    <w:rsid w:val="002E5824"/>
    <w:rsid w:val="002E5B52"/>
    <w:rsid w:val="002E5C08"/>
    <w:rsid w:val="002E5EB0"/>
    <w:rsid w:val="002E62FD"/>
    <w:rsid w:val="002E6839"/>
    <w:rsid w:val="002E6BF7"/>
    <w:rsid w:val="002E6ED8"/>
    <w:rsid w:val="002E7066"/>
    <w:rsid w:val="002E71C4"/>
    <w:rsid w:val="002E7233"/>
    <w:rsid w:val="002E7BDA"/>
    <w:rsid w:val="002F03EE"/>
    <w:rsid w:val="002F05E6"/>
    <w:rsid w:val="002F103A"/>
    <w:rsid w:val="002F10F0"/>
    <w:rsid w:val="002F1A24"/>
    <w:rsid w:val="002F2780"/>
    <w:rsid w:val="002F297D"/>
    <w:rsid w:val="002F39DD"/>
    <w:rsid w:val="002F4345"/>
    <w:rsid w:val="002F45FD"/>
    <w:rsid w:val="002F4CF5"/>
    <w:rsid w:val="002F56F3"/>
    <w:rsid w:val="002F5AE6"/>
    <w:rsid w:val="002F613B"/>
    <w:rsid w:val="002F638A"/>
    <w:rsid w:val="002F643A"/>
    <w:rsid w:val="002F6610"/>
    <w:rsid w:val="002F6ADA"/>
    <w:rsid w:val="002F6C03"/>
    <w:rsid w:val="002F6D60"/>
    <w:rsid w:val="002F702E"/>
    <w:rsid w:val="002F7043"/>
    <w:rsid w:val="002F7221"/>
    <w:rsid w:val="002F7416"/>
    <w:rsid w:val="002F7D21"/>
    <w:rsid w:val="0030086B"/>
    <w:rsid w:val="00300C82"/>
    <w:rsid w:val="003015CE"/>
    <w:rsid w:val="00301EC0"/>
    <w:rsid w:val="003022D9"/>
    <w:rsid w:val="00302621"/>
    <w:rsid w:val="00302DFB"/>
    <w:rsid w:val="00303717"/>
    <w:rsid w:val="003037F2"/>
    <w:rsid w:val="00303CC8"/>
    <w:rsid w:val="00303DC7"/>
    <w:rsid w:val="00304187"/>
    <w:rsid w:val="0030481F"/>
    <w:rsid w:val="00304A15"/>
    <w:rsid w:val="003050BE"/>
    <w:rsid w:val="0030532D"/>
    <w:rsid w:val="00305543"/>
    <w:rsid w:val="00305C70"/>
    <w:rsid w:val="003063B3"/>
    <w:rsid w:val="00306631"/>
    <w:rsid w:val="003068AC"/>
    <w:rsid w:val="003068F8"/>
    <w:rsid w:val="00306A7E"/>
    <w:rsid w:val="00307165"/>
    <w:rsid w:val="00307205"/>
    <w:rsid w:val="003074BC"/>
    <w:rsid w:val="003074E8"/>
    <w:rsid w:val="00307698"/>
    <w:rsid w:val="003078CD"/>
    <w:rsid w:val="00307D32"/>
    <w:rsid w:val="003102A7"/>
    <w:rsid w:val="00310529"/>
    <w:rsid w:val="00310A7C"/>
    <w:rsid w:val="00310E01"/>
    <w:rsid w:val="00310E52"/>
    <w:rsid w:val="003118AD"/>
    <w:rsid w:val="00312021"/>
    <w:rsid w:val="00312186"/>
    <w:rsid w:val="0031221C"/>
    <w:rsid w:val="00313AD4"/>
    <w:rsid w:val="00313C55"/>
    <w:rsid w:val="00313E56"/>
    <w:rsid w:val="0031434E"/>
    <w:rsid w:val="00314638"/>
    <w:rsid w:val="00314A53"/>
    <w:rsid w:val="00314BF5"/>
    <w:rsid w:val="00315772"/>
    <w:rsid w:val="00315B94"/>
    <w:rsid w:val="00315EC7"/>
    <w:rsid w:val="00316499"/>
    <w:rsid w:val="003166A0"/>
    <w:rsid w:val="00316928"/>
    <w:rsid w:val="00317240"/>
    <w:rsid w:val="003175E2"/>
    <w:rsid w:val="003176F5"/>
    <w:rsid w:val="00317723"/>
    <w:rsid w:val="00317908"/>
    <w:rsid w:val="00317E29"/>
    <w:rsid w:val="00320220"/>
    <w:rsid w:val="00320B7D"/>
    <w:rsid w:val="0032111E"/>
    <w:rsid w:val="00321994"/>
    <w:rsid w:val="00321C44"/>
    <w:rsid w:val="00321C5E"/>
    <w:rsid w:val="00321F4A"/>
    <w:rsid w:val="00322147"/>
    <w:rsid w:val="00322248"/>
    <w:rsid w:val="00323151"/>
    <w:rsid w:val="003233AE"/>
    <w:rsid w:val="003238C8"/>
    <w:rsid w:val="00323C9F"/>
    <w:rsid w:val="00323DE4"/>
    <w:rsid w:val="003240B7"/>
    <w:rsid w:val="003246A5"/>
    <w:rsid w:val="00324A9B"/>
    <w:rsid w:val="00325022"/>
    <w:rsid w:val="003255EF"/>
    <w:rsid w:val="003255FA"/>
    <w:rsid w:val="00325952"/>
    <w:rsid w:val="00325B43"/>
    <w:rsid w:val="00326328"/>
    <w:rsid w:val="003266FA"/>
    <w:rsid w:val="003269ED"/>
    <w:rsid w:val="00326CEE"/>
    <w:rsid w:val="00327100"/>
    <w:rsid w:val="00327423"/>
    <w:rsid w:val="003274E9"/>
    <w:rsid w:val="0032793A"/>
    <w:rsid w:val="00327A84"/>
    <w:rsid w:val="00327B12"/>
    <w:rsid w:val="00330AD6"/>
    <w:rsid w:val="00330BCC"/>
    <w:rsid w:val="00331041"/>
    <w:rsid w:val="0033115B"/>
    <w:rsid w:val="003312AE"/>
    <w:rsid w:val="00331409"/>
    <w:rsid w:val="00331754"/>
    <w:rsid w:val="00331CC2"/>
    <w:rsid w:val="00331D34"/>
    <w:rsid w:val="003320F2"/>
    <w:rsid w:val="0033268D"/>
    <w:rsid w:val="00333077"/>
    <w:rsid w:val="003330BE"/>
    <w:rsid w:val="00333111"/>
    <w:rsid w:val="003332F4"/>
    <w:rsid w:val="0033358A"/>
    <w:rsid w:val="003336F7"/>
    <w:rsid w:val="00333AFC"/>
    <w:rsid w:val="00333C9F"/>
    <w:rsid w:val="00333F2A"/>
    <w:rsid w:val="00333FCA"/>
    <w:rsid w:val="003343A5"/>
    <w:rsid w:val="0033469C"/>
    <w:rsid w:val="003346F8"/>
    <w:rsid w:val="00334CEA"/>
    <w:rsid w:val="00334E1F"/>
    <w:rsid w:val="00334E96"/>
    <w:rsid w:val="0033525B"/>
    <w:rsid w:val="0033590B"/>
    <w:rsid w:val="00335FB0"/>
    <w:rsid w:val="0033626D"/>
    <w:rsid w:val="0033637A"/>
    <w:rsid w:val="003364E7"/>
    <w:rsid w:val="003367C9"/>
    <w:rsid w:val="00336B37"/>
    <w:rsid w:val="00336D0A"/>
    <w:rsid w:val="00337059"/>
    <w:rsid w:val="003370C6"/>
    <w:rsid w:val="003376DF"/>
    <w:rsid w:val="003379BD"/>
    <w:rsid w:val="00340183"/>
    <w:rsid w:val="00340759"/>
    <w:rsid w:val="00340E0E"/>
    <w:rsid w:val="0034166B"/>
    <w:rsid w:val="003416F4"/>
    <w:rsid w:val="0034207C"/>
    <w:rsid w:val="00342583"/>
    <w:rsid w:val="00342791"/>
    <w:rsid w:val="00343590"/>
    <w:rsid w:val="003438A0"/>
    <w:rsid w:val="00343B5B"/>
    <w:rsid w:val="00343D35"/>
    <w:rsid w:val="003440A9"/>
    <w:rsid w:val="00344B1F"/>
    <w:rsid w:val="00344E3C"/>
    <w:rsid w:val="0034560F"/>
    <w:rsid w:val="0034561D"/>
    <w:rsid w:val="003458D5"/>
    <w:rsid w:val="0034595F"/>
    <w:rsid w:val="00345D11"/>
    <w:rsid w:val="00345D2A"/>
    <w:rsid w:val="00345DA8"/>
    <w:rsid w:val="00345E5E"/>
    <w:rsid w:val="0034607B"/>
    <w:rsid w:val="00346412"/>
    <w:rsid w:val="00346A95"/>
    <w:rsid w:val="0034772F"/>
    <w:rsid w:val="00347EC1"/>
    <w:rsid w:val="00347ECD"/>
    <w:rsid w:val="00350172"/>
    <w:rsid w:val="0035020E"/>
    <w:rsid w:val="003506B6"/>
    <w:rsid w:val="00350A1A"/>
    <w:rsid w:val="003511CA"/>
    <w:rsid w:val="00351D1D"/>
    <w:rsid w:val="003521B6"/>
    <w:rsid w:val="0035246E"/>
    <w:rsid w:val="00352748"/>
    <w:rsid w:val="003527DC"/>
    <w:rsid w:val="00352ED8"/>
    <w:rsid w:val="00352FAD"/>
    <w:rsid w:val="00352FE0"/>
    <w:rsid w:val="003531A1"/>
    <w:rsid w:val="0035336E"/>
    <w:rsid w:val="003537E9"/>
    <w:rsid w:val="0035425E"/>
    <w:rsid w:val="003544B5"/>
    <w:rsid w:val="00354969"/>
    <w:rsid w:val="00354B2A"/>
    <w:rsid w:val="00354BD4"/>
    <w:rsid w:val="003557E2"/>
    <w:rsid w:val="00355881"/>
    <w:rsid w:val="00355AF4"/>
    <w:rsid w:val="00355C3E"/>
    <w:rsid w:val="0035611F"/>
    <w:rsid w:val="00356369"/>
    <w:rsid w:val="00357383"/>
    <w:rsid w:val="00357914"/>
    <w:rsid w:val="0036003E"/>
    <w:rsid w:val="00360626"/>
    <w:rsid w:val="00360910"/>
    <w:rsid w:val="00360975"/>
    <w:rsid w:val="00360BAC"/>
    <w:rsid w:val="00360C01"/>
    <w:rsid w:val="00360C73"/>
    <w:rsid w:val="00361126"/>
    <w:rsid w:val="003616C9"/>
    <w:rsid w:val="003622B1"/>
    <w:rsid w:val="00362310"/>
    <w:rsid w:val="0036298C"/>
    <w:rsid w:val="003631AC"/>
    <w:rsid w:val="00363556"/>
    <w:rsid w:val="0036423C"/>
    <w:rsid w:val="00364469"/>
    <w:rsid w:val="00364602"/>
    <w:rsid w:val="00364621"/>
    <w:rsid w:val="00364C8C"/>
    <w:rsid w:val="00364CAE"/>
    <w:rsid w:val="003650E7"/>
    <w:rsid w:val="00365257"/>
    <w:rsid w:val="003652D9"/>
    <w:rsid w:val="00365967"/>
    <w:rsid w:val="0036677C"/>
    <w:rsid w:val="0036688E"/>
    <w:rsid w:val="00366A22"/>
    <w:rsid w:val="00366C6B"/>
    <w:rsid w:val="00366E90"/>
    <w:rsid w:val="003675A2"/>
    <w:rsid w:val="003675BD"/>
    <w:rsid w:val="0036764B"/>
    <w:rsid w:val="00367A38"/>
    <w:rsid w:val="00367C86"/>
    <w:rsid w:val="00370004"/>
    <w:rsid w:val="00370175"/>
    <w:rsid w:val="00370E23"/>
    <w:rsid w:val="00370E62"/>
    <w:rsid w:val="00370EF6"/>
    <w:rsid w:val="00371BDA"/>
    <w:rsid w:val="00371C4F"/>
    <w:rsid w:val="00371D2B"/>
    <w:rsid w:val="00371F54"/>
    <w:rsid w:val="003722A2"/>
    <w:rsid w:val="00373597"/>
    <w:rsid w:val="00373E8E"/>
    <w:rsid w:val="00373F3A"/>
    <w:rsid w:val="00373F42"/>
    <w:rsid w:val="0037476E"/>
    <w:rsid w:val="003749D5"/>
    <w:rsid w:val="00374F8B"/>
    <w:rsid w:val="00375721"/>
    <w:rsid w:val="003757E8"/>
    <w:rsid w:val="003758EB"/>
    <w:rsid w:val="00375AFC"/>
    <w:rsid w:val="003760CA"/>
    <w:rsid w:val="00376236"/>
    <w:rsid w:val="00376357"/>
    <w:rsid w:val="0037651B"/>
    <w:rsid w:val="00376661"/>
    <w:rsid w:val="00376960"/>
    <w:rsid w:val="00376A94"/>
    <w:rsid w:val="00377341"/>
    <w:rsid w:val="003775CC"/>
    <w:rsid w:val="00377692"/>
    <w:rsid w:val="003776A9"/>
    <w:rsid w:val="0037775C"/>
    <w:rsid w:val="00380113"/>
    <w:rsid w:val="003801FA"/>
    <w:rsid w:val="0038038C"/>
    <w:rsid w:val="0038042C"/>
    <w:rsid w:val="00380A2E"/>
    <w:rsid w:val="00380E64"/>
    <w:rsid w:val="00381840"/>
    <w:rsid w:val="0038185E"/>
    <w:rsid w:val="00381BDA"/>
    <w:rsid w:val="00382172"/>
    <w:rsid w:val="003822C3"/>
    <w:rsid w:val="00382409"/>
    <w:rsid w:val="00382554"/>
    <w:rsid w:val="0038274E"/>
    <w:rsid w:val="00382956"/>
    <w:rsid w:val="00382CFF"/>
    <w:rsid w:val="003833ED"/>
    <w:rsid w:val="00383661"/>
    <w:rsid w:val="00383768"/>
    <w:rsid w:val="003837D7"/>
    <w:rsid w:val="00383CC0"/>
    <w:rsid w:val="00383ED1"/>
    <w:rsid w:val="00384035"/>
    <w:rsid w:val="003845B8"/>
    <w:rsid w:val="00384E68"/>
    <w:rsid w:val="0038515C"/>
    <w:rsid w:val="003852F9"/>
    <w:rsid w:val="0038560E"/>
    <w:rsid w:val="00385B38"/>
    <w:rsid w:val="00385DF5"/>
    <w:rsid w:val="00385EDB"/>
    <w:rsid w:val="003862F1"/>
    <w:rsid w:val="00386444"/>
    <w:rsid w:val="003866F8"/>
    <w:rsid w:val="003867A7"/>
    <w:rsid w:val="00386A22"/>
    <w:rsid w:val="00386D85"/>
    <w:rsid w:val="00386F5E"/>
    <w:rsid w:val="00387006"/>
    <w:rsid w:val="003873D0"/>
    <w:rsid w:val="00387706"/>
    <w:rsid w:val="003878F7"/>
    <w:rsid w:val="003879CB"/>
    <w:rsid w:val="00387C98"/>
    <w:rsid w:val="003907E4"/>
    <w:rsid w:val="00390D8B"/>
    <w:rsid w:val="00390E10"/>
    <w:rsid w:val="0039214A"/>
    <w:rsid w:val="00392E94"/>
    <w:rsid w:val="00392ED5"/>
    <w:rsid w:val="003930A5"/>
    <w:rsid w:val="0039342F"/>
    <w:rsid w:val="00394111"/>
    <w:rsid w:val="003949D1"/>
    <w:rsid w:val="00394E51"/>
    <w:rsid w:val="0039522D"/>
    <w:rsid w:val="00395569"/>
    <w:rsid w:val="00395E3A"/>
    <w:rsid w:val="00395E4F"/>
    <w:rsid w:val="00395F09"/>
    <w:rsid w:val="00395FA1"/>
    <w:rsid w:val="00396105"/>
    <w:rsid w:val="00396152"/>
    <w:rsid w:val="0039617D"/>
    <w:rsid w:val="00396840"/>
    <w:rsid w:val="003968F3"/>
    <w:rsid w:val="00396E0E"/>
    <w:rsid w:val="003970CF"/>
    <w:rsid w:val="003973E6"/>
    <w:rsid w:val="003974D8"/>
    <w:rsid w:val="003A0394"/>
    <w:rsid w:val="003A07D2"/>
    <w:rsid w:val="003A0937"/>
    <w:rsid w:val="003A0E95"/>
    <w:rsid w:val="003A1348"/>
    <w:rsid w:val="003A180C"/>
    <w:rsid w:val="003A1E1D"/>
    <w:rsid w:val="003A288F"/>
    <w:rsid w:val="003A289C"/>
    <w:rsid w:val="003A2A28"/>
    <w:rsid w:val="003A2D0F"/>
    <w:rsid w:val="003A4A4B"/>
    <w:rsid w:val="003A4F03"/>
    <w:rsid w:val="003A5508"/>
    <w:rsid w:val="003A5836"/>
    <w:rsid w:val="003A60E3"/>
    <w:rsid w:val="003A630E"/>
    <w:rsid w:val="003A69F2"/>
    <w:rsid w:val="003A6DE0"/>
    <w:rsid w:val="003A71E3"/>
    <w:rsid w:val="003A7737"/>
    <w:rsid w:val="003A7E97"/>
    <w:rsid w:val="003B0010"/>
    <w:rsid w:val="003B0486"/>
    <w:rsid w:val="003B083B"/>
    <w:rsid w:val="003B0AF9"/>
    <w:rsid w:val="003B0E1E"/>
    <w:rsid w:val="003B16EF"/>
    <w:rsid w:val="003B172C"/>
    <w:rsid w:val="003B23E3"/>
    <w:rsid w:val="003B2C27"/>
    <w:rsid w:val="003B2C56"/>
    <w:rsid w:val="003B2CA9"/>
    <w:rsid w:val="003B2E25"/>
    <w:rsid w:val="003B2EDA"/>
    <w:rsid w:val="003B2F8D"/>
    <w:rsid w:val="003B3217"/>
    <w:rsid w:val="003B338A"/>
    <w:rsid w:val="003B34E6"/>
    <w:rsid w:val="003B359E"/>
    <w:rsid w:val="003B3834"/>
    <w:rsid w:val="003B3C06"/>
    <w:rsid w:val="003B3D04"/>
    <w:rsid w:val="003B3E76"/>
    <w:rsid w:val="003B44CD"/>
    <w:rsid w:val="003B47CC"/>
    <w:rsid w:val="003B4CD8"/>
    <w:rsid w:val="003B4DBB"/>
    <w:rsid w:val="003B502E"/>
    <w:rsid w:val="003B5285"/>
    <w:rsid w:val="003B558C"/>
    <w:rsid w:val="003B5798"/>
    <w:rsid w:val="003B692A"/>
    <w:rsid w:val="003B7107"/>
    <w:rsid w:val="003B7659"/>
    <w:rsid w:val="003B7984"/>
    <w:rsid w:val="003C06B5"/>
    <w:rsid w:val="003C0EC9"/>
    <w:rsid w:val="003C1149"/>
    <w:rsid w:val="003C1322"/>
    <w:rsid w:val="003C1881"/>
    <w:rsid w:val="003C1FA0"/>
    <w:rsid w:val="003C234A"/>
    <w:rsid w:val="003C278E"/>
    <w:rsid w:val="003C2880"/>
    <w:rsid w:val="003C297C"/>
    <w:rsid w:val="003C2AE9"/>
    <w:rsid w:val="003C2E18"/>
    <w:rsid w:val="003C3486"/>
    <w:rsid w:val="003C35B6"/>
    <w:rsid w:val="003C38FA"/>
    <w:rsid w:val="003C3AB5"/>
    <w:rsid w:val="003C45B9"/>
    <w:rsid w:val="003C5136"/>
    <w:rsid w:val="003C59FC"/>
    <w:rsid w:val="003C5AF0"/>
    <w:rsid w:val="003C602B"/>
    <w:rsid w:val="003C6908"/>
    <w:rsid w:val="003C6DC2"/>
    <w:rsid w:val="003C74EB"/>
    <w:rsid w:val="003C76C8"/>
    <w:rsid w:val="003D04A8"/>
    <w:rsid w:val="003D04C0"/>
    <w:rsid w:val="003D0514"/>
    <w:rsid w:val="003D0E30"/>
    <w:rsid w:val="003D0FC6"/>
    <w:rsid w:val="003D1269"/>
    <w:rsid w:val="003D20EC"/>
    <w:rsid w:val="003D240F"/>
    <w:rsid w:val="003D2580"/>
    <w:rsid w:val="003D2A3E"/>
    <w:rsid w:val="003D2B00"/>
    <w:rsid w:val="003D2DE3"/>
    <w:rsid w:val="003D37DA"/>
    <w:rsid w:val="003D403F"/>
    <w:rsid w:val="003D40F2"/>
    <w:rsid w:val="003D42BF"/>
    <w:rsid w:val="003D44F3"/>
    <w:rsid w:val="003D4726"/>
    <w:rsid w:val="003D4796"/>
    <w:rsid w:val="003D50CE"/>
    <w:rsid w:val="003D52DA"/>
    <w:rsid w:val="003D54EB"/>
    <w:rsid w:val="003D6350"/>
    <w:rsid w:val="003D679D"/>
    <w:rsid w:val="003D6FE5"/>
    <w:rsid w:val="003D70F6"/>
    <w:rsid w:val="003D7206"/>
    <w:rsid w:val="003D7618"/>
    <w:rsid w:val="003D7793"/>
    <w:rsid w:val="003D7A13"/>
    <w:rsid w:val="003D7D7B"/>
    <w:rsid w:val="003E09F9"/>
    <w:rsid w:val="003E0FF7"/>
    <w:rsid w:val="003E12F9"/>
    <w:rsid w:val="003E167D"/>
    <w:rsid w:val="003E180F"/>
    <w:rsid w:val="003E1A70"/>
    <w:rsid w:val="003E1B1E"/>
    <w:rsid w:val="003E1BE8"/>
    <w:rsid w:val="003E1CED"/>
    <w:rsid w:val="003E20BF"/>
    <w:rsid w:val="003E25C6"/>
    <w:rsid w:val="003E2819"/>
    <w:rsid w:val="003E2B2C"/>
    <w:rsid w:val="003E30D6"/>
    <w:rsid w:val="003E322D"/>
    <w:rsid w:val="003E32AD"/>
    <w:rsid w:val="003E340D"/>
    <w:rsid w:val="003E3560"/>
    <w:rsid w:val="003E3C03"/>
    <w:rsid w:val="003E3DD4"/>
    <w:rsid w:val="003E41F0"/>
    <w:rsid w:val="003E437A"/>
    <w:rsid w:val="003E4563"/>
    <w:rsid w:val="003E45F4"/>
    <w:rsid w:val="003E4980"/>
    <w:rsid w:val="003E4B58"/>
    <w:rsid w:val="003E4BAA"/>
    <w:rsid w:val="003E4D4D"/>
    <w:rsid w:val="003E4EB5"/>
    <w:rsid w:val="003E52B5"/>
    <w:rsid w:val="003E54A8"/>
    <w:rsid w:val="003E5ED6"/>
    <w:rsid w:val="003E60D7"/>
    <w:rsid w:val="003E6CF7"/>
    <w:rsid w:val="003E7695"/>
    <w:rsid w:val="003E77A2"/>
    <w:rsid w:val="003E7F40"/>
    <w:rsid w:val="003F031D"/>
    <w:rsid w:val="003F06D4"/>
    <w:rsid w:val="003F0B8C"/>
    <w:rsid w:val="003F11D2"/>
    <w:rsid w:val="003F1399"/>
    <w:rsid w:val="003F19C3"/>
    <w:rsid w:val="003F1E86"/>
    <w:rsid w:val="003F2304"/>
    <w:rsid w:val="003F2488"/>
    <w:rsid w:val="003F2EB8"/>
    <w:rsid w:val="003F3CFA"/>
    <w:rsid w:val="003F3EAD"/>
    <w:rsid w:val="003F4382"/>
    <w:rsid w:val="003F46BA"/>
    <w:rsid w:val="003F4A5A"/>
    <w:rsid w:val="003F4C22"/>
    <w:rsid w:val="003F4FD0"/>
    <w:rsid w:val="003F5A59"/>
    <w:rsid w:val="003F5E32"/>
    <w:rsid w:val="003F686D"/>
    <w:rsid w:val="003F6E12"/>
    <w:rsid w:val="003F740C"/>
    <w:rsid w:val="003F774C"/>
    <w:rsid w:val="003F7777"/>
    <w:rsid w:val="003F7E18"/>
    <w:rsid w:val="004001AA"/>
    <w:rsid w:val="00400D10"/>
    <w:rsid w:val="00400E23"/>
    <w:rsid w:val="00400E28"/>
    <w:rsid w:val="004019C2"/>
    <w:rsid w:val="004028C6"/>
    <w:rsid w:val="00402900"/>
    <w:rsid w:val="00403CB6"/>
    <w:rsid w:val="00403CDF"/>
    <w:rsid w:val="0040436A"/>
    <w:rsid w:val="00404C28"/>
    <w:rsid w:val="004052F8"/>
    <w:rsid w:val="00405913"/>
    <w:rsid w:val="004067B5"/>
    <w:rsid w:val="004068D4"/>
    <w:rsid w:val="00406958"/>
    <w:rsid w:val="00406A4A"/>
    <w:rsid w:val="0040708F"/>
    <w:rsid w:val="00407AC8"/>
    <w:rsid w:val="00407EC1"/>
    <w:rsid w:val="00407F62"/>
    <w:rsid w:val="004105F3"/>
    <w:rsid w:val="00410B42"/>
    <w:rsid w:val="00410B83"/>
    <w:rsid w:val="00410C6B"/>
    <w:rsid w:val="00410FD8"/>
    <w:rsid w:val="00411000"/>
    <w:rsid w:val="00411095"/>
    <w:rsid w:val="00411104"/>
    <w:rsid w:val="00411582"/>
    <w:rsid w:val="00411647"/>
    <w:rsid w:val="00411746"/>
    <w:rsid w:val="00411D22"/>
    <w:rsid w:val="004121C7"/>
    <w:rsid w:val="0041220B"/>
    <w:rsid w:val="0041246E"/>
    <w:rsid w:val="0041302E"/>
    <w:rsid w:val="00413151"/>
    <w:rsid w:val="00413A47"/>
    <w:rsid w:val="00413AD7"/>
    <w:rsid w:val="00413BE4"/>
    <w:rsid w:val="00413C3C"/>
    <w:rsid w:val="00413CF2"/>
    <w:rsid w:val="00413DF7"/>
    <w:rsid w:val="00414350"/>
    <w:rsid w:val="004144B1"/>
    <w:rsid w:val="004145C9"/>
    <w:rsid w:val="004146B6"/>
    <w:rsid w:val="0041488F"/>
    <w:rsid w:val="00414D79"/>
    <w:rsid w:val="004152DF"/>
    <w:rsid w:val="00415D3D"/>
    <w:rsid w:val="00416D38"/>
    <w:rsid w:val="00417289"/>
    <w:rsid w:val="0041744B"/>
    <w:rsid w:val="0041770D"/>
    <w:rsid w:val="00417F69"/>
    <w:rsid w:val="00417FAE"/>
    <w:rsid w:val="0042027C"/>
    <w:rsid w:val="00420709"/>
    <w:rsid w:val="00420A67"/>
    <w:rsid w:val="00421230"/>
    <w:rsid w:val="004213F5"/>
    <w:rsid w:val="004218FB"/>
    <w:rsid w:val="00421EB0"/>
    <w:rsid w:val="004226EF"/>
    <w:rsid w:val="004228C7"/>
    <w:rsid w:val="004228D8"/>
    <w:rsid w:val="00422B8B"/>
    <w:rsid w:val="004235EC"/>
    <w:rsid w:val="00423C7B"/>
    <w:rsid w:val="00423CEE"/>
    <w:rsid w:val="004245F8"/>
    <w:rsid w:val="004246DB"/>
    <w:rsid w:val="00424B9F"/>
    <w:rsid w:val="00424D10"/>
    <w:rsid w:val="00424E91"/>
    <w:rsid w:val="0042559D"/>
    <w:rsid w:val="004259A4"/>
    <w:rsid w:val="00425EEF"/>
    <w:rsid w:val="004260D8"/>
    <w:rsid w:val="00426477"/>
    <w:rsid w:val="00426B45"/>
    <w:rsid w:val="00426BFE"/>
    <w:rsid w:val="00426CF5"/>
    <w:rsid w:val="0042777D"/>
    <w:rsid w:val="00427909"/>
    <w:rsid w:val="00427D4F"/>
    <w:rsid w:val="00430AB1"/>
    <w:rsid w:val="00430AF7"/>
    <w:rsid w:val="00430D71"/>
    <w:rsid w:val="0043270F"/>
    <w:rsid w:val="00432FDF"/>
    <w:rsid w:val="00433153"/>
    <w:rsid w:val="0043318E"/>
    <w:rsid w:val="00433476"/>
    <w:rsid w:val="004336A9"/>
    <w:rsid w:val="004337E7"/>
    <w:rsid w:val="00433DCA"/>
    <w:rsid w:val="004341B6"/>
    <w:rsid w:val="0043426B"/>
    <w:rsid w:val="0043459A"/>
    <w:rsid w:val="00434D06"/>
    <w:rsid w:val="00434EFC"/>
    <w:rsid w:val="00435006"/>
    <w:rsid w:val="00435538"/>
    <w:rsid w:val="0043595A"/>
    <w:rsid w:val="00435EA6"/>
    <w:rsid w:val="004367A2"/>
    <w:rsid w:val="00436DBE"/>
    <w:rsid w:val="00436E22"/>
    <w:rsid w:val="00436EE5"/>
    <w:rsid w:val="004370A9"/>
    <w:rsid w:val="00437F92"/>
    <w:rsid w:val="004404FB"/>
    <w:rsid w:val="00440DFA"/>
    <w:rsid w:val="004414B5"/>
    <w:rsid w:val="00441D5F"/>
    <w:rsid w:val="0044230B"/>
    <w:rsid w:val="004428FD"/>
    <w:rsid w:val="00442DD1"/>
    <w:rsid w:val="00443B3B"/>
    <w:rsid w:val="00443DA3"/>
    <w:rsid w:val="00444C49"/>
    <w:rsid w:val="004450F1"/>
    <w:rsid w:val="004451E4"/>
    <w:rsid w:val="004452BE"/>
    <w:rsid w:val="0044549D"/>
    <w:rsid w:val="004456A1"/>
    <w:rsid w:val="00445A07"/>
    <w:rsid w:val="00445EB0"/>
    <w:rsid w:val="004462CB"/>
    <w:rsid w:val="004467D2"/>
    <w:rsid w:val="004469FB"/>
    <w:rsid w:val="00446EF9"/>
    <w:rsid w:val="004472F7"/>
    <w:rsid w:val="00447543"/>
    <w:rsid w:val="00447E3D"/>
    <w:rsid w:val="004502A0"/>
    <w:rsid w:val="004503E6"/>
    <w:rsid w:val="004509B8"/>
    <w:rsid w:val="00450B48"/>
    <w:rsid w:val="0045116D"/>
    <w:rsid w:val="00451ED0"/>
    <w:rsid w:val="00452ABF"/>
    <w:rsid w:val="00452DE8"/>
    <w:rsid w:val="00452E7C"/>
    <w:rsid w:val="00452E87"/>
    <w:rsid w:val="0045316F"/>
    <w:rsid w:val="0045329F"/>
    <w:rsid w:val="00453892"/>
    <w:rsid w:val="00453DCE"/>
    <w:rsid w:val="00453F52"/>
    <w:rsid w:val="004542B3"/>
    <w:rsid w:val="00454376"/>
    <w:rsid w:val="00454E96"/>
    <w:rsid w:val="00454FB0"/>
    <w:rsid w:val="00454FB7"/>
    <w:rsid w:val="004553AF"/>
    <w:rsid w:val="00455487"/>
    <w:rsid w:val="004556F2"/>
    <w:rsid w:val="00455B9A"/>
    <w:rsid w:val="00455E6A"/>
    <w:rsid w:val="00455EEA"/>
    <w:rsid w:val="004560C7"/>
    <w:rsid w:val="004565B7"/>
    <w:rsid w:val="00456B7A"/>
    <w:rsid w:val="00456D2F"/>
    <w:rsid w:val="00457126"/>
    <w:rsid w:val="00457874"/>
    <w:rsid w:val="0046002C"/>
    <w:rsid w:val="00460124"/>
    <w:rsid w:val="0046049D"/>
    <w:rsid w:val="004604A9"/>
    <w:rsid w:val="00460F8F"/>
    <w:rsid w:val="00460FD4"/>
    <w:rsid w:val="004612DC"/>
    <w:rsid w:val="0046137D"/>
    <w:rsid w:val="00461823"/>
    <w:rsid w:val="00461973"/>
    <w:rsid w:val="00461E68"/>
    <w:rsid w:val="004629A0"/>
    <w:rsid w:val="004629FB"/>
    <w:rsid w:val="00462C1A"/>
    <w:rsid w:val="00462CE1"/>
    <w:rsid w:val="00462D3C"/>
    <w:rsid w:val="00463BAF"/>
    <w:rsid w:val="00463D88"/>
    <w:rsid w:val="00464191"/>
    <w:rsid w:val="004643F7"/>
    <w:rsid w:val="004647D2"/>
    <w:rsid w:val="0046500C"/>
    <w:rsid w:val="0046544D"/>
    <w:rsid w:val="00465522"/>
    <w:rsid w:val="00465623"/>
    <w:rsid w:val="00465814"/>
    <w:rsid w:val="00465B65"/>
    <w:rsid w:val="00465CBE"/>
    <w:rsid w:val="004661DB"/>
    <w:rsid w:val="00466840"/>
    <w:rsid w:val="00466AF0"/>
    <w:rsid w:val="00467056"/>
    <w:rsid w:val="004678A9"/>
    <w:rsid w:val="0046794C"/>
    <w:rsid w:val="004701CA"/>
    <w:rsid w:val="00470C75"/>
    <w:rsid w:val="004711A5"/>
    <w:rsid w:val="00471597"/>
    <w:rsid w:val="004716BB"/>
    <w:rsid w:val="00472508"/>
    <w:rsid w:val="00472682"/>
    <w:rsid w:val="004726B7"/>
    <w:rsid w:val="0047286D"/>
    <w:rsid w:val="00472D96"/>
    <w:rsid w:val="00472DD7"/>
    <w:rsid w:val="00473515"/>
    <w:rsid w:val="00473B8D"/>
    <w:rsid w:val="00473C95"/>
    <w:rsid w:val="00473C98"/>
    <w:rsid w:val="004741D9"/>
    <w:rsid w:val="0047477D"/>
    <w:rsid w:val="004748C0"/>
    <w:rsid w:val="00474C58"/>
    <w:rsid w:val="00474E40"/>
    <w:rsid w:val="00475070"/>
    <w:rsid w:val="0047538F"/>
    <w:rsid w:val="00475821"/>
    <w:rsid w:val="00475E0F"/>
    <w:rsid w:val="00476297"/>
    <w:rsid w:val="004764D7"/>
    <w:rsid w:val="00476E8F"/>
    <w:rsid w:val="00476FD0"/>
    <w:rsid w:val="00477155"/>
    <w:rsid w:val="00477421"/>
    <w:rsid w:val="004775C0"/>
    <w:rsid w:val="00477A89"/>
    <w:rsid w:val="00477C32"/>
    <w:rsid w:val="00477D2C"/>
    <w:rsid w:val="00477DE1"/>
    <w:rsid w:val="00480127"/>
    <w:rsid w:val="004804C6"/>
    <w:rsid w:val="00480745"/>
    <w:rsid w:val="004807DC"/>
    <w:rsid w:val="0048107E"/>
    <w:rsid w:val="00481296"/>
    <w:rsid w:val="004814CD"/>
    <w:rsid w:val="004814D1"/>
    <w:rsid w:val="004815D9"/>
    <w:rsid w:val="0048198A"/>
    <w:rsid w:val="0048260A"/>
    <w:rsid w:val="004828F0"/>
    <w:rsid w:val="00482CBF"/>
    <w:rsid w:val="00482CFC"/>
    <w:rsid w:val="00482DEF"/>
    <w:rsid w:val="004831C6"/>
    <w:rsid w:val="00484173"/>
    <w:rsid w:val="0048457E"/>
    <w:rsid w:val="0048535B"/>
    <w:rsid w:val="00485446"/>
    <w:rsid w:val="004855CA"/>
    <w:rsid w:val="004859BA"/>
    <w:rsid w:val="0048651B"/>
    <w:rsid w:val="00486605"/>
    <w:rsid w:val="00486881"/>
    <w:rsid w:val="0048697D"/>
    <w:rsid w:val="00486C06"/>
    <w:rsid w:val="00487408"/>
    <w:rsid w:val="00487BF6"/>
    <w:rsid w:val="00487DE3"/>
    <w:rsid w:val="00487EDC"/>
    <w:rsid w:val="00487F1E"/>
    <w:rsid w:val="004903F1"/>
    <w:rsid w:val="00490BAD"/>
    <w:rsid w:val="00490C59"/>
    <w:rsid w:val="00490F65"/>
    <w:rsid w:val="004913FE"/>
    <w:rsid w:val="00491DA1"/>
    <w:rsid w:val="004920A7"/>
    <w:rsid w:val="00492200"/>
    <w:rsid w:val="00492207"/>
    <w:rsid w:val="004925BA"/>
    <w:rsid w:val="00492684"/>
    <w:rsid w:val="0049437F"/>
    <w:rsid w:val="004947CD"/>
    <w:rsid w:val="00494C7B"/>
    <w:rsid w:val="00495802"/>
    <w:rsid w:val="00495CE6"/>
    <w:rsid w:val="00495F31"/>
    <w:rsid w:val="0049634F"/>
    <w:rsid w:val="00496668"/>
    <w:rsid w:val="00496B57"/>
    <w:rsid w:val="00496C19"/>
    <w:rsid w:val="00496C77"/>
    <w:rsid w:val="00496E1B"/>
    <w:rsid w:val="00497387"/>
    <w:rsid w:val="00497A59"/>
    <w:rsid w:val="00497A77"/>
    <w:rsid w:val="00497B64"/>
    <w:rsid w:val="00497BE8"/>
    <w:rsid w:val="004A0554"/>
    <w:rsid w:val="004A05B1"/>
    <w:rsid w:val="004A0EC6"/>
    <w:rsid w:val="004A11CA"/>
    <w:rsid w:val="004A1996"/>
    <w:rsid w:val="004A1EB2"/>
    <w:rsid w:val="004A1FCE"/>
    <w:rsid w:val="004A2593"/>
    <w:rsid w:val="004A2818"/>
    <w:rsid w:val="004A2C8E"/>
    <w:rsid w:val="004A2D7B"/>
    <w:rsid w:val="004A3169"/>
    <w:rsid w:val="004A31AA"/>
    <w:rsid w:val="004A326E"/>
    <w:rsid w:val="004A3418"/>
    <w:rsid w:val="004A3BD9"/>
    <w:rsid w:val="004A3EA5"/>
    <w:rsid w:val="004A400D"/>
    <w:rsid w:val="004A46D2"/>
    <w:rsid w:val="004A4842"/>
    <w:rsid w:val="004A49A9"/>
    <w:rsid w:val="004A4D7B"/>
    <w:rsid w:val="004A5139"/>
    <w:rsid w:val="004A55B4"/>
    <w:rsid w:val="004A59BE"/>
    <w:rsid w:val="004A5A95"/>
    <w:rsid w:val="004A5FBD"/>
    <w:rsid w:val="004A6A5B"/>
    <w:rsid w:val="004A7054"/>
    <w:rsid w:val="004A79D2"/>
    <w:rsid w:val="004B03B6"/>
    <w:rsid w:val="004B0743"/>
    <w:rsid w:val="004B0744"/>
    <w:rsid w:val="004B1806"/>
    <w:rsid w:val="004B1916"/>
    <w:rsid w:val="004B1B67"/>
    <w:rsid w:val="004B21C3"/>
    <w:rsid w:val="004B21D5"/>
    <w:rsid w:val="004B249B"/>
    <w:rsid w:val="004B26A4"/>
    <w:rsid w:val="004B2F68"/>
    <w:rsid w:val="004B2F7B"/>
    <w:rsid w:val="004B3684"/>
    <w:rsid w:val="004B3747"/>
    <w:rsid w:val="004B3932"/>
    <w:rsid w:val="004B3ACA"/>
    <w:rsid w:val="004B3D34"/>
    <w:rsid w:val="004B40D1"/>
    <w:rsid w:val="004B45EE"/>
    <w:rsid w:val="004B4740"/>
    <w:rsid w:val="004B4852"/>
    <w:rsid w:val="004B4EFF"/>
    <w:rsid w:val="004B50BE"/>
    <w:rsid w:val="004B5385"/>
    <w:rsid w:val="004B566F"/>
    <w:rsid w:val="004B5B4A"/>
    <w:rsid w:val="004B62A2"/>
    <w:rsid w:val="004B643F"/>
    <w:rsid w:val="004B64D8"/>
    <w:rsid w:val="004B6A01"/>
    <w:rsid w:val="004B71CF"/>
    <w:rsid w:val="004B7B65"/>
    <w:rsid w:val="004B7FBF"/>
    <w:rsid w:val="004C02B8"/>
    <w:rsid w:val="004C04E6"/>
    <w:rsid w:val="004C0DC9"/>
    <w:rsid w:val="004C1287"/>
    <w:rsid w:val="004C12AF"/>
    <w:rsid w:val="004C1504"/>
    <w:rsid w:val="004C168C"/>
    <w:rsid w:val="004C17EB"/>
    <w:rsid w:val="004C1AA7"/>
    <w:rsid w:val="004C20D9"/>
    <w:rsid w:val="004C20EA"/>
    <w:rsid w:val="004C2955"/>
    <w:rsid w:val="004C296F"/>
    <w:rsid w:val="004C2ADC"/>
    <w:rsid w:val="004C2C30"/>
    <w:rsid w:val="004C2E66"/>
    <w:rsid w:val="004C2F8C"/>
    <w:rsid w:val="004C3366"/>
    <w:rsid w:val="004C3471"/>
    <w:rsid w:val="004C35EB"/>
    <w:rsid w:val="004C3700"/>
    <w:rsid w:val="004C37F8"/>
    <w:rsid w:val="004C38D1"/>
    <w:rsid w:val="004C3B04"/>
    <w:rsid w:val="004C3B47"/>
    <w:rsid w:val="004C459F"/>
    <w:rsid w:val="004C45F4"/>
    <w:rsid w:val="004C4613"/>
    <w:rsid w:val="004C4D5E"/>
    <w:rsid w:val="004C5577"/>
    <w:rsid w:val="004C59D2"/>
    <w:rsid w:val="004C654B"/>
    <w:rsid w:val="004C660D"/>
    <w:rsid w:val="004C6767"/>
    <w:rsid w:val="004C6B46"/>
    <w:rsid w:val="004C6CF8"/>
    <w:rsid w:val="004C6DC2"/>
    <w:rsid w:val="004C6DE1"/>
    <w:rsid w:val="004C7830"/>
    <w:rsid w:val="004C78FD"/>
    <w:rsid w:val="004C7BF2"/>
    <w:rsid w:val="004C7CCD"/>
    <w:rsid w:val="004C7F93"/>
    <w:rsid w:val="004D0036"/>
    <w:rsid w:val="004D08CB"/>
    <w:rsid w:val="004D0EEE"/>
    <w:rsid w:val="004D10D1"/>
    <w:rsid w:val="004D11E3"/>
    <w:rsid w:val="004D1589"/>
    <w:rsid w:val="004D1CDA"/>
    <w:rsid w:val="004D21A8"/>
    <w:rsid w:val="004D226B"/>
    <w:rsid w:val="004D24BD"/>
    <w:rsid w:val="004D2790"/>
    <w:rsid w:val="004D2C7D"/>
    <w:rsid w:val="004D315F"/>
    <w:rsid w:val="004D3431"/>
    <w:rsid w:val="004D3907"/>
    <w:rsid w:val="004D3F36"/>
    <w:rsid w:val="004D3FA4"/>
    <w:rsid w:val="004D4120"/>
    <w:rsid w:val="004D498F"/>
    <w:rsid w:val="004D50A7"/>
    <w:rsid w:val="004D5352"/>
    <w:rsid w:val="004D53E5"/>
    <w:rsid w:val="004D5402"/>
    <w:rsid w:val="004D5CC9"/>
    <w:rsid w:val="004D5DF0"/>
    <w:rsid w:val="004D5ECF"/>
    <w:rsid w:val="004D5FE4"/>
    <w:rsid w:val="004D67CB"/>
    <w:rsid w:val="004D6D0E"/>
    <w:rsid w:val="004D6DBA"/>
    <w:rsid w:val="004D6E91"/>
    <w:rsid w:val="004D7292"/>
    <w:rsid w:val="004D740A"/>
    <w:rsid w:val="004D7AF1"/>
    <w:rsid w:val="004E0084"/>
    <w:rsid w:val="004E0277"/>
    <w:rsid w:val="004E0377"/>
    <w:rsid w:val="004E03C2"/>
    <w:rsid w:val="004E0687"/>
    <w:rsid w:val="004E0817"/>
    <w:rsid w:val="004E0FB7"/>
    <w:rsid w:val="004E11DA"/>
    <w:rsid w:val="004E1633"/>
    <w:rsid w:val="004E1A84"/>
    <w:rsid w:val="004E1CD0"/>
    <w:rsid w:val="004E1CF7"/>
    <w:rsid w:val="004E1D29"/>
    <w:rsid w:val="004E1DC3"/>
    <w:rsid w:val="004E28AC"/>
    <w:rsid w:val="004E2CB3"/>
    <w:rsid w:val="004E2D92"/>
    <w:rsid w:val="004E2DDA"/>
    <w:rsid w:val="004E32A5"/>
    <w:rsid w:val="004E36BC"/>
    <w:rsid w:val="004E3C1D"/>
    <w:rsid w:val="004E4072"/>
    <w:rsid w:val="004E4226"/>
    <w:rsid w:val="004E4AD2"/>
    <w:rsid w:val="004E4EC0"/>
    <w:rsid w:val="004E570B"/>
    <w:rsid w:val="004E5947"/>
    <w:rsid w:val="004E5D26"/>
    <w:rsid w:val="004E5DBF"/>
    <w:rsid w:val="004E5FD6"/>
    <w:rsid w:val="004E6274"/>
    <w:rsid w:val="004E64A5"/>
    <w:rsid w:val="004E6E5D"/>
    <w:rsid w:val="004E706B"/>
    <w:rsid w:val="004E70FC"/>
    <w:rsid w:val="004E752A"/>
    <w:rsid w:val="004E77EB"/>
    <w:rsid w:val="004E7FAF"/>
    <w:rsid w:val="004F0060"/>
    <w:rsid w:val="004F01C4"/>
    <w:rsid w:val="004F048C"/>
    <w:rsid w:val="004F04EA"/>
    <w:rsid w:val="004F05C3"/>
    <w:rsid w:val="004F05DD"/>
    <w:rsid w:val="004F062C"/>
    <w:rsid w:val="004F094F"/>
    <w:rsid w:val="004F09CA"/>
    <w:rsid w:val="004F0A76"/>
    <w:rsid w:val="004F0F3B"/>
    <w:rsid w:val="004F11D1"/>
    <w:rsid w:val="004F1208"/>
    <w:rsid w:val="004F1622"/>
    <w:rsid w:val="004F1B7A"/>
    <w:rsid w:val="004F1FC4"/>
    <w:rsid w:val="004F2132"/>
    <w:rsid w:val="004F214C"/>
    <w:rsid w:val="004F21CF"/>
    <w:rsid w:val="004F2226"/>
    <w:rsid w:val="004F25DC"/>
    <w:rsid w:val="004F275D"/>
    <w:rsid w:val="004F2FE4"/>
    <w:rsid w:val="004F353D"/>
    <w:rsid w:val="004F3833"/>
    <w:rsid w:val="004F395D"/>
    <w:rsid w:val="004F3960"/>
    <w:rsid w:val="004F3A37"/>
    <w:rsid w:val="004F3E26"/>
    <w:rsid w:val="004F43BA"/>
    <w:rsid w:val="004F4596"/>
    <w:rsid w:val="004F4660"/>
    <w:rsid w:val="004F4B0F"/>
    <w:rsid w:val="004F4D38"/>
    <w:rsid w:val="004F4FE3"/>
    <w:rsid w:val="004F5166"/>
    <w:rsid w:val="004F55E9"/>
    <w:rsid w:val="004F5A1C"/>
    <w:rsid w:val="004F5F1D"/>
    <w:rsid w:val="004F63D3"/>
    <w:rsid w:val="004F6599"/>
    <w:rsid w:val="004F68C1"/>
    <w:rsid w:val="004F6A79"/>
    <w:rsid w:val="004F740F"/>
    <w:rsid w:val="004F7C0E"/>
    <w:rsid w:val="004F7FA0"/>
    <w:rsid w:val="004F7FE3"/>
    <w:rsid w:val="0050008A"/>
    <w:rsid w:val="00500605"/>
    <w:rsid w:val="00500D19"/>
    <w:rsid w:val="00500DFD"/>
    <w:rsid w:val="0050136F"/>
    <w:rsid w:val="00501BEA"/>
    <w:rsid w:val="005020DE"/>
    <w:rsid w:val="005020F2"/>
    <w:rsid w:val="00502157"/>
    <w:rsid w:val="005026D2"/>
    <w:rsid w:val="005027E2"/>
    <w:rsid w:val="00502AB5"/>
    <w:rsid w:val="00502C01"/>
    <w:rsid w:val="0050349A"/>
    <w:rsid w:val="00503688"/>
    <w:rsid w:val="005037E2"/>
    <w:rsid w:val="005038DB"/>
    <w:rsid w:val="00504659"/>
    <w:rsid w:val="005052FC"/>
    <w:rsid w:val="0050556B"/>
    <w:rsid w:val="00505633"/>
    <w:rsid w:val="005059B2"/>
    <w:rsid w:val="00506118"/>
    <w:rsid w:val="00506813"/>
    <w:rsid w:val="005069D1"/>
    <w:rsid w:val="0050710D"/>
    <w:rsid w:val="00507692"/>
    <w:rsid w:val="0050782C"/>
    <w:rsid w:val="0050783D"/>
    <w:rsid w:val="00507E50"/>
    <w:rsid w:val="0051054E"/>
    <w:rsid w:val="005105FA"/>
    <w:rsid w:val="00510D57"/>
    <w:rsid w:val="005110EF"/>
    <w:rsid w:val="0051130D"/>
    <w:rsid w:val="00511632"/>
    <w:rsid w:val="0051164E"/>
    <w:rsid w:val="00511A76"/>
    <w:rsid w:val="00511CCE"/>
    <w:rsid w:val="00512503"/>
    <w:rsid w:val="005125D0"/>
    <w:rsid w:val="005128E7"/>
    <w:rsid w:val="0051331B"/>
    <w:rsid w:val="005133ED"/>
    <w:rsid w:val="005137DB"/>
    <w:rsid w:val="00513CD6"/>
    <w:rsid w:val="00513E3C"/>
    <w:rsid w:val="0051422C"/>
    <w:rsid w:val="005142E7"/>
    <w:rsid w:val="0051449C"/>
    <w:rsid w:val="00514D82"/>
    <w:rsid w:val="0051504C"/>
    <w:rsid w:val="0051638B"/>
    <w:rsid w:val="0051646E"/>
    <w:rsid w:val="005165AD"/>
    <w:rsid w:val="00516844"/>
    <w:rsid w:val="005168B9"/>
    <w:rsid w:val="005171D8"/>
    <w:rsid w:val="005172F7"/>
    <w:rsid w:val="00517872"/>
    <w:rsid w:val="00517A70"/>
    <w:rsid w:val="00517D80"/>
    <w:rsid w:val="00517F1F"/>
    <w:rsid w:val="00520228"/>
    <w:rsid w:val="00520465"/>
    <w:rsid w:val="00520A74"/>
    <w:rsid w:val="00520AB0"/>
    <w:rsid w:val="00520C2B"/>
    <w:rsid w:val="00521347"/>
    <w:rsid w:val="005217FD"/>
    <w:rsid w:val="00521840"/>
    <w:rsid w:val="0052195A"/>
    <w:rsid w:val="00521D11"/>
    <w:rsid w:val="00521DC0"/>
    <w:rsid w:val="005223D9"/>
    <w:rsid w:val="00522A79"/>
    <w:rsid w:val="00522BE7"/>
    <w:rsid w:val="00522C06"/>
    <w:rsid w:val="00522F3B"/>
    <w:rsid w:val="00523602"/>
    <w:rsid w:val="005237C7"/>
    <w:rsid w:val="0052397A"/>
    <w:rsid w:val="00523A85"/>
    <w:rsid w:val="00523B22"/>
    <w:rsid w:val="00524039"/>
    <w:rsid w:val="005242FD"/>
    <w:rsid w:val="00524486"/>
    <w:rsid w:val="00524979"/>
    <w:rsid w:val="00524A0C"/>
    <w:rsid w:val="00524A3C"/>
    <w:rsid w:val="00524D43"/>
    <w:rsid w:val="00525079"/>
    <w:rsid w:val="005253DA"/>
    <w:rsid w:val="005257CB"/>
    <w:rsid w:val="00525BDE"/>
    <w:rsid w:val="00525D3E"/>
    <w:rsid w:val="00525E9C"/>
    <w:rsid w:val="0052682C"/>
    <w:rsid w:val="005269B6"/>
    <w:rsid w:val="00526B00"/>
    <w:rsid w:val="00526BD5"/>
    <w:rsid w:val="00526CA2"/>
    <w:rsid w:val="00526CF7"/>
    <w:rsid w:val="0052716A"/>
    <w:rsid w:val="005271DA"/>
    <w:rsid w:val="00527802"/>
    <w:rsid w:val="00527825"/>
    <w:rsid w:val="0052795B"/>
    <w:rsid w:val="00527964"/>
    <w:rsid w:val="00530467"/>
    <w:rsid w:val="00530FFE"/>
    <w:rsid w:val="005311FB"/>
    <w:rsid w:val="00531312"/>
    <w:rsid w:val="00531434"/>
    <w:rsid w:val="0053160E"/>
    <w:rsid w:val="005324CD"/>
    <w:rsid w:val="005329A8"/>
    <w:rsid w:val="00532A39"/>
    <w:rsid w:val="00532A4A"/>
    <w:rsid w:val="00532AF8"/>
    <w:rsid w:val="00532F9A"/>
    <w:rsid w:val="005333E9"/>
    <w:rsid w:val="005336CC"/>
    <w:rsid w:val="005337AE"/>
    <w:rsid w:val="00533C41"/>
    <w:rsid w:val="00533C83"/>
    <w:rsid w:val="00534416"/>
    <w:rsid w:val="005348FE"/>
    <w:rsid w:val="00534DBD"/>
    <w:rsid w:val="005352B3"/>
    <w:rsid w:val="00535705"/>
    <w:rsid w:val="0053572A"/>
    <w:rsid w:val="00535E98"/>
    <w:rsid w:val="00535EF1"/>
    <w:rsid w:val="005362A6"/>
    <w:rsid w:val="00536454"/>
    <w:rsid w:val="0053693B"/>
    <w:rsid w:val="00536C7C"/>
    <w:rsid w:val="00536C9F"/>
    <w:rsid w:val="00536DCD"/>
    <w:rsid w:val="00537135"/>
    <w:rsid w:val="005371DF"/>
    <w:rsid w:val="00537395"/>
    <w:rsid w:val="00537532"/>
    <w:rsid w:val="00537803"/>
    <w:rsid w:val="0054076B"/>
    <w:rsid w:val="005413E4"/>
    <w:rsid w:val="00541707"/>
    <w:rsid w:val="0054219D"/>
    <w:rsid w:val="005427AC"/>
    <w:rsid w:val="0054283B"/>
    <w:rsid w:val="00542A37"/>
    <w:rsid w:val="005431D4"/>
    <w:rsid w:val="0054346B"/>
    <w:rsid w:val="00543594"/>
    <w:rsid w:val="00543CCA"/>
    <w:rsid w:val="00543F68"/>
    <w:rsid w:val="005440EE"/>
    <w:rsid w:val="00544188"/>
    <w:rsid w:val="005442DC"/>
    <w:rsid w:val="00544B90"/>
    <w:rsid w:val="00544BA9"/>
    <w:rsid w:val="00544CB5"/>
    <w:rsid w:val="00544ED7"/>
    <w:rsid w:val="0054534B"/>
    <w:rsid w:val="00545560"/>
    <w:rsid w:val="0054598C"/>
    <w:rsid w:val="00545A93"/>
    <w:rsid w:val="00545CB7"/>
    <w:rsid w:val="00545E22"/>
    <w:rsid w:val="0054611A"/>
    <w:rsid w:val="0054695F"/>
    <w:rsid w:val="00546BBB"/>
    <w:rsid w:val="00546FB0"/>
    <w:rsid w:val="005474B6"/>
    <w:rsid w:val="00547B6E"/>
    <w:rsid w:val="00547F0E"/>
    <w:rsid w:val="00550C19"/>
    <w:rsid w:val="00550F35"/>
    <w:rsid w:val="00551790"/>
    <w:rsid w:val="00552206"/>
    <w:rsid w:val="005522AF"/>
    <w:rsid w:val="00552489"/>
    <w:rsid w:val="0055295F"/>
    <w:rsid w:val="00552ED6"/>
    <w:rsid w:val="0055375A"/>
    <w:rsid w:val="005537C7"/>
    <w:rsid w:val="00553D34"/>
    <w:rsid w:val="00553F98"/>
    <w:rsid w:val="005540B9"/>
    <w:rsid w:val="00554186"/>
    <w:rsid w:val="005542AE"/>
    <w:rsid w:val="00554894"/>
    <w:rsid w:val="00554B9A"/>
    <w:rsid w:val="005550C0"/>
    <w:rsid w:val="00555389"/>
    <w:rsid w:val="00555854"/>
    <w:rsid w:val="005558CB"/>
    <w:rsid w:val="0055593C"/>
    <w:rsid w:val="005559E5"/>
    <w:rsid w:val="00555A29"/>
    <w:rsid w:val="00555D9A"/>
    <w:rsid w:val="005561C5"/>
    <w:rsid w:val="00556262"/>
    <w:rsid w:val="005567E6"/>
    <w:rsid w:val="00556DC3"/>
    <w:rsid w:val="005574FC"/>
    <w:rsid w:val="0055759E"/>
    <w:rsid w:val="00557833"/>
    <w:rsid w:val="00557883"/>
    <w:rsid w:val="00560695"/>
    <w:rsid w:val="00560FB6"/>
    <w:rsid w:val="00561848"/>
    <w:rsid w:val="00561AD2"/>
    <w:rsid w:val="00561B73"/>
    <w:rsid w:val="00561D47"/>
    <w:rsid w:val="0056225B"/>
    <w:rsid w:val="0056232D"/>
    <w:rsid w:val="005623AB"/>
    <w:rsid w:val="00562EF2"/>
    <w:rsid w:val="0056319C"/>
    <w:rsid w:val="005635E0"/>
    <w:rsid w:val="0056378F"/>
    <w:rsid w:val="00564507"/>
    <w:rsid w:val="00564C22"/>
    <w:rsid w:val="00564CC4"/>
    <w:rsid w:val="0056500B"/>
    <w:rsid w:val="00565489"/>
    <w:rsid w:val="00565993"/>
    <w:rsid w:val="0056599C"/>
    <w:rsid w:val="00566213"/>
    <w:rsid w:val="00566298"/>
    <w:rsid w:val="005664E0"/>
    <w:rsid w:val="00566A72"/>
    <w:rsid w:val="00567086"/>
    <w:rsid w:val="0056750B"/>
    <w:rsid w:val="00567A89"/>
    <w:rsid w:val="00567BD3"/>
    <w:rsid w:val="005700C9"/>
    <w:rsid w:val="005702E9"/>
    <w:rsid w:val="005703D4"/>
    <w:rsid w:val="00570480"/>
    <w:rsid w:val="00570573"/>
    <w:rsid w:val="00571133"/>
    <w:rsid w:val="0057175F"/>
    <w:rsid w:val="0057222E"/>
    <w:rsid w:val="005722CB"/>
    <w:rsid w:val="00572825"/>
    <w:rsid w:val="00573B6B"/>
    <w:rsid w:val="00573F17"/>
    <w:rsid w:val="00574FC5"/>
    <w:rsid w:val="00575A3B"/>
    <w:rsid w:val="00575E32"/>
    <w:rsid w:val="0057618F"/>
    <w:rsid w:val="0057662B"/>
    <w:rsid w:val="00576C3C"/>
    <w:rsid w:val="005771A2"/>
    <w:rsid w:val="00577297"/>
    <w:rsid w:val="005776DD"/>
    <w:rsid w:val="00577928"/>
    <w:rsid w:val="00577B9E"/>
    <w:rsid w:val="00580074"/>
    <w:rsid w:val="0058027E"/>
    <w:rsid w:val="00580776"/>
    <w:rsid w:val="00580AEE"/>
    <w:rsid w:val="00580ED2"/>
    <w:rsid w:val="00581163"/>
    <w:rsid w:val="00581701"/>
    <w:rsid w:val="00582321"/>
    <w:rsid w:val="00582AC0"/>
    <w:rsid w:val="00583313"/>
    <w:rsid w:val="00583530"/>
    <w:rsid w:val="00583734"/>
    <w:rsid w:val="00583AA7"/>
    <w:rsid w:val="00583BEB"/>
    <w:rsid w:val="00584964"/>
    <w:rsid w:val="005850C6"/>
    <w:rsid w:val="005850D7"/>
    <w:rsid w:val="005855D3"/>
    <w:rsid w:val="0058577D"/>
    <w:rsid w:val="00585B7C"/>
    <w:rsid w:val="00586849"/>
    <w:rsid w:val="00586AE8"/>
    <w:rsid w:val="00586CA0"/>
    <w:rsid w:val="00587938"/>
    <w:rsid w:val="00587CCE"/>
    <w:rsid w:val="0059058D"/>
    <w:rsid w:val="0059090C"/>
    <w:rsid w:val="00590AF2"/>
    <w:rsid w:val="00590E1B"/>
    <w:rsid w:val="00590EC4"/>
    <w:rsid w:val="00591485"/>
    <w:rsid w:val="00591908"/>
    <w:rsid w:val="00591E4D"/>
    <w:rsid w:val="005936C5"/>
    <w:rsid w:val="00593AA2"/>
    <w:rsid w:val="00593E17"/>
    <w:rsid w:val="00593E5D"/>
    <w:rsid w:val="00595247"/>
    <w:rsid w:val="00595383"/>
    <w:rsid w:val="0059587B"/>
    <w:rsid w:val="005963AB"/>
    <w:rsid w:val="00596701"/>
    <w:rsid w:val="0059675C"/>
    <w:rsid w:val="005967C4"/>
    <w:rsid w:val="00596BFB"/>
    <w:rsid w:val="00597C45"/>
    <w:rsid w:val="005A0088"/>
    <w:rsid w:val="005A00E1"/>
    <w:rsid w:val="005A0372"/>
    <w:rsid w:val="005A05DD"/>
    <w:rsid w:val="005A0AE1"/>
    <w:rsid w:val="005A0BD8"/>
    <w:rsid w:val="005A0BF6"/>
    <w:rsid w:val="005A0FFE"/>
    <w:rsid w:val="005A1089"/>
    <w:rsid w:val="005A18B2"/>
    <w:rsid w:val="005A1DEF"/>
    <w:rsid w:val="005A2055"/>
    <w:rsid w:val="005A23E0"/>
    <w:rsid w:val="005A2BC3"/>
    <w:rsid w:val="005A2D11"/>
    <w:rsid w:val="005A3FD8"/>
    <w:rsid w:val="005A43AC"/>
    <w:rsid w:val="005A4A20"/>
    <w:rsid w:val="005A4A43"/>
    <w:rsid w:val="005A5010"/>
    <w:rsid w:val="005A531B"/>
    <w:rsid w:val="005A540B"/>
    <w:rsid w:val="005A55F8"/>
    <w:rsid w:val="005A5B83"/>
    <w:rsid w:val="005A5BFC"/>
    <w:rsid w:val="005A5C09"/>
    <w:rsid w:val="005A6521"/>
    <w:rsid w:val="005A6F86"/>
    <w:rsid w:val="005A70BB"/>
    <w:rsid w:val="005A7315"/>
    <w:rsid w:val="005A7563"/>
    <w:rsid w:val="005A79DB"/>
    <w:rsid w:val="005A7D3C"/>
    <w:rsid w:val="005B04A1"/>
    <w:rsid w:val="005B051F"/>
    <w:rsid w:val="005B0FA0"/>
    <w:rsid w:val="005B13FE"/>
    <w:rsid w:val="005B159B"/>
    <w:rsid w:val="005B16D1"/>
    <w:rsid w:val="005B1F96"/>
    <w:rsid w:val="005B2193"/>
    <w:rsid w:val="005B2523"/>
    <w:rsid w:val="005B2EAB"/>
    <w:rsid w:val="005B31C4"/>
    <w:rsid w:val="005B3767"/>
    <w:rsid w:val="005B4144"/>
    <w:rsid w:val="005B42D3"/>
    <w:rsid w:val="005B43E6"/>
    <w:rsid w:val="005B481F"/>
    <w:rsid w:val="005B4C09"/>
    <w:rsid w:val="005B4DB6"/>
    <w:rsid w:val="005B5137"/>
    <w:rsid w:val="005B5194"/>
    <w:rsid w:val="005B569A"/>
    <w:rsid w:val="005B56C0"/>
    <w:rsid w:val="005B5CD6"/>
    <w:rsid w:val="005B6592"/>
    <w:rsid w:val="005B693B"/>
    <w:rsid w:val="005B6B8D"/>
    <w:rsid w:val="005B6BDA"/>
    <w:rsid w:val="005B6BF8"/>
    <w:rsid w:val="005B6CBB"/>
    <w:rsid w:val="005B74A2"/>
    <w:rsid w:val="005B7540"/>
    <w:rsid w:val="005C019A"/>
    <w:rsid w:val="005C096F"/>
    <w:rsid w:val="005C1117"/>
    <w:rsid w:val="005C11B2"/>
    <w:rsid w:val="005C14D6"/>
    <w:rsid w:val="005C17A9"/>
    <w:rsid w:val="005C17C4"/>
    <w:rsid w:val="005C18DE"/>
    <w:rsid w:val="005C1CD8"/>
    <w:rsid w:val="005C20B4"/>
    <w:rsid w:val="005C22F6"/>
    <w:rsid w:val="005C2967"/>
    <w:rsid w:val="005C305E"/>
    <w:rsid w:val="005C3211"/>
    <w:rsid w:val="005C3673"/>
    <w:rsid w:val="005C39D4"/>
    <w:rsid w:val="005C491A"/>
    <w:rsid w:val="005C4C0E"/>
    <w:rsid w:val="005C4D78"/>
    <w:rsid w:val="005C4DF5"/>
    <w:rsid w:val="005C4F71"/>
    <w:rsid w:val="005C5233"/>
    <w:rsid w:val="005C530C"/>
    <w:rsid w:val="005C53CE"/>
    <w:rsid w:val="005C5F5F"/>
    <w:rsid w:val="005C655D"/>
    <w:rsid w:val="005C6701"/>
    <w:rsid w:val="005C672C"/>
    <w:rsid w:val="005C6FBD"/>
    <w:rsid w:val="005C7CF5"/>
    <w:rsid w:val="005C7DD3"/>
    <w:rsid w:val="005C7E33"/>
    <w:rsid w:val="005C7FD9"/>
    <w:rsid w:val="005D0782"/>
    <w:rsid w:val="005D0811"/>
    <w:rsid w:val="005D16AE"/>
    <w:rsid w:val="005D2027"/>
    <w:rsid w:val="005D226E"/>
    <w:rsid w:val="005D24AB"/>
    <w:rsid w:val="005D2F02"/>
    <w:rsid w:val="005D3346"/>
    <w:rsid w:val="005D33D5"/>
    <w:rsid w:val="005D4066"/>
    <w:rsid w:val="005D449C"/>
    <w:rsid w:val="005D4742"/>
    <w:rsid w:val="005D4900"/>
    <w:rsid w:val="005D4A62"/>
    <w:rsid w:val="005D4DDA"/>
    <w:rsid w:val="005D4F8A"/>
    <w:rsid w:val="005D507C"/>
    <w:rsid w:val="005D54D1"/>
    <w:rsid w:val="005D5916"/>
    <w:rsid w:val="005D5BAF"/>
    <w:rsid w:val="005D60C0"/>
    <w:rsid w:val="005D6668"/>
    <w:rsid w:val="005D66B7"/>
    <w:rsid w:val="005D684B"/>
    <w:rsid w:val="005D697B"/>
    <w:rsid w:val="005D69A3"/>
    <w:rsid w:val="005D6A38"/>
    <w:rsid w:val="005D71BF"/>
    <w:rsid w:val="005D73D3"/>
    <w:rsid w:val="005D752B"/>
    <w:rsid w:val="005D7DB0"/>
    <w:rsid w:val="005E0146"/>
    <w:rsid w:val="005E04F2"/>
    <w:rsid w:val="005E07CF"/>
    <w:rsid w:val="005E0867"/>
    <w:rsid w:val="005E0911"/>
    <w:rsid w:val="005E126E"/>
    <w:rsid w:val="005E1292"/>
    <w:rsid w:val="005E13D0"/>
    <w:rsid w:val="005E1A9E"/>
    <w:rsid w:val="005E1C9B"/>
    <w:rsid w:val="005E1EE0"/>
    <w:rsid w:val="005E20B7"/>
    <w:rsid w:val="005E2AC8"/>
    <w:rsid w:val="005E2BC8"/>
    <w:rsid w:val="005E2D32"/>
    <w:rsid w:val="005E2EAE"/>
    <w:rsid w:val="005E3158"/>
    <w:rsid w:val="005E37B0"/>
    <w:rsid w:val="005E3A18"/>
    <w:rsid w:val="005E3FC5"/>
    <w:rsid w:val="005E49C4"/>
    <w:rsid w:val="005E4AEF"/>
    <w:rsid w:val="005E4CA2"/>
    <w:rsid w:val="005E501E"/>
    <w:rsid w:val="005E5262"/>
    <w:rsid w:val="005E59F8"/>
    <w:rsid w:val="005E5A3F"/>
    <w:rsid w:val="005E5C18"/>
    <w:rsid w:val="005E5C73"/>
    <w:rsid w:val="005E6031"/>
    <w:rsid w:val="005E642F"/>
    <w:rsid w:val="005E689B"/>
    <w:rsid w:val="005E6AC2"/>
    <w:rsid w:val="005E6DA4"/>
    <w:rsid w:val="005E72FF"/>
    <w:rsid w:val="005E7846"/>
    <w:rsid w:val="005E78DD"/>
    <w:rsid w:val="005E7EAF"/>
    <w:rsid w:val="005F02D4"/>
    <w:rsid w:val="005F0362"/>
    <w:rsid w:val="005F0431"/>
    <w:rsid w:val="005F1056"/>
    <w:rsid w:val="005F1323"/>
    <w:rsid w:val="005F152F"/>
    <w:rsid w:val="005F1779"/>
    <w:rsid w:val="005F2A25"/>
    <w:rsid w:val="005F2B2D"/>
    <w:rsid w:val="005F304E"/>
    <w:rsid w:val="005F370D"/>
    <w:rsid w:val="005F3DC6"/>
    <w:rsid w:val="005F3FED"/>
    <w:rsid w:val="005F4203"/>
    <w:rsid w:val="005F4D7B"/>
    <w:rsid w:val="005F524D"/>
    <w:rsid w:val="005F5406"/>
    <w:rsid w:val="005F5644"/>
    <w:rsid w:val="005F62FD"/>
    <w:rsid w:val="005F652D"/>
    <w:rsid w:val="005F695B"/>
    <w:rsid w:val="005F70F4"/>
    <w:rsid w:val="005F760C"/>
    <w:rsid w:val="005F7901"/>
    <w:rsid w:val="005F7912"/>
    <w:rsid w:val="005F7C3E"/>
    <w:rsid w:val="005F7C6C"/>
    <w:rsid w:val="005F7C8B"/>
    <w:rsid w:val="005F7F76"/>
    <w:rsid w:val="00600064"/>
    <w:rsid w:val="006006D2"/>
    <w:rsid w:val="00600975"/>
    <w:rsid w:val="00600C04"/>
    <w:rsid w:val="00600EEB"/>
    <w:rsid w:val="00600FEB"/>
    <w:rsid w:val="006012F6"/>
    <w:rsid w:val="006013A9"/>
    <w:rsid w:val="00601F15"/>
    <w:rsid w:val="006025A1"/>
    <w:rsid w:val="00602682"/>
    <w:rsid w:val="00602984"/>
    <w:rsid w:val="00602B62"/>
    <w:rsid w:val="00602BF3"/>
    <w:rsid w:val="00602EEB"/>
    <w:rsid w:val="00603C7B"/>
    <w:rsid w:val="00603EC8"/>
    <w:rsid w:val="00603F7A"/>
    <w:rsid w:val="00604424"/>
    <w:rsid w:val="006044C7"/>
    <w:rsid w:val="00604BFD"/>
    <w:rsid w:val="00604E38"/>
    <w:rsid w:val="00604F0F"/>
    <w:rsid w:val="0060580F"/>
    <w:rsid w:val="00605B6A"/>
    <w:rsid w:val="00605DEC"/>
    <w:rsid w:val="00605F95"/>
    <w:rsid w:val="0060654B"/>
    <w:rsid w:val="0060670D"/>
    <w:rsid w:val="00606DD7"/>
    <w:rsid w:val="006071EB"/>
    <w:rsid w:val="0060746F"/>
    <w:rsid w:val="00607B7C"/>
    <w:rsid w:val="00607BD3"/>
    <w:rsid w:val="00607D0D"/>
    <w:rsid w:val="00607DB7"/>
    <w:rsid w:val="00610236"/>
    <w:rsid w:val="00610442"/>
    <w:rsid w:val="006106EA"/>
    <w:rsid w:val="00610BD1"/>
    <w:rsid w:val="00610C8A"/>
    <w:rsid w:val="00610D24"/>
    <w:rsid w:val="00610E47"/>
    <w:rsid w:val="00611167"/>
    <w:rsid w:val="00611300"/>
    <w:rsid w:val="00611395"/>
    <w:rsid w:val="0061140B"/>
    <w:rsid w:val="0061161A"/>
    <w:rsid w:val="006117EF"/>
    <w:rsid w:val="0061197F"/>
    <w:rsid w:val="00612268"/>
    <w:rsid w:val="006125C4"/>
    <w:rsid w:val="00612635"/>
    <w:rsid w:val="00612676"/>
    <w:rsid w:val="0061342F"/>
    <w:rsid w:val="006143F9"/>
    <w:rsid w:val="00614591"/>
    <w:rsid w:val="00614AC8"/>
    <w:rsid w:val="00615664"/>
    <w:rsid w:val="00615935"/>
    <w:rsid w:val="006159C4"/>
    <w:rsid w:val="00615E19"/>
    <w:rsid w:val="00615FDF"/>
    <w:rsid w:val="00615FF8"/>
    <w:rsid w:val="00616325"/>
    <w:rsid w:val="00616C54"/>
    <w:rsid w:val="00616DCD"/>
    <w:rsid w:val="006178D8"/>
    <w:rsid w:val="00617BFC"/>
    <w:rsid w:val="006205AF"/>
    <w:rsid w:val="006209F9"/>
    <w:rsid w:val="00620F3F"/>
    <w:rsid w:val="0062100B"/>
    <w:rsid w:val="00621213"/>
    <w:rsid w:val="00621C9B"/>
    <w:rsid w:val="00621D7F"/>
    <w:rsid w:val="00621D84"/>
    <w:rsid w:val="00621FFB"/>
    <w:rsid w:val="00622CC6"/>
    <w:rsid w:val="00622CF9"/>
    <w:rsid w:val="006235D9"/>
    <w:rsid w:val="006236BA"/>
    <w:rsid w:val="006237C3"/>
    <w:rsid w:val="00623B82"/>
    <w:rsid w:val="00623D71"/>
    <w:rsid w:val="00623E92"/>
    <w:rsid w:val="00623FBB"/>
    <w:rsid w:val="006249EB"/>
    <w:rsid w:val="00624A49"/>
    <w:rsid w:val="00624A81"/>
    <w:rsid w:val="00625B37"/>
    <w:rsid w:val="00626328"/>
    <w:rsid w:val="006310B5"/>
    <w:rsid w:val="00631677"/>
    <w:rsid w:val="00631698"/>
    <w:rsid w:val="006317C1"/>
    <w:rsid w:val="00631A0F"/>
    <w:rsid w:val="00631F97"/>
    <w:rsid w:val="00632201"/>
    <w:rsid w:val="0063223D"/>
    <w:rsid w:val="0063225F"/>
    <w:rsid w:val="00632CCF"/>
    <w:rsid w:val="00632D22"/>
    <w:rsid w:val="00632E3D"/>
    <w:rsid w:val="00632EDC"/>
    <w:rsid w:val="00632EF4"/>
    <w:rsid w:val="006332AE"/>
    <w:rsid w:val="006332DA"/>
    <w:rsid w:val="00633397"/>
    <w:rsid w:val="00633EB0"/>
    <w:rsid w:val="00633FFB"/>
    <w:rsid w:val="00634665"/>
    <w:rsid w:val="00634717"/>
    <w:rsid w:val="00634E2D"/>
    <w:rsid w:val="00634E70"/>
    <w:rsid w:val="00635E56"/>
    <w:rsid w:val="00635EDD"/>
    <w:rsid w:val="0063616E"/>
    <w:rsid w:val="00636301"/>
    <w:rsid w:val="00636313"/>
    <w:rsid w:val="00636392"/>
    <w:rsid w:val="0063653A"/>
    <w:rsid w:val="006365FF"/>
    <w:rsid w:val="006367D4"/>
    <w:rsid w:val="00636D80"/>
    <w:rsid w:val="006370BE"/>
    <w:rsid w:val="00637EA9"/>
    <w:rsid w:val="00637F5E"/>
    <w:rsid w:val="00637FE9"/>
    <w:rsid w:val="006401E0"/>
    <w:rsid w:val="00640529"/>
    <w:rsid w:val="0064068F"/>
    <w:rsid w:val="006409F7"/>
    <w:rsid w:val="00641103"/>
    <w:rsid w:val="00641707"/>
    <w:rsid w:val="00641A34"/>
    <w:rsid w:val="00641A7B"/>
    <w:rsid w:val="00641DCF"/>
    <w:rsid w:val="006420A9"/>
    <w:rsid w:val="006422AD"/>
    <w:rsid w:val="006424A0"/>
    <w:rsid w:val="00642897"/>
    <w:rsid w:val="00643A95"/>
    <w:rsid w:val="00643D5D"/>
    <w:rsid w:val="00643E93"/>
    <w:rsid w:val="0064403D"/>
    <w:rsid w:val="0064450B"/>
    <w:rsid w:val="006455AD"/>
    <w:rsid w:val="0064592C"/>
    <w:rsid w:val="00645C07"/>
    <w:rsid w:val="00645FE9"/>
    <w:rsid w:val="00645FF3"/>
    <w:rsid w:val="00646502"/>
    <w:rsid w:val="0064666E"/>
    <w:rsid w:val="00646915"/>
    <w:rsid w:val="006469E9"/>
    <w:rsid w:val="00646C0B"/>
    <w:rsid w:val="00646ECE"/>
    <w:rsid w:val="00646F0A"/>
    <w:rsid w:val="0064762F"/>
    <w:rsid w:val="00647BB0"/>
    <w:rsid w:val="0065036B"/>
    <w:rsid w:val="00650559"/>
    <w:rsid w:val="00650839"/>
    <w:rsid w:val="00650900"/>
    <w:rsid w:val="00650DD8"/>
    <w:rsid w:val="00651523"/>
    <w:rsid w:val="006516E5"/>
    <w:rsid w:val="00651A10"/>
    <w:rsid w:val="00651A7C"/>
    <w:rsid w:val="0065212D"/>
    <w:rsid w:val="0065294C"/>
    <w:rsid w:val="00652FCA"/>
    <w:rsid w:val="0065327D"/>
    <w:rsid w:val="0065397E"/>
    <w:rsid w:val="00653F15"/>
    <w:rsid w:val="006540FC"/>
    <w:rsid w:val="0065419B"/>
    <w:rsid w:val="0065420E"/>
    <w:rsid w:val="00654956"/>
    <w:rsid w:val="00654A73"/>
    <w:rsid w:val="00654A91"/>
    <w:rsid w:val="006558DB"/>
    <w:rsid w:val="00655B4D"/>
    <w:rsid w:val="00655CAC"/>
    <w:rsid w:val="0065612C"/>
    <w:rsid w:val="00656211"/>
    <w:rsid w:val="00656610"/>
    <w:rsid w:val="00656792"/>
    <w:rsid w:val="00656CED"/>
    <w:rsid w:val="00657196"/>
    <w:rsid w:val="0065731E"/>
    <w:rsid w:val="0065758F"/>
    <w:rsid w:val="00660022"/>
    <w:rsid w:val="0066008D"/>
    <w:rsid w:val="00660161"/>
    <w:rsid w:val="0066037A"/>
    <w:rsid w:val="00660412"/>
    <w:rsid w:val="00660711"/>
    <w:rsid w:val="00660CF0"/>
    <w:rsid w:val="00660D1D"/>
    <w:rsid w:val="006614A6"/>
    <w:rsid w:val="00661ED0"/>
    <w:rsid w:val="006621C3"/>
    <w:rsid w:val="006624AE"/>
    <w:rsid w:val="00662E2C"/>
    <w:rsid w:val="006630E0"/>
    <w:rsid w:val="006635CD"/>
    <w:rsid w:val="00663A9C"/>
    <w:rsid w:val="00663C3E"/>
    <w:rsid w:val="00663EAA"/>
    <w:rsid w:val="00663F34"/>
    <w:rsid w:val="006640AE"/>
    <w:rsid w:val="00664117"/>
    <w:rsid w:val="00664292"/>
    <w:rsid w:val="00664388"/>
    <w:rsid w:val="00664515"/>
    <w:rsid w:val="00665141"/>
    <w:rsid w:val="00665650"/>
    <w:rsid w:val="0066574B"/>
    <w:rsid w:val="00665876"/>
    <w:rsid w:val="00665AC2"/>
    <w:rsid w:val="006665E7"/>
    <w:rsid w:val="00666814"/>
    <w:rsid w:val="00667010"/>
    <w:rsid w:val="006670E6"/>
    <w:rsid w:val="006671AF"/>
    <w:rsid w:val="0066752E"/>
    <w:rsid w:val="006675C1"/>
    <w:rsid w:val="00670026"/>
    <w:rsid w:val="00670191"/>
    <w:rsid w:val="0067036C"/>
    <w:rsid w:val="00670424"/>
    <w:rsid w:val="00670541"/>
    <w:rsid w:val="00670571"/>
    <w:rsid w:val="006705E1"/>
    <w:rsid w:val="006707E9"/>
    <w:rsid w:val="00671126"/>
    <w:rsid w:val="006711FB"/>
    <w:rsid w:val="0067151F"/>
    <w:rsid w:val="00671C9A"/>
    <w:rsid w:val="00671D62"/>
    <w:rsid w:val="00671DB3"/>
    <w:rsid w:val="006722D6"/>
    <w:rsid w:val="00672F60"/>
    <w:rsid w:val="006731B1"/>
    <w:rsid w:val="006732D0"/>
    <w:rsid w:val="006734F9"/>
    <w:rsid w:val="006736C2"/>
    <w:rsid w:val="00673C3E"/>
    <w:rsid w:val="00673E9E"/>
    <w:rsid w:val="00674253"/>
    <w:rsid w:val="0067445B"/>
    <w:rsid w:val="0067454F"/>
    <w:rsid w:val="00675104"/>
    <w:rsid w:val="006751DA"/>
    <w:rsid w:val="00675245"/>
    <w:rsid w:val="006752AC"/>
    <w:rsid w:val="00675F63"/>
    <w:rsid w:val="0067614D"/>
    <w:rsid w:val="00676173"/>
    <w:rsid w:val="006766F5"/>
    <w:rsid w:val="0067675A"/>
    <w:rsid w:val="006771FB"/>
    <w:rsid w:val="00677464"/>
    <w:rsid w:val="00677C49"/>
    <w:rsid w:val="00677CBA"/>
    <w:rsid w:val="00677DA7"/>
    <w:rsid w:val="00677EDE"/>
    <w:rsid w:val="00677F3F"/>
    <w:rsid w:val="0068025F"/>
    <w:rsid w:val="006805C3"/>
    <w:rsid w:val="006808DF"/>
    <w:rsid w:val="00680A4F"/>
    <w:rsid w:val="00681163"/>
    <w:rsid w:val="00681164"/>
    <w:rsid w:val="006814EC"/>
    <w:rsid w:val="00681B18"/>
    <w:rsid w:val="006825C4"/>
    <w:rsid w:val="0068269B"/>
    <w:rsid w:val="00682904"/>
    <w:rsid w:val="00682D21"/>
    <w:rsid w:val="00682E56"/>
    <w:rsid w:val="00682F76"/>
    <w:rsid w:val="0068307F"/>
    <w:rsid w:val="0068320A"/>
    <w:rsid w:val="006834D1"/>
    <w:rsid w:val="00683683"/>
    <w:rsid w:val="0068378D"/>
    <w:rsid w:val="00683C83"/>
    <w:rsid w:val="00683E8D"/>
    <w:rsid w:val="0068421E"/>
    <w:rsid w:val="006846CC"/>
    <w:rsid w:val="0068501D"/>
    <w:rsid w:val="00685224"/>
    <w:rsid w:val="00685452"/>
    <w:rsid w:val="00685935"/>
    <w:rsid w:val="00686AEE"/>
    <w:rsid w:val="006875F5"/>
    <w:rsid w:val="00687A47"/>
    <w:rsid w:val="00687B18"/>
    <w:rsid w:val="00687DC7"/>
    <w:rsid w:val="00687F90"/>
    <w:rsid w:val="00687FAE"/>
    <w:rsid w:val="006900AA"/>
    <w:rsid w:val="00690406"/>
    <w:rsid w:val="00690668"/>
    <w:rsid w:val="00690811"/>
    <w:rsid w:val="00690F16"/>
    <w:rsid w:val="00690F62"/>
    <w:rsid w:val="0069126E"/>
    <w:rsid w:val="006912EB"/>
    <w:rsid w:val="00691498"/>
    <w:rsid w:val="0069175C"/>
    <w:rsid w:val="00691796"/>
    <w:rsid w:val="006921EF"/>
    <w:rsid w:val="006924BF"/>
    <w:rsid w:val="00692694"/>
    <w:rsid w:val="006927D6"/>
    <w:rsid w:val="00692CD7"/>
    <w:rsid w:val="006935A4"/>
    <w:rsid w:val="00693756"/>
    <w:rsid w:val="0069378C"/>
    <w:rsid w:val="00693BFA"/>
    <w:rsid w:val="00694951"/>
    <w:rsid w:val="00694B3C"/>
    <w:rsid w:val="00694CC7"/>
    <w:rsid w:val="00694E83"/>
    <w:rsid w:val="00694FF1"/>
    <w:rsid w:val="00695353"/>
    <w:rsid w:val="00695492"/>
    <w:rsid w:val="00695493"/>
    <w:rsid w:val="00695812"/>
    <w:rsid w:val="006959CC"/>
    <w:rsid w:val="00695E62"/>
    <w:rsid w:val="00695F36"/>
    <w:rsid w:val="00696274"/>
    <w:rsid w:val="0069680E"/>
    <w:rsid w:val="00696857"/>
    <w:rsid w:val="00696C8C"/>
    <w:rsid w:val="00696E30"/>
    <w:rsid w:val="00696F4D"/>
    <w:rsid w:val="00697580"/>
    <w:rsid w:val="00697721"/>
    <w:rsid w:val="006977E1"/>
    <w:rsid w:val="00697F22"/>
    <w:rsid w:val="006A0174"/>
    <w:rsid w:val="006A04DA"/>
    <w:rsid w:val="006A0817"/>
    <w:rsid w:val="006A0932"/>
    <w:rsid w:val="006A0AB5"/>
    <w:rsid w:val="006A0B3F"/>
    <w:rsid w:val="006A0E2C"/>
    <w:rsid w:val="006A110E"/>
    <w:rsid w:val="006A15D8"/>
    <w:rsid w:val="006A15E4"/>
    <w:rsid w:val="006A1D5A"/>
    <w:rsid w:val="006A1D8E"/>
    <w:rsid w:val="006A2C8A"/>
    <w:rsid w:val="006A2FF2"/>
    <w:rsid w:val="006A323D"/>
    <w:rsid w:val="006A363D"/>
    <w:rsid w:val="006A39D0"/>
    <w:rsid w:val="006A3AF7"/>
    <w:rsid w:val="006A3FE1"/>
    <w:rsid w:val="006A424E"/>
    <w:rsid w:val="006A44E0"/>
    <w:rsid w:val="006A45C8"/>
    <w:rsid w:val="006A4DB7"/>
    <w:rsid w:val="006A4EFA"/>
    <w:rsid w:val="006A54DD"/>
    <w:rsid w:val="006A5DB8"/>
    <w:rsid w:val="006A6BFF"/>
    <w:rsid w:val="006A6C96"/>
    <w:rsid w:val="006A724A"/>
    <w:rsid w:val="006A7954"/>
    <w:rsid w:val="006A7ACA"/>
    <w:rsid w:val="006A7F66"/>
    <w:rsid w:val="006B112A"/>
    <w:rsid w:val="006B11BA"/>
    <w:rsid w:val="006B1268"/>
    <w:rsid w:val="006B1699"/>
    <w:rsid w:val="006B1EFE"/>
    <w:rsid w:val="006B20F4"/>
    <w:rsid w:val="006B218D"/>
    <w:rsid w:val="006B2670"/>
    <w:rsid w:val="006B29A4"/>
    <w:rsid w:val="006B30E7"/>
    <w:rsid w:val="006B338E"/>
    <w:rsid w:val="006B3526"/>
    <w:rsid w:val="006B379E"/>
    <w:rsid w:val="006B3989"/>
    <w:rsid w:val="006B3A6C"/>
    <w:rsid w:val="006B3CF0"/>
    <w:rsid w:val="006B42B2"/>
    <w:rsid w:val="006B45BA"/>
    <w:rsid w:val="006B49C9"/>
    <w:rsid w:val="006B4C41"/>
    <w:rsid w:val="006B56C6"/>
    <w:rsid w:val="006B5738"/>
    <w:rsid w:val="006B595B"/>
    <w:rsid w:val="006B69D9"/>
    <w:rsid w:val="006B6F11"/>
    <w:rsid w:val="006B6F61"/>
    <w:rsid w:val="006B7185"/>
    <w:rsid w:val="006B7BC4"/>
    <w:rsid w:val="006B7D61"/>
    <w:rsid w:val="006B7FF6"/>
    <w:rsid w:val="006C03F4"/>
    <w:rsid w:val="006C09B7"/>
    <w:rsid w:val="006C0B5F"/>
    <w:rsid w:val="006C0EF0"/>
    <w:rsid w:val="006C0F5B"/>
    <w:rsid w:val="006C12DF"/>
    <w:rsid w:val="006C146C"/>
    <w:rsid w:val="006C1507"/>
    <w:rsid w:val="006C1635"/>
    <w:rsid w:val="006C1C86"/>
    <w:rsid w:val="006C1E9B"/>
    <w:rsid w:val="006C2277"/>
    <w:rsid w:val="006C2DD8"/>
    <w:rsid w:val="006C3258"/>
    <w:rsid w:val="006C336C"/>
    <w:rsid w:val="006C38B6"/>
    <w:rsid w:val="006C3E18"/>
    <w:rsid w:val="006C3F0F"/>
    <w:rsid w:val="006C4247"/>
    <w:rsid w:val="006C462C"/>
    <w:rsid w:val="006C4A2D"/>
    <w:rsid w:val="006C4D40"/>
    <w:rsid w:val="006C51FC"/>
    <w:rsid w:val="006C6577"/>
    <w:rsid w:val="006C6AE8"/>
    <w:rsid w:val="006C70AF"/>
    <w:rsid w:val="006C7150"/>
    <w:rsid w:val="006C793E"/>
    <w:rsid w:val="006D0394"/>
    <w:rsid w:val="006D057A"/>
    <w:rsid w:val="006D0A93"/>
    <w:rsid w:val="006D0AD9"/>
    <w:rsid w:val="006D0B8F"/>
    <w:rsid w:val="006D0BB7"/>
    <w:rsid w:val="006D1857"/>
    <w:rsid w:val="006D1B4A"/>
    <w:rsid w:val="006D1CDE"/>
    <w:rsid w:val="006D2003"/>
    <w:rsid w:val="006D202F"/>
    <w:rsid w:val="006D2315"/>
    <w:rsid w:val="006D231C"/>
    <w:rsid w:val="006D289F"/>
    <w:rsid w:val="006D2EA8"/>
    <w:rsid w:val="006D31A6"/>
    <w:rsid w:val="006D3AEE"/>
    <w:rsid w:val="006D3B10"/>
    <w:rsid w:val="006D3EBF"/>
    <w:rsid w:val="006D43C2"/>
    <w:rsid w:val="006D4BF1"/>
    <w:rsid w:val="006D4EFE"/>
    <w:rsid w:val="006D5841"/>
    <w:rsid w:val="006D5C59"/>
    <w:rsid w:val="006D5D2C"/>
    <w:rsid w:val="006D5DE7"/>
    <w:rsid w:val="006D6017"/>
    <w:rsid w:val="006D63EB"/>
    <w:rsid w:val="006D63F0"/>
    <w:rsid w:val="006D67A9"/>
    <w:rsid w:val="006D6804"/>
    <w:rsid w:val="006D685B"/>
    <w:rsid w:val="006D6EC7"/>
    <w:rsid w:val="006E0384"/>
    <w:rsid w:val="006E071F"/>
    <w:rsid w:val="006E11EC"/>
    <w:rsid w:val="006E1571"/>
    <w:rsid w:val="006E15F0"/>
    <w:rsid w:val="006E171A"/>
    <w:rsid w:val="006E18D9"/>
    <w:rsid w:val="006E1A7C"/>
    <w:rsid w:val="006E2A5E"/>
    <w:rsid w:val="006E2A92"/>
    <w:rsid w:val="006E2AB9"/>
    <w:rsid w:val="006E3DD4"/>
    <w:rsid w:val="006E428A"/>
    <w:rsid w:val="006E4388"/>
    <w:rsid w:val="006E479C"/>
    <w:rsid w:val="006E4D2A"/>
    <w:rsid w:val="006E4E17"/>
    <w:rsid w:val="006E4F64"/>
    <w:rsid w:val="006E5003"/>
    <w:rsid w:val="006E50C7"/>
    <w:rsid w:val="006E6025"/>
    <w:rsid w:val="006E6202"/>
    <w:rsid w:val="006E6BB2"/>
    <w:rsid w:val="006E6C02"/>
    <w:rsid w:val="006E7881"/>
    <w:rsid w:val="006E7A18"/>
    <w:rsid w:val="006E7CF8"/>
    <w:rsid w:val="006E7E66"/>
    <w:rsid w:val="006E7EC9"/>
    <w:rsid w:val="006F06D7"/>
    <w:rsid w:val="006F0B74"/>
    <w:rsid w:val="006F0DDF"/>
    <w:rsid w:val="006F1215"/>
    <w:rsid w:val="006F13EE"/>
    <w:rsid w:val="006F1539"/>
    <w:rsid w:val="006F1758"/>
    <w:rsid w:val="006F19F1"/>
    <w:rsid w:val="006F1BFA"/>
    <w:rsid w:val="006F1D50"/>
    <w:rsid w:val="006F1E11"/>
    <w:rsid w:val="006F21FC"/>
    <w:rsid w:val="006F2268"/>
    <w:rsid w:val="006F229F"/>
    <w:rsid w:val="006F27B3"/>
    <w:rsid w:val="006F2B14"/>
    <w:rsid w:val="006F3303"/>
    <w:rsid w:val="006F33B9"/>
    <w:rsid w:val="006F34DE"/>
    <w:rsid w:val="006F3627"/>
    <w:rsid w:val="006F36AE"/>
    <w:rsid w:val="006F3700"/>
    <w:rsid w:val="006F3DDD"/>
    <w:rsid w:val="006F430C"/>
    <w:rsid w:val="006F47DA"/>
    <w:rsid w:val="006F4AD7"/>
    <w:rsid w:val="006F4DD1"/>
    <w:rsid w:val="006F4DE0"/>
    <w:rsid w:val="006F54E9"/>
    <w:rsid w:val="006F556D"/>
    <w:rsid w:val="006F5629"/>
    <w:rsid w:val="006F587A"/>
    <w:rsid w:val="006F5961"/>
    <w:rsid w:val="006F5A4D"/>
    <w:rsid w:val="006F5B9B"/>
    <w:rsid w:val="006F6242"/>
    <w:rsid w:val="006F6656"/>
    <w:rsid w:val="006F69BB"/>
    <w:rsid w:val="006F6FBA"/>
    <w:rsid w:val="006F716A"/>
    <w:rsid w:val="006F7246"/>
    <w:rsid w:val="006F72EE"/>
    <w:rsid w:val="006F73C0"/>
    <w:rsid w:val="006F7BF2"/>
    <w:rsid w:val="007002DC"/>
    <w:rsid w:val="0070054A"/>
    <w:rsid w:val="007006F3"/>
    <w:rsid w:val="007008AE"/>
    <w:rsid w:val="00700A08"/>
    <w:rsid w:val="00701461"/>
    <w:rsid w:val="00701607"/>
    <w:rsid w:val="007018C7"/>
    <w:rsid w:val="00701EE0"/>
    <w:rsid w:val="007021D6"/>
    <w:rsid w:val="007027C7"/>
    <w:rsid w:val="007029CA"/>
    <w:rsid w:val="00703399"/>
    <w:rsid w:val="007033C8"/>
    <w:rsid w:val="007033F3"/>
    <w:rsid w:val="00703739"/>
    <w:rsid w:val="007037EF"/>
    <w:rsid w:val="007038A1"/>
    <w:rsid w:val="00703A12"/>
    <w:rsid w:val="00703BC4"/>
    <w:rsid w:val="00703C7A"/>
    <w:rsid w:val="00703E1F"/>
    <w:rsid w:val="00703EFC"/>
    <w:rsid w:val="007041C4"/>
    <w:rsid w:val="007046A7"/>
    <w:rsid w:val="007046D2"/>
    <w:rsid w:val="007048E4"/>
    <w:rsid w:val="00704AB1"/>
    <w:rsid w:val="00704C0F"/>
    <w:rsid w:val="00704D63"/>
    <w:rsid w:val="00704DC6"/>
    <w:rsid w:val="007051AB"/>
    <w:rsid w:val="00705277"/>
    <w:rsid w:val="00705C93"/>
    <w:rsid w:val="00706370"/>
    <w:rsid w:val="00706521"/>
    <w:rsid w:val="007069EF"/>
    <w:rsid w:val="00706E3B"/>
    <w:rsid w:val="00707433"/>
    <w:rsid w:val="007077D3"/>
    <w:rsid w:val="00707AB2"/>
    <w:rsid w:val="00707BB1"/>
    <w:rsid w:val="00710350"/>
    <w:rsid w:val="00710E52"/>
    <w:rsid w:val="00711121"/>
    <w:rsid w:val="0071131B"/>
    <w:rsid w:val="00711621"/>
    <w:rsid w:val="007118C0"/>
    <w:rsid w:val="00711965"/>
    <w:rsid w:val="00711CC4"/>
    <w:rsid w:val="00711D6F"/>
    <w:rsid w:val="007121D3"/>
    <w:rsid w:val="007122ED"/>
    <w:rsid w:val="00712413"/>
    <w:rsid w:val="00712422"/>
    <w:rsid w:val="00712441"/>
    <w:rsid w:val="00712523"/>
    <w:rsid w:val="00712833"/>
    <w:rsid w:val="00712B75"/>
    <w:rsid w:val="00712E1C"/>
    <w:rsid w:val="00713A3E"/>
    <w:rsid w:val="00713BE8"/>
    <w:rsid w:val="00713EE8"/>
    <w:rsid w:val="007141C7"/>
    <w:rsid w:val="007142CF"/>
    <w:rsid w:val="007143D8"/>
    <w:rsid w:val="00714489"/>
    <w:rsid w:val="007145DA"/>
    <w:rsid w:val="007148D5"/>
    <w:rsid w:val="00714A79"/>
    <w:rsid w:val="007152B9"/>
    <w:rsid w:val="0071549E"/>
    <w:rsid w:val="00715672"/>
    <w:rsid w:val="007157D1"/>
    <w:rsid w:val="00715820"/>
    <w:rsid w:val="0071634F"/>
    <w:rsid w:val="007164E0"/>
    <w:rsid w:val="00716A34"/>
    <w:rsid w:val="00716AEC"/>
    <w:rsid w:val="0071749C"/>
    <w:rsid w:val="00717650"/>
    <w:rsid w:val="00720514"/>
    <w:rsid w:val="00720571"/>
    <w:rsid w:val="007208D1"/>
    <w:rsid w:val="00720952"/>
    <w:rsid w:val="00720AE9"/>
    <w:rsid w:val="00720E32"/>
    <w:rsid w:val="00721B15"/>
    <w:rsid w:val="00721F1C"/>
    <w:rsid w:val="0072241A"/>
    <w:rsid w:val="00722576"/>
    <w:rsid w:val="00722854"/>
    <w:rsid w:val="00722AE7"/>
    <w:rsid w:val="00722C8D"/>
    <w:rsid w:val="007234D2"/>
    <w:rsid w:val="007239A5"/>
    <w:rsid w:val="00723C6F"/>
    <w:rsid w:val="00723C7B"/>
    <w:rsid w:val="007249F0"/>
    <w:rsid w:val="00724C79"/>
    <w:rsid w:val="00724E82"/>
    <w:rsid w:val="0072531E"/>
    <w:rsid w:val="00725BD6"/>
    <w:rsid w:val="00725F12"/>
    <w:rsid w:val="00725F9F"/>
    <w:rsid w:val="00726096"/>
    <w:rsid w:val="007263E6"/>
    <w:rsid w:val="00726569"/>
    <w:rsid w:val="007265F0"/>
    <w:rsid w:val="00726710"/>
    <w:rsid w:val="0072689B"/>
    <w:rsid w:val="00726C14"/>
    <w:rsid w:val="0072726E"/>
    <w:rsid w:val="00727B27"/>
    <w:rsid w:val="0073046F"/>
    <w:rsid w:val="0073085E"/>
    <w:rsid w:val="00730B22"/>
    <w:rsid w:val="00730B49"/>
    <w:rsid w:val="007310D8"/>
    <w:rsid w:val="00731143"/>
    <w:rsid w:val="007317BE"/>
    <w:rsid w:val="00731872"/>
    <w:rsid w:val="00731D07"/>
    <w:rsid w:val="00731DEE"/>
    <w:rsid w:val="00732097"/>
    <w:rsid w:val="00732147"/>
    <w:rsid w:val="0073244D"/>
    <w:rsid w:val="00732941"/>
    <w:rsid w:val="00732EE0"/>
    <w:rsid w:val="00733106"/>
    <w:rsid w:val="00733398"/>
    <w:rsid w:val="00733766"/>
    <w:rsid w:val="00733784"/>
    <w:rsid w:val="007339F0"/>
    <w:rsid w:val="00733DA7"/>
    <w:rsid w:val="00733F16"/>
    <w:rsid w:val="007340DA"/>
    <w:rsid w:val="0073439B"/>
    <w:rsid w:val="007347FC"/>
    <w:rsid w:val="00734974"/>
    <w:rsid w:val="00734D1B"/>
    <w:rsid w:val="00734E24"/>
    <w:rsid w:val="00734ED3"/>
    <w:rsid w:val="00734FEB"/>
    <w:rsid w:val="007352D9"/>
    <w:rsid w:val="00735424"/>
    <w:rsid w:val="007355F4"/>
    <w:rsid w:val="00735714"/>
    <w:rsid w:val="00735AA0"/>
    <w:rsid w:val="00735B75"/>
    <w:rsid w:val="00735C23"/>
    <w:rsid w:val="00736056"/>
    <w:rsid w:val="007361A6"/>
    <w:rsid w:val="00736931"/>
    <w:rsid w:val="00736AA5"/>
    <w:rsid w:val="007372E7"/>
    <w:rsid w:val="0073746A"/>
    <w:rsid w:val="00737C55"/>
    <w:rsid w:val="00737D97"/>
    <w:rsid w:val="00737F15"/>
    <w:rsid w:val="007400CD"/>
    <w:rsid w:val="007403B1"/>
    <w:rsid w:val="007404B7"/>
    <w:rsid w:val="00740806"/>
    <w:rsid w:val="00740A2D"/>
    <w:rsid w:val="00740A6C"/>
    <w:rsid w:val="00740F9F"/>
    <w:rsid w:val="00741102"/>
    <w:rsid w:val="00741469"/>
    <w:rsid w:val="00741656"/>
    <w:rsid w:val="00741F02"/>
    <w:rsid w:val="0074205F"/>
    <w:rsid w:val="007428E5"/>
    <w:rsid w:val="00743233"/>
    <w:rsid w:val="0074323B"/>
    <w:rsid w:val="007438FC"/>
    <w:rsid w:val="0074407B"/>
    <w:rsid w:val="00744BFE"/>
    <w:rsid w:val="007451E8"/>
    <w:rsid w:val="00745200"/>
    <w:rsid w:val="00745508"/>
    <w:rsid w:val="0074563E"/>
    <w:rsid w:val="00745812"/>
    <w:rsid w:val="00745848"/>
    <w:rsid w:val="007458E4"/>
    <w:rsid w:val="00745EBD"/>
    <w:rsid w:val="007461CF"/>
    <w:rsid w:val="007469F3"/>
    <w:rsid w:val="00746D1B"/>
    <w:rsid w:val="00746FD0"/>
    <w:rsid w:val="0074718F"/>
    <w:rsid w:val="007472B1"/>
    <w:rsid w:val="007474A7"/>
    <w:rsid w:val="0074766D"/>
    <w:rsid w:val="007504C8"/>
    <w:rsid w:val="0075090C"/>
    <w:rsid w:val="007509EC"/>
    <w:rsid w:val="00750A33"/>
    <w:rsid w:val="0075102F"/>
    <w:rsid w:val="00751237"/>
    <w:rsid w:val="00751680"/>
    <w:rsid w:val="00751863"/>
    <w:rsid w:val="00751D17"/>
    <w:rsid w:val="00751FB8"/>
    <w:rsid w:val="007521AE"/>
    <w:rsid w:val="007526F4"/>
    <w:rsid w:val="0075297B"/>
    <w:rsid w:val="00752BA7"/>
    <w:rsid w:val="00752C93"/>
    <w:rsid w:val="00753388"/>
    <w:rsid w:val="00753628"/>
    <w:rsid w:val="00753698"/>
    <w:rsid w:val="00753729"/>
    <w:rsid w:val="007545F8"/>
    <w:rsid w:val="0075468B"/>
    <w:rsid w:val="007546E9"/>
    <w:rsid w:val="00754AA9"/>
    <w:rsid w:val="00756414"/>
    <w:rsid w:val="00756C63"/>
    <w:rsid w:val="0075767C"/>
    <w:rsid w:val="0075775F"/>
    <w:rsid w:val="007603C2"/>
    <w:rsid w:val="00760806"/>
    <w:rsid w:val="00760D19"/>
    <w:rsid w:val="00760F79"/>
    <w:rsid w:val="0076135D"/>
    <w:rsid w:val="00761EFC"/>
    <w:rsid w:val="007622E0"/>
    <w:rsid w:val="0076247E"/>
    <w:rsid w:val="00762745"/>
    <w:rsid w:val="007628B8"/>
    <w:rsid w:val="00762C82"/>
    <w:rsid w:val="00762D59"/>
    <w:rsid w:val="007636C5"/>
    <w:rsid w:val="007639BF"/>
    <w:rsid w:val="00763A6A"/>
    <w:rsid w:val="00763BFE"/>
    <w:rsid w:val="00763E17"/>
    <w:rsid w:val="0076438F"/>
    <w:rsid w:val="0076456B"/>
    <w:rsid w:val="00764D6D"/>
    <w:rsid w:val="007655E7"/>
    <w:rsid w:val="0076575A"/>
    <w:rsid w:val="00765795"/>
    <w:rsid w:val="00765B41"/>
    <w:rsid w:val="00765C9E"/>
    <w:rsid w:val="007660A1"/>
    <w:rsid w:val="00766274"/>
    <w:rsid w:val="00766414"/>
    <w:rsid w:val="00766B68"/>
    <w:rsid w:val="00766D46"/>
    <w:rsid w:val="0076718A"/>
    <w:rsid w:val="007674B3"/>
    <w:rsid w:val="00767AD8"/>
    <w:rsid w:val="00770515"/>
    <w:rsid w:val="00770D6F"/>
    <w:rsid w:val="00770DD5"/>
    <w:rsid w:val="007713F6"/>
    <w:rsid w:val="00771B9E"/>
    <w:rsid w:val="00771C83"/>
    <w:rsid w:val="0077217A"/>
    <w:rsid w:val="007722E9"/>
    <w:rsid w:val="007724A9"/>
    <w:rsid w:val="00772B1E"/>
    <w:rsid w:val="00773155"/>
    <w:rsid w:val="007731B9"/>
    <w:rsid w:val="00773B27"/>
    <w:rsid w:val="007743B5"/>
    <w:rsid w:val="00774859"/>
    <w:rsid w:val="00774B7A"/>
    <w:rsid w:val="0077521D"/>
    <w:rsid w:val="0077533D"/>
    <w:rsid w:val="0077543D"/>
    <w:rsid w:val="00775669"/>
    <w:rsid w:val="007757BF"/>
    <w:rsid w:val="00775A0E"/>
    <w:rsid w:val="00775BB2"/>
    <w:rsid w:val="00776036"/>
    <w:rsid w:val="00776246"/>
    <w:rsid w:val="00776556"/>
    <w:rsid w:val="00777236"/>
    <w:rsid w:val="0077727C"/>
    <w:rsid w:val="00777695"/>
    <w:rsid w:val="00777B36"/>
    <w:rsid w:val="00777D0B"/>
    <w:rsid w:val="007800D6"/>
    <w:rsid w:val="0078017E"/>
    <w:rsid w:val="0078066A"/>
    <w:rsid w:val="00780A72"/>
    <w:rsid w:val="00780CC0"/>
    <w:rsid w:val="00781133"/>
    <w:rsid w:val="00781583"/>
    <w:rsid w:val="00781C8E"/>
    <w:rsid w:val="00781D3D"/>
    <w:rsid w:val="00781DB9"/>
    <w:rsid w:val="007827EF"/>
    <w:rsid w:val="0078358B"/>
    <w:rsid w:val="00783D6E"/>
    <w:rsid w:val="00783E98"/>
    <w:rsid w:val="0078425A"/>
    <w:rsid w:val="00784A43"/>
    <w:rsid w:val="00784EF6"/>
    <w:rsid w:val="00785B7B"/>
    <w:rsid w:val="00785DEF"/>
    <w:rsid w:val="00785E3B"/>
    <w:rsid w:val="00785EC9"/>
    <w:rsid w:val="007863A2"/>
    <w:rsid w:val="00786881"/>
    <w:rsid w:val="00786CEF"/>
    <w:rsid w:val="00786EA0"/>
    <w:rsid w:val="0078712D"/>
    <w:rsid w:val="00787394"/>
    <w:rsid w:val="0078761B"/>
    <w:rsid w:val="0078791D"/>
    <w:rsid w:val="00787974"/>
    <w:rsid w:val="00790364"/>
    <w:rsid w:val="0079056E"/>
    <w:rsid w:val="00790C98"/>
    <w:rsid w:val="00791D19"/>
    <w:rsid w:val="00792590"/>
    <w:rsid w:val="007925D7"/>
    <w:rsid w:val="00792704"/>
    <w:rsid w:val="00793176"/>
    <w:rsid w:val="007933B1"/>
    <w:rsid w:val="00793409"/>
    <w:rsid w:val="0079342C"/>
    <w:rsid w:val="00793EC3"/>
    <w:rsid w:val="00793F88"/>
    <w:rsid w:val="00794057"/>
    <w:rsid w:val="00794132"/>
    <w:rsid w:val="00794684"/>
    <w:rsid w:val="00794AAC"/>
    <w:rsid w:val="0079558D"/>
    <w:rsid w:val="007957FD"/>
    <w:rsid w:val="00795B12"/>
    <w:rsid w:val="00795BE4"/>
    <w:rsid w:val="00796214"/>
    <w:rsid w:val="00796914"/>
    <w:rsid w:val="00796B89"/>
    <w:rsid w:val="00796C3D"/>
    <w:rsid w:val="00796F47"/>
    <w:rsid w:val="00797B17"/>
    <w:rsid w:val="007A003E"/>
    <w:rsid w:val="007A0407"/>
    <w:rsid w:val="007A0431"/>
    <w:rsid w:val="007A0600"/>
    <w:rsid w:val="007A1083"/>
    <w:rsid w:val="007A1B8E"/>
    <w:rsid w:val="007A1CE6"/>
    <w:rsid w:val="007A2127"/>
    <w:rsid w:val="007A2133"/>
    <w:rsid w:val="007A251C"/>
    <w:rsid w:val="007A2BCF"/>
    <w:rsid w:val="007A385B"/>
    <w:rsid w:val="007A39FB"/>
    <w:rsid w:val="007A3A34"/>
    <w:rsid w:val="007A40C2"/>
    <w:rsid w:val="007A45DC"/>
    <w:rsid w:val="007A4DB4"/>
    <w:rsid w:val="007A5085"/>
    <w:rsid w:val="007A513B"/>
    <w:rsid w:val="007A5370"/>
    <w:rsid w:val="007A5B00"/>
    <w:rsid w:val="007A5C58"/>
    <w:rsid w:val="007A60AC"/>
    <w:rsid w:val="007A6394"/>
    <w:rsid w:val="007A6642"/>
    <w:rsid w:val="007A686B"/>
    <w:rsid w:val="007A6B21"/>
    <w:rsid w:val="007A6B8A"/>
    <w:rsid w:val="007A6D19"/>
    <w:rsid w:val="007A7608"/>
    <w:rsid w:val="007A78C5"/>
    <w:rsid w:val="007A79D6"/>
    <w:rsid w:val="007A7B70"/>
    <w:rsid w:val="007B01AC"/>
    <w:rsid w:val="007B0389"/>
    <w:rsid w:val="007B08B3"/>
    <w:rsid w:val="007B0A6B"/>
    <w:rsid w:val="007B0BEF"/>
    <w:rsid w:val="007B1088"/>
    <w:rsid w:val="007B12C9"/>
    <w:rsid w:val="007B1C9D"/>
    <w:rsid w:val="007B212A"/>
    <w:rsid w:val="007B213C"/>
    <w:rsid w:val="007B2C14"/>
    <w:rsid w:val="007B2C5A"/>
    <w:rsid w:val="007B2E7A"/>
    <w:rsid w:val="007B31B3"/>
    <w:rsid w:val="007B349B"/>
    <w:rsid w:val="007B37A7"/>
    <w:rsid w:val="007B3876"/>
    <w:rsid w:val="007B3B2D"/>
    <w:rsid w:val="007B3F63"/>
    <w:rsid w:val="007B48B5"/>
    <w:rsid w:val="007B4D59"/>
    <w:rsid w:val="007B4EC3"/>
    <w:rsid w:val="007B57DC"/>
    <w:rsid w:val="007B5CB6"/>
    <w:rsid w:val="007B6466"/>
    <w:rsid w:val="007B66A4"/>
    <w:rsid w:val="007B6DFD"/>
    <w:rsid w:val="007B71DE"/>
    <w:rsid w:val="007B763C"/>
    <w:rsid w:val="007B7DC3"/>
    <w:rsid w:val="007C00E4"/>
    <w:rsid w:val="007C04A8"/>
    <w:rsid w:val="007C0ADC"/>
    <w:rsid w:val="007C0DA1"/>
    <w:rsid w:val="007C0EF9"/>
    <w:rsid w:val="007C1351"/>
    <w:rsid w:val="007C1542"/>
    <w:rsid w:val="007C189F"/>
    <w:rsid w:val="007C20B7"/>
    <w:rsid w:val="007C2550"/>
    <w:rsid w:val="007C2F96"/>
    <w:rsid w:val="007C32E2"/>
    <w:rsid w:val="007C3522"/>
    <w:rsid w:val="007C38CE"/>
    <w:rsid w:val="007C395A"/>
    <w:rsid w:val="007C3A76"/>
    <w:rsid w:val="007C3C03"/>
    <w:rsid w:val="007C3E41"/>
    <w:rsid w:val="007C3F0D"/>
    <w:rsid w:val="007C4513"/>
    <w:rsid w:val="007C4827"/>
    <w:rsid w:val="007C4D69"/>
    <w:rsid w:val="007C4ED0"/>
    <w:rsid w:val="007C50DB"/>
    <w:rsid w:val="007C523F"/>
    <w:rsid w:val="007C55C0"/>
    <w:rsid w:val="007C55F4"/>
    <w:rsid w:val="007C59E5"/>
    <w:rsid w:val="007C5C24"/>
    <w:rsid w:val="007C5C4E"/>
    <w:rsid w:val="007C5C91"/>
    <w:rsid w:val="007C640C"/>
    <w:rsid w:val="007C6552"/>
    <w:rsid w:val="007C6605"/>
    <w:rsid w:val="007C66AE"/>
    <w:rsid w:val="007C69E1"/>
    <w:rsid w:val="007C6A0B"/>
    <w:rsid w:val="007C6C83"/>
    <w:rsid w:val="007C6CA7"/>
    <w:rsid w:val="007C7279"/>
    <w:rsid w:val="007C7699"/>
    <w:rsid w:val="007C7759"/>
    <w:rsid w:val="007C7768"/>
    <w:rsid w:val="007C79CA"/>
    <w:rsid w:val="007D0166"/>
    <w:rsid w:val="007D03F6"/>
    <w:rsid w:val="007D04BB"/>
    <w:rsid w:val="007D0504"/>
    <w:rsid w:val="007D0A47"/>
    <w:rsid w:val="007D0A8B"/>
    <w:rsid w:val="007D0B1C"/>
    <w:rsid w:val="007D1D95"/>
    <w:rsid w:val="007D1F8F"/>
    <w:rsid w:val="007D2045"/>
    <w:rsid w:val="007D26EB"/>
    <w:rsid w:val="007D28D7"/>
    <w:rsid w:val="007D3349"/>
    <w:rsid w:val="007D3D40"/>
    <w:rsid w:val="007D3DEB"/>
    <w:rsid w:val="007D3E65"/>
    <w:rsid w:val="007D41AE"/>
    <w:rsid w:val="007D4480"/>
    <w:rsid w:val="007D45E6"/>
    <w:rsid w:val="007D4759"/>
    <w:rsid w:val="007D482E"/>
    <w:rsid w:val="007D4939"/>
    <w:rsid w:val="007D4D82"/>
    <w:rsid w:val="007D50D6"/>
    <w:rsid w:val="007D539D"/>
    <w:rsid w:val="007D57AF"/>
    <w:rsid w:val="007D57FE"/>
    <w:rsid w:val="007D5A12"/>
    <w:rsid w:val="007D5C31"/>
    <w:rsid w:val="007D5C3D"/>
    <w:rsid w:val="007D5C47"/>
    <w:rsid w:val="007D5C57"/>
    <w:rsid w:val="007D657F"/>
    <w:rsid w:val="007E0326"/>
    <w:rsid w:val="007E0383"/>
    <w:rsid w:val="007E0A57"/>
    <w:rsid w:val="007E0BE5"/>
    <w:rsid w:val="007E0C42"/>
    <w:rsid w:val="007E1080"/>
    <w:rsid w:val="007E1613"/>
    <w:rsid w:val="007E17F9"/>
    <w:rsid w:val="007E1831"/>
    <w:rsid w:val="007E1986"/>
    <w:rsid w:val="007E1AAF"/>
    <w:rsid w:val="007E1CF9"/>
    <w:rsid w:val="007E20D0"/>
    <w:rsid w:val="007E20DF"/>
    <w:rsid w:val="007E20EC"/>
    <w:rsid w:val="007E2166"/>
    <w:rsid w:val="007E2222"/>
    <w:rsid w:val="007E2305"/>
    <w:rsid w:val="007E24A0"/>
    <w:rsid w:val="007E2A78"/>
    <w:rsid w:val="007E44EA"/>
    <w:rsid w:val="007E45AE"/>
    <w:rsid w:val="007E4DF3"/>
    <w:rsid w:val="007E552F"/>
    <w:rsid w:val="007E55D5"/>
    <w:rsid w:val="007E5801"/>
    <w:rsid w:val="007E5C6D"/>
    <w:rsid w:val="007E6542"/>
    <w:rsid w:val="007E68C2"/>
    <w:rsid w:val="007E6984"/>
    <w:rsid w:val="007E6FA4"/>
    <w:rsid w:val="007E7963"/>
    <w:rsid w:val="007E7B11"/>
    <w:rsid w:val="007E7E43"/>
    <w:rsid w:val="007F0390"/>
    <w:rsid w:val="007F106E"/>
    <w:rsid w:val="007F17E2"/>
    <w:rsid w:val="007F1A7F"/>
    <w:rsid w:val="007F21DD"/>
    <w:rsid w:val="007F2303"/>
    <w:rsid w:val="007F26E5"/>
    <w:rsid w:val="007F27F1"/>
    <w:rsid w:val="007F2A06"/>
    <w:rsid w:val="007F2EA2"/>
    <w:rsid w:val="007F333D"/>
    <w:rsid w:val="007F36CF"/>
    <w:rsid w:val="007F3C5D"/>
    <w:rsid w:val="007F3FA2"/>
    <w:rsid w:val="007F43CC"/>
    <w:rsid w:val="007F469B"/>
    <w:rsid w:val="007F46D7"/>
    <w:rsid w:val="007F4C41"/>
    <w:rsid w:val="007F4F4D"/>
    <w:rsid w:val="007F508B"/>
    <w:rsid w:val="007F5A31"/>
    <w:rsid w:val="007F5AF1"/>
    <w:rsid w:val="007F610B"/>
    <w:rsid w:val="007F6236"/>
    <w:rsid w:val="007F6671"/>
    <w:rsid w:val="007F6852"/>
    <w:rsid w:val="007F6C8F"/>
    <w:rsid w:val="007F6C9D"/>
    <w:rsid w:val="007F6D52"/>
    <w:rsid w:val="007F6DF2"/>
    <w:rsid w:val="007F7024"/>
    <w:rsid w:val="00800B83"/>
    <w:rsid w:val="0080152F"/>
    <w:rsid w:val="00801C26"/>
    <w:rsid w:val="008020A8"/>
    <w:rsid w:val="008020FA"/>
    <w:rsid w:val="0080233E"/>
    <w:rsid w:val="00802685"/>
    <w:rsid w:val="0080294F"/>
    <w:rsid w:val="00802CDD"/>
    <w:rsid w:val="00803997"/>
    <w:rsid w:val="00803B99"/>
    <w:rsid w:val="008041F4"/>
    <w:rsid w:val="0080433A"/>
    <w:rsid w:val="00804594"/>
    <w:rsid w:val="008047AC"/>
    <w:rsid w:val="0080494F"/>
    <w:rsid w:val="0080508C"/>
    <w:rsid w:val="0080591B"/>
    <w:rsid w:val="00805ADF"/>
    <w:rsid w:val="00806746"/>
    <w:rsid w:val="00806A2F"/>
    <w:rsid w:val="00807370"/>
    <w:rsid w:val="008075C1"/>
    <w:rsid w:val="00807A14"/>
    <w:rsid w:val="00807AB5"/>
    <w:rsid w:val="00810046"/>
    <w:rsid w:val="0081046F"/>
    <w:rsid w:val="00810867"/>
    <w:rsid w:val="00810E5A"/>
    <w:rsid w:val="00811487"/>
    <w:rsid w:val="00811550"/>
    <w:rsid w:val="00811828"/>
    <w:rsid w:val="00811AD0"/>
    <w:rsid w:val="00811B44"/>
    <w:rsid w:val="00811B6A"/>
    <w:rsid w:val="00811F3C"/>
    <w:rsid w:val="00811F64"/>
    <w:rsid w:val="00811F8B"/>
    <w:rsid w:val="00812111"/>
    <w:rsid w:val="00812144"/>
    <w:rsid w:val="0081237A"/>
    <w:rsid w:val="0081267E"/>
    <w:rsid w:val="00812898"/>
    <w:rsid w:val="00813023"/>
    <w:rsid w:val="00813130"/>
    <w:rsid w:val="008132AB"/>
    <w:rsid w:val="00813D39"/>
    <w:rsid w:val="00813DF0"/>
    <w:rsid w:val="00814244"/>
    <w:rsid w:val="0081450D"/>
    <w:rsid w:val="00814792"/>
    <w:rsid w:val="00814957"/>
    <w:rsid w:val="00814AC5"/>
    <w:rsid w:val="00814B3D"/>
    <w:rsid w:val="0081558F"/>
    <w:rsid w:val="008158CD"/>
    <w:rsid w:val="00815C2F"/>
    <w:rsid w:val="00815DD3"/>
    <w:rsid w:val="00816478"/>
    <w:rsid w:val="0081656A"/>
    <w:rsid w:val="00816763"/>
    <w:rsid w:val="00816D9A"/>
    <w:rsid w:val="00817759"/>
    <w:rsid w:val="00817DD0"/>
    <w:rsid w:val="00817DEC"/>
    <w:rsid w:val="0082072E"/>
    <w:rsid w:val="00821338"/>
    <w:rsid w:val="00822094"/>
    <w:rsid w:val="00822904"/>
    <w:rsid w:val="00823FD2"/>
    <w:rsid w:val="00824343"/>
    <w:rsid w:val="00824577"/>
    <w:rsid w:val="00824675"/>
    <w:rsid w:val="00824A2E"/>
    <w:rsid w:val="00824B2F"/>
    <w:rsid w:val="00825448"/>
    <w:rsid w:val="00825469"/>
    <w:rsid w:val="00825557"/>
    <w:rsid w:val="008256C1"/>
    <w:rsid w:val="008258B9"/>
    <w:rsid w:val="00825D5C"/>
    <w:rsid w:val="00825EEC"/>
    <w:rsid w:val="00825F79"/>
    <w:rsid w:val="008260F7"/>
    <w:rsid w:val="00826208"/>
    <w:rsid w:val="00826780"/>
    <w:rsid w:val="00826BB1"/>
    <w:rsid w:val="00827293"/>
    <w:rsid w:val="00827A5D"/>
    <w:rsid w:val="0083007C"/>
    <w:rsid w:val="00830147"/>
    <w:rsid w:val="00830830"/>
    <w:rsid w:val="008309F0"/>
    <w:rsid w:val="00830AFA"/>
    <w:rsid w:val="0083108F"/>
    <w:rsid w:val="00831247"/>
    <w:rsid w:val="00831474"/>
    <w:rsid w:val="008314FC"/>
    <w:rsid w:val="008315AE"/>
    <w:rsid w:val="00831BF7"/>
    <w:rsid w:val="00831EF4"/>
    <w:rsid w:val="008321D0"/>
    <w:rsid w:val="0083227C"/>
    <w:rsid w:val="00832EA9"/>
    <w:rsid w:val="00833096"/>
    <w:rsid w:val="00833561"/>
    <w:rsid w:val="00834456"/>
    <w:rsid w:val="008347D0"/>
    <w:rsid w:val="0083493A"/>
    <w:rsid w:val="00834A46"/>
    <w:rsid w:val="00834BA4"/>
    <w:rsid w:val="0083600B"/>
    <w:rsid w:val="008367FD"/>
    <w:rsid w:val="008369A9"/>
    <w:rsid w:val="00836DFC"/>
    <w:rsid w:val="00837386"/>
    <w:rsid w:val="008375B8"/>
    <w:rsid w:val="008378A7"/>
    <w:rsid w:val="00837BB6"/>
    <w:rsid w:val="0084029A"/>
    <w:rsid w:val="00840588"/>
    <w:rsid w:val="008406EE"/>
    <w:rsid w:val="0084086F"/>
    <w:rsid w:val="0084089E"/>
    <w:rsid w:val="00840A3A"/>
    <w:rsid w:val="00840E34"/>
    <w:rsid w:val="00841108"/>
    <w:rsid w:val="00841563"/>
    <w:rsid w:val="008416A8"/>
    <w:rsid w:val="00841845"/>
    <w:rsid w:val="00841854"/>
    <w:rsid w:val="00841EEE"/>
    <w:rsid w:val="008425FD"/>
    <w:rsid w:val="00842A11"/>
    <w:rsid w:val="00842F39"/>
    <w:rsid w:val="00842FB2"/>
    <w:rsid w:val="0084306F"/>
    <w:rsid w:val="008430B4"/>
    <w:rsid w:val="00843327"/>
    <w:rsid w:val="008439B9"/>
    <w:rsid w:val="0084496C"/>
    <w:rsid w:val="00845271"/>
    <w:rsid w:val="008457CA"/>
    <w:rsid w:val="008458DB"/>
    <w:rsid w:val="00845E91"/>
    <w:rsid w:val="0084699F"/>
    <w:rsid w:val="008472E3"/>
    <w:rsid w:val="0084762F"/>
    <w:rsid w:val="00847839"/>
    <w:rsid w:val="008479AF"/>
    <w:rsid w:val="00847A27"/>
    <w:rsid w:val="00847A5E"/>
    <w:rsid w:val="00847E80"/>
    <w:rsid w:val="00850098"/>
    <w:rsid w:val="00850173"/>
    <w:rsid w:val="008502A4"/>
    <w:rsid w:val="0085037C"/>
    <w:rsid w:val="0085065B"/>
    <w:rsid w:val="00850D6A"/>
    <w:rsid w:val="00851057"/>
    <w:rsid w:val="00851723"/>
    <w:rsid w:val="00851889"/>
    <w:rsid w:val="00851BBF"/>
    <w:rsid w:val="00851D05"/>
    <w:rsid w:val="008520C7"/>
    <w:rsid w:val="00852AEF"/>
    <w:rsid w:val="00852B95"/>
    <w:rsid w:val="00853471"/>
    <w:rsid w:val="0085364F"/>
    <w:rsid w:val="00853F8A"/>
    <w:rsid w:val="00854200"/>
    <w:rsid w:val="00854328"/>
    <w:rsid w:val="0085453C"/>
    <w:rsid w:val="00854634"/>
    <w:rsid w:val="0085493B"/>
    <w:rsid w:val="00854B05"/>
    <w:rsid w:val="00854D9B"/>
    <w:rsid w:val="00855443"/>
    <w:rsid w:val="0085570A"/>
    <w:rsid w:val="00856163"/>
    <w:rsid w:val="00856223"/>
    <w:rsid w:val="008564FD"/>
    <w:rsid w:val="008565C7"/>
    <w:rsid w:val="00856E0E"/>
    <w:rsid w:val="008573C2"/>
    <w:rsid w:val="008574DB"/>
    <w:rsid w:val="0085784D"/>
    <w:rsid w:val="00857A36"/>
    <w:rsid w:val="00857AA7"/>
    <w:rsid w:val="00857C46"/>
    <w:rsid w:val="00860108"/>
    <w:rsid w:val="00860A90"/>
    <w:rsid w:val="00860B94"/>
    <w:rsid w:val="00860BDE"/>
    <w:rsid w:val="00860C14"/>
    <w:rsid w:val="00860EAC"/>
    <w:rsid w:val="0086117A"/>
    <w:rsid w:val="0086136F"/>
    <w:rsid w:val="008613C5"/>
    <w:rsid w:val="00861BF2"/>
    <w:rsid w:val="00861E8A"/>
    <w:rsid w:val="00862BDA"/>
    <w:rsid w:val="00862CBD"/>
    <w:rsid w:val="00863642"/>
    <w:rsid w:val="00863ED4"/>
    <w:rsid w:val="00863FC3"/>
    <w:rsid w:val="0086406A"/>
    <w:rsid w:val="00864115"/>
    <w:rsid w:val="0086426F"/>
    <w:rsid w:val="00864730"/>
    <w:rsid w:val="008647BC"/>
    <w:rsid w:val="00864B94"/>
    <w:rsid w:val="0086531F"/>
    <w:rsid w:val="0086554A"/>
    <w:rsid w:val="00865D99"/>
    <w:rsid w:val="00865DA4"/>
    <w:rsid w:val="00865F98"/>
    <w:rsid w:val="00866613"/>
    <w:rsid w:val="008666A2"/>
    <w:rsid w:val="008669FC"/>
    <w:rsid w:val="00866B5A"/>
    <w:rsid w:val="00866B60"/>
    <w:rsid w:val="00866C26"/>
    <w:rsid w:val="00866F07"/>
    <w:rsid w:val="008674A5"/>
    <w:rsid w:val="00867AA5"/>
    <w:rsid w:val="00867C80"/>
    <w:rsid w:val="008700C4"/>
    <w:rsid w:val="008701D8"/>
    <w:rsid w:val="0087063E"/>
    <w:rsid w:val="008706CE"/>
    <w:rsid w:val="008709B6"/>
    <w:rsid w:val="00870C9C"/>
    <w:rsid w:val="0087120C"/>
    <w:rsid w:val="0087164D"/>
    <w:rsid w:val="00872186"/>
    <w:rsid w:val="00872246"/>
    <w:rsid w:val="00872331"/>
    <w:rsid w:val="008725EB"/>
    <w:rsid w:val="008728D5"/>
    <w:rsid w:val="008731CC"/>
    <w:rsid w:val="008735FB"/>
    <w:rsid w:val="00873756"/>
    <w:rsid w:val="00873D13"/>
    <w:rsid w:val="00874192"/>
    <w:rsid w:val="0087421D"/>
    <w:rsid w:val="00874F57"/>
    <w:rsid w:val="008758FE"/>
    <w:rsid w:val="00876442"/>
    <w:rsid w:val="00876597"/>
    <w:rsid w:val="008767E8"/>
    <w:rsid w:val="008769F0"/>
    <w:rsid w:val="00876A96"/>
    <w:rsid w:val="00876E9E"/>
    <w:rsid w:val="00877017"/>
    <w:rsid w:val="0087708C"/>
    <w:rsid w:val="008770D9"/>
    <w:rsid w:val="00877EBD"/>
    <w:rsid w:val="00880033"/>
    <w:rsid w:val="008800CA"/>
    <w:rsid w:val="00880715"/>
    <w:rsid w:val="00880BC0"/>
    <w:rsid w:val="00880C76"/>
    <w:rsid w:val="00880CC8"/>
    <w:rsid w:val="00880CD8"/>
    <w:rsid w:val="00880E64"/>
    <w:rsid w:val="00880F42"/>
    <w:rsid w:val="00881501"/>
    <w:rsid w:val="0088177C"/>
    <w:rsid w:val="0088237E"/>
    <w:rsid w:val="008827D9"/>
    <w:rsid w:val="00882869"/>
    <w:rsid w:val="00882907"/>
    <w:rsid w:val="008831E5"/>
    <w:rsid w:val="00883222"/>
    <w:rsid w:val="00883343"/>
    <w:rsid w:val="00883EDA"/>
    <w:rsid w:val="00883EE3"/>
    <w:rsid w:val="00884699"/>
    <w:rsid w:val="00884A23"/>
    <w:rsid w:val="00884E2B"/>
    <w:rsid w:val="0088563E"/>
    <w:rsid w:val="00886177"/>
    <w:rsid w:val="008863E8"/>
    <w:rsid w:val="00886D3D"/>
    <w:rsid w:val="00886D82"/>
    <w:rsid w:val="00887945"/>
    <w:rsid w:val="00887C6C"/>
    <w:rsid w:val="008903DD"/>
    <w:rsid w:val="00890BC7"/>
    <w:rsid w:val="00890C60"/>
    <w:rsid w:val="008910A6"/>
    <w:rsid w:val="008913DE"/>
    <w:rsid w:val="00891883"/>
    <w:rsid w:val="008923B8"/>
    <w:rsid w:val="00892A7B"/>
    <w:rsid w:val="00892B2B"/>
    <w:rsid w:val="008934C2"/>
    <w:rsid w:val="00893769"/>
    <w:rsid w:val="00894115"/>
    <w:rsid w:val="00894203"/>
    <w:rsid w:val="00894515"/>
    <w:rsid w:val="00894A85"/>
    <w:rsid w:val="00894B49"/>
    <w:rsid w:val="008951D7"/>
    <w:rsid w:val="008952D0"/>
    <w:rsid w:val="008955E2"/>
    <w:rsid w:val="0089592D"/>
    <w:rsid w:val="00895CC7"/>
    <w:rsid w:val="00895F69"/>
    <w:rsid w:val="0089631A"/>
    <w:rsid w:val="0089649F"/>
    <w:rsid w:val="008968D3"/>
    <w:rsid w:val="0089694F"/>
    <w:rsid w:val="00896C15"/>
    <w:rsid w:val="00896F01"/>
    <w:rsid w:val="00897792"/>
    <w:rsid w:val="00897B77"/>
    <w:rsid w:val="00897FF0"/>
    <w:rsid w:val="008A02DF"/>
    <w:rsid w:val="008A062C"/>
    <w:rsid w:val="008A0A1E"/>
    <w:rsid w:val="008A0FB0"/>
    <w:rsid w:val="008A12E9"/>
    <w:rsid w:val="008A14B0"/>
    <w:rsid w:val="008A1793"/>
    <w:rsid w:val="008A260A"/>
    <w:rsid w:val="008A348B"/>
    <w:rsid w:val="008A34E9"/>
    <w:rsid w:val="008A3620"/>
    <w:rsid w:val="008A3687"/>
    <w:rsid w:val="008A3832"/>
    <w:rsid w:val="008A390A"/>
    <w:rsid w:val="008A3A82"/>
    <w:rsid w:val="008A4369"/>
    <w:rsid w:val="008A4458"/>
    <w:rsid w:val="008A4C44"/>
    <w:rsid w:val="008A51BE"/>
    <w:rsid w:val="008A5473"/>
    <w:rsid w:val="008A5981"/>
    <w:rsid w:val="008A59FA"/>
    <w:rsid w:val="008A5CAC"/>
    <w:rsid w:val="008A5E86"/>
    <w:rsid w:val="008A5F63"/>
    <w:rsid w:val="008A617E"/>
    <w:rsid w:val="008A6A63"/>
    <w:rsid w:val="008A768D"/>
    <w:rsid w:val="008A79C2"/>
    <w:rsid w:val="008A7A23"/>
    <w:rsid w:val="008B0088"/>
    <w:rsid w:val="008B019A"/>
    <w:rsid w:val="008B040A"/>
    <w:rsid w:val="008B082E"/>
    <w:rsid w:val="008B08A2"/>
    <w:rsid w:val="008B0AB4"/>
    <w:rsid w:val="008B1011"/>
    <w:rsid w:val="008B121D"/>
    <w:rsid w:val="008B1825"/>
    <w:rsid w:val="008B1ED2"/>
    <w:rsid w:val="008B1F52"/>
    <w:rsid w:val="008B20BC"/>
    <w:rsid w:val="008B2181"/>
    <w:rsid w:val="008B2348"/>
    <w:rsid w:val="008B2640"/>
    <w:rsid w:val="008B2E37"/>
    <w:rsid w:val="008B3032"/>
    <w:rsid w:val="008B3452"/>
    <w:rsid w:val="008B361B"/>
    <w:rsid w:val="008B3C0C"/>
    <w:rsid w:val="008B40DF"/>
    <w:rsid w:val="008B454F"/>
    <w:rsid w:val="008B455A"/>
    <w:rsid w:val="008B4CC5"/>
    <w:rsid w:val="008B4DFE"/>
    <w:rsid w:val="008B5144"/>
    <w:rsid w:val="008B5A87"/>
    <w:rsid w:val="008B5ACD"/>
    <w:rsid w:val="008B5B23"/>
    <w:rsid w:val="008B5CC9"/>
    <w:rsid w:val="008B5D3A"/>
    <w:rsid w:val="008B5FEA"/>
    <w:rsid w:val="008B6275"/>
    <w:rsid w:val="008B6707"/>
    <w:rsid w:val="008B6968"/>
    <w:rsid w:val="008B6EF1"/>
    <w:rsid w:val="008B7460"/>
    <w:rsid w:val="008B7620"/>
    <w:rsid w:val="008B76F4"/>
    <w:rsid w:val="008B7948"/>
    <w:rsid w:val="008B7A72"/>
    <w:rsid w:val="008C1309"/>
    <w:rsid w:val="008C17A9"/>
    <w:rsid w:val="008C1C3F"/>
    <w:rsid w:val="008C204A"/>
    <w:rsid w:val="008C24D7"/>
    <w:rsid w:val="008C2AE7"/>
    <w:rsid w:val="008C3212"/>
    <w:rsid w:val="008C3408"/>
    <w:rsid w:val="008C357E"/>
    <w:rsid w:val="008C363B"/>
    <w:rsid w:val="008C386D"/>
    <w:rsid w:val="008C3AB6"/>
    <w:rsid w:val="008C4837"/>
    <w:rsid w:val="008C4A86"/>
    <w:rsid w:val="008C5084"/>
    <w:rsid w:val="008C56DF"/>
    <w:rsid w:val="008C5800"/>
    <w:rsid w:val="008C6060"/>
    <w:rsid w:val="008C622F"/>
    <w:rsid w:val="008C6515"/>
    <w:rsid w:val="008C6B95"/>
    <w:rsid w:val="008C6D3C"/>
    <w:rsid w:val="008C6EAD"/>
    <w:rsid w:val="008C7E8B"/>
    <w:rsid w:val="008D03C1"/>
    <w:rsid w:val="008D0410"/>
    <w:rsid w:val="008D08AB"/>
    <w:rsid w:val="008D0ABD"/>
    <w:rsid w:val="008D0E3F"/>
    <w:rsid w:val="008D0F34"/>
    <w:rsid w:val="008D1A0C"/>
    <w:rsid w:val="008D1E35"/>
    <w:rsid w:val="008D1E70"/>
    <w:rsid w:val="008D2B29"/>
    <w:rsid w:val="008D331D"/>
    <w:rsid w:val="008D3D76"/>
    <w:rsid w:val="008D3F52"/>
    <w:rsid w:val="008D4457"/>
    <w:rsid w:val="008D4489"/>
    <w:rsid w:val="008D4CE6"/>
    <w:rsid w:val="008D4E20"/>
    <w:rsid w:val="008D4F18"/>
    <w:rsid w:val="008D57DF"/>
    <w:rsid w:val="008D5CE0"/>
    <w:rsid w:val="008D5E19"/>
    <w:rsid w:val="008D6642"/>
    <w:rsid w:val="008D66D6"/>
    <w:rsid w:val="008D6773"/>
    <w:rsid w:val="008D683A"/>
    <w:rsid w:val="008D683C"/>
    <w:rsid w:val="008D6958"/>
    <w:rsid w:val="008D6C70"/>
    <w:rsid w:val="008D6DA0"/>
    <w:rsid w:val="008D75D1"/>
    <w:rsid w:val="008D76FE"/>
    <w:rsid w:val="008D7744"/>
    <w:rsid w:val="008D78C0"/>
    <w:rsid w:val="008D7C31"/>
    <w:rsid w:val="008D7DB0"/>
    <w:rsid w:val="008E019E"/>
    <w:rsid w:val="008E02BF"/>
    <w:rsid w:val="008E0321"/>
    <w:rsid w:val="008E04A4"/>
    <w:rsid w:val="008E0681"/>
    <w:rsid w:val="008E096E"/>
    <w:rsid w:val="008E0970"/>
    <w:rsid w:val="008E0C1A"/>
    <w:rsid w:val="008E1175"/>
    <w:rsid w:val="008E11CB"/>
    <w:rsid w:val="008E14DE"/>
    <w:rsid w:val="008E177A"/>
    <w:rsid w:val="008E1B55"/>
    <w:rsid w:val="008E1E1A"/>
    <w:rsid w:val="008E243D"/>
    <w:rsid w:val="008E24F6"/>
    <w:rsid w:val="008E29DC"/>
    <w:rsid w:val="008E2DA3"/>
    <w:rsid w:val="008E3060"/>
    <w:rsid w:val="008E33AB"/>
    <w:rsid w:val="008E384B"/>
    <w:rsid w:val="008E388D"/>
    <w:rsid w:val="008E3B3F"/>
    <w:rsid w:val="008E3F16"/>
    <w:rsid w:val="008E4431"/>
    <w:rsid w:val="008E48AF"/>
    <w:rsid w:val="008E540E"/>
    <w:rsid w:val="008E548A"/>
    <w:rsid w:val="008E5635"/>
    <w:rsid w:val="008E5915"/>
    <w:rsid w:val="008E6484"/>
    <w:rsid w:val="008E6715"/>
    <w:rsid w:val="008E6779"/>
    <w:rsid w:val="008E6984"/>
    <w:rsid w:val="008E6DA3"/>
    <w:rsid w:val="008E6DA7"/>
    <w:rsid w:val="008E7277"/>
    <w:rsid w:val="008E72D5"/>
    <w:rsid w:val="008E7A24"/>
    <w:rsid w:val="008E7BAD"/>
    <w:rsid w:val="008E7ECE"/>
    <w:rsid w:val="008F011C"/>
    <w:rsid w:val="008F064F"/>
    <w:rsid w:val="008F07C3"/>
    <w:rsid w:val="008F0843"/>
    <w:rsid w:val="008F0BDF"/>
    <w:rsid w:val="008F14BD"/>
    <w:rsid w:val="008F157D"/>
    <w:rsid w:val="008F1679"/>
    <w:rsid w:val="008F1686"/>
    <w:rsid w:val="008F1808"/>
    <w:rsid w:val="008F19B7"/>
    <w:rsid w:val="008F2A10"/>
    <w:rsid w:val="008F2A83"/>
    <w:rsid w:val="008F2C62"/>
    <w:rsid w:val="008F2E87"/>
    <w:rsid w:val="008F2FEF"/>
    <w:rsid w:val="008F30CA"/>
    <w:rsid w:val="008F3254"/>
    <w:rsid w:val="008F3837"/>
    <w:rsid w:val="008F3876"/>
    <w:rsid w:val="008F3CB6"/>
    <w:rsid w:val="008F4A24"/>
    <w:rsid w:val="008F4C0E"/>
    <w:rsid w:val="008F4D34"/>
    <w:rsid w:val="008F4F46"/>
    <w:rsid w:val="008F53D6"/>
    <w:rsid w:val="008F5AFB"/>
    <w:rsid w:val="008F5EEE"/>
    <w:rsid w:val="008F635A"/>
    <w:rsid w:val="008F7466"/>
    <w:rsid w:val="008F7A86"/>
    <w:rsid w:val="00900742"/>
    <w:rsid w:val="009007C7"/>
    <w:rsid w:val="00900CE7"/>
    <w:rsid w:val="00901407"/>
    <w:rsid w:val="00901712"/>
    <w:rsid w:val="00901A99"/>
    <w:rsid w:val="00901E1D"/>
    <w:rsid w:val="0090207F"/>
    <w:rsid w:val="00903AF0"/>
    <w:rsid w:val="00903B9F"/>
    <w:rsid w:val="00903BD3"/>
    <w:rsid w:val="00903E6F"/>
    <w:rsid w:val="00904033"/>
    <w:rsid w:val="0090443A"/>
    <w:rsid w:val="00904649"/>
    <w:rsid w:val="00904948"/>
    <w:rsid w:val="00904A73"/>
    <w:rsid w:val="009051A8"/>
    <w:rsid w:val="009052D1"/>
    <w:rsid w:val="009057EF"/>
    <w:rsid w:val="00905ABF"/>
    <w:rsid w:val="00905D11"/>
    <w:rsid w:val="0090602F"/>
    <w:rsid w:val="00906106"/>
    <w:rsid w:val="0090620E"/>
    <w:rsid w:val="009062EF"/>
    <w:rsid w:val="00906A3A"/>
    <w:rsid w:val="00906ACA"/>
    <w:rsid w:val="00907153"/>
    <w:rsid w:val="009074A9"/>
    <w:rsid w:val="00907A09"/>
    <w:rsid w:val="00907A12"/>
    <w:rsid w:val="00907FD9"/>
    <w:rsid w:val="0091006F"/>
    <w:rsid w:val="009108E8"/>
    <w:rsid w:val="00910949"/>
    <w:rsid w:val="00910A58"/>
    <w:rsid w:val="00910ACC"/>
    <w:rsid w:val="00910D2E"/>
    <w:rsid w:val="00911873"/>
    <w:rsid w:val="0091195F"/>
    <w:rsid w:val="00911C1E"/>
    <w:rsid w:val="00911E64"/>
    <w:rsid w:val="0091226A"/>
    <w:rsid w:val="009124F6"/>
    <w:rsid w:val="00912575"/>
    <w:rsid w:val="00912806"/>
    <w:rsid w:val="0091281A"/>
    <w:rsid w:val="009129F4"/>
    <w:rsid w:val="00912AF4"/>
    <w:rsid w:val="00913667"/>
    <w:rsid w:val="0091376E"/>
    <w:rsid w:val="009140B4"/>
    <w:rsid w:val="009141B6"/>
    <w:rsid w:val="00914423"/>
    <w:rsid w:val="00914431"/>
    <w:rsid w:val="00914553"/>
    <w:rsid w:val="00914AE4"/>
    <w:rsid w:val="00914C41"/>
    <w:rsid w:val="00914DF2"/>
    <w:rsid w:val="009153FE"/>
    <w:rsid w:val="009156C0"/>
    <w:rsid w:val="00915DC7"/>
    <w:rsid w:val="009160E3"/>
    <w:rsid w:val="0091683C"/>
    <w:rsid w:val="009168D0"/>
    <w:rsid w:val="00916A54"/>
    <w:rsid w:val="00916E7E"/>
    <w:rsid w:val="00916F9D"/>
    <w:rsid w:val="00917821"/>
    <w:rsid w:val="00917871"/>
    <w:rsid w:val="00917BA5"/>
    <w:rsid w:val="00917D35"/>
    <w:rsid w:val="00917E37"/>
    <w:rsid w:val="00917F5E"/>
    <w:rsid w:val="00920DE6"/>
    <w:rsid w:val="00921713"/>
    <w:rsid w:val="00921734"/>
    <w:rsid w:val="009217D9"/>
    <w:rsid w:val="00921F39"/>
    <w:rsid w:val="00921FD4"/>
    <w:rsid w:val="0092204D"/>
    <w:rsid w:val="00922F2F"/>
    <w:rsid w:val="0092311C"/>
    <w:rsid w:val="0092330C"/>
    <w:rsid w:val="009238E9"/>
    <w:rsid w:val="00923AE7"/>
    <w:rsid w:val="00923CFB"/>
    <w:rsid w:val="00923EE6"/>
    <w:rsid w:val="0092408A"/>
    <w:rsid w:val="00924109"/>
    <w:rsid w:val="00924BF1"/>
    <w:rsid w:val="00924FE8"/>
    <w:rsid w:val="0092509F"/>
    <w:rsid w:val="009253D8"/>
    <w:rsid w:val="0092592D"/>
    <w:rsid w:val="00925EEA"/>
    <w:rsid w:val="00926173"/>
    <w:rsid w:val="009264BC"/>
    <w:rsid w:val="00926555"/>
    <w:rsid w:val="009266E8"/>
    <w:rsid w:val="009266F6"/>
    <w:rsid w:val="0092693F"/>
    <w:rsid w:val="00926B8C"/>
    <w:rsid w:val="00926C89"/>
    <w:rsid w:val="0092736E"/>
    <w:rsid w:val="009277CB"/>
    <w:rsid w:val="00927EC9"/>
    <w:rsid w:val="00930279"/>
    <w:rsid w:val="009303F3"/>
    <w:rsid w:val="0093073F"/>
    <w:rsid w:val="00930A6F"/>
    <w:rsid w:val="00931059"/>
    <w:rsid w:val="009310E5"/>
    <w:rsid w:val="00931C83"/>
    <w:rsid w:val="0093213C"/>
    <w:rsid w:val="00932381"/>
    <w:rsid w:val="00932662"/>
    <w:rsid w:val="00932833"/>
    <w:rsid w:val="0093300B"/>
    <w:rsid w:val="0093352B"/>
    <w:rsid w:val="00933D77"/>
    <w:rsid w:val="009343FC"/>
    <w:rsid w:val="00934B56"/>
    <w:rsid w:val="00934C97"/>
    <w:rsid w:val="00935255"/>
    <w:rsid w:val="009356C1"/>
    <w:rsid w:val="009362C9"/>
    <w:rsid w:val="00936975"/>
    <w:rsid w:val="009369A7"/>
    <w:rsid w:val="00936C06"/>
    <w:rsid w:val="00936C8B"/>
    <w:rsid w:val="009371CA"/>
    <w:rsid w:val="0093720F"/>
    <w:rsid w:val="009372E8"/>
    <w:rsid w:val="00937980"/>
    <w:rsid w:val="009400BE"/>
    <w:rsid w:val="00940420"/>
    <w:rsid w:val="00940626"/>
    <w:rsid w:val="0094081B"/>
    <w:rsid w:val="009411C0"/>
    <w:rsid w:val="009416D2"/>
    <w:rsid w:val="00941C53"/>
    <w:rsid w:val="00941EB2"/>
    <w:rsid w:val="00942435"/>
    <w:rsid w:val="009426DB"/>
    <w:rsid w:val="009429F8"/>
    <w:rsid w:val="00942C76"/>
    <w:rsid w:val="00942FE9"/>
    <w:rsid w:val="0094300C"/>
    <w:rsid w:val="00943A27"/>
    <w:rsid w:val="00943C16"/>
    <w:rsid w:val="00944031"/>
    <w:rsid w:val="00944220"/>
    <w:rsid w:val="009443D0"/>
    <w:rsid w:val="00944742"/>
    <w:rsid w:val="00944796"/>
    <w:rsid w:val="009447CE"/>
    <w:rsid w:val="009448EB"/>
    <w:rsid w:val="00944CE3"/>
    <w:rsid w:val="00945305"/>
    <w:rsid w:val="00945B40"/>
    <w:rsid w:val="00945FDC"/>
    <w:rsid w:val="009460F8"/>
    <w:rsid w:val="009461A1"/>
    <w:rsid w:val="0094624B"/>
    <w:rsid w:val="00946321"/>
    <w:rsid w:val="00946633"/>
    <w:rsid w:val="00946A4D"/>
    <w:rsid w:val="00946B14"/>
    <w:rsid w:val="00946B7C"/>
    <w:rsid w:val="00946F67"/>
    <w:rsid w:val="0094708E"/>
    <w:rsid w:val="009470D2"/>
    <w:rsid w:val="00947140"/>
    <w:rsid w:val="00947275"/>
    <w:rsid w:val="00947720"/>
    <w:rsid w:val="009477BD"/>
    <w:rsid w:val="009477C2"/>
    <w:rsid w:val="00947895"/>
    <w:rsid w:val="00947A47"/>
    <w:rsid w:val="00947C09"/>
    <w:rsid w:val="009502F1"/>
    <w:rsid w:val="00950320"/>
    <w:rsid w:val="00950454"/>
    <w:rsid w:val="009505B5"/>
    <w:rsid w:val="009508C6"/>
    <w:rsid w:val="00951386"/>
    <w:rsid w:val="00951581"/>
    <w:rsid w:val="009517B5"/>
    <w:rsid w:val="00951D5E"/>
    <w:rsid w:val="00953778"/>
    <w:rsid w:val="009542CD"/>
    <w:rsid w:val="00954729"/>
    <w:rsid w:val="00954EBA"/>
    <w:rsid w:val="009551DC"/>
    <w:rsid w:val="00955D4D"/>
    <w:rsid w:val="00956FCF"/>
    <w:rsid w:val="009572B4"/>
    <w:rsid w:val="00957A3B"/>
    <w:rsid w:val="009608F7"/>
    <w:rsid w:val="00960B7B"/>
    <w:rsid w:val="00960C0C"/>
    <w:rsid w:val="00960D8D"/>
    <w:rsid w:val="00961769"/>
    <w:rsid w:val="009617DC"/>
    <w:rsid w:val="00961E06"/>
    <w:rsid w:val="00961E5E"/>
    <w:rsid w:val="00962881"/>
    <w:rsid w:val="00963271"/>
    <w:rsid w:val="009632C0"/>
    <w:rsid w:val="00963640"/>
    <w:rsid w:val="00963644"/>
    <w:rsid w:val="00963981"/>
    <w:rsid w:val="009639A6"/>
    <w:rsid w:val="00963A2B"/>
    <w:rsid w:val="00964054"/>
    <w:rsid w:val="009641AC"/>
    <w:rsid w:val="00964259"/>
    <w:rsid w:val="0096425A"/>
    <w:rsid w:val="0096428F"/>
    <w:rsid w:val="0096457C"/>
    <w:rsid w:val="00964748"/>
    <w:rsid w:val="00964978"/>
    <w:rsid w:val="00964BAD"/>
    <w:rsid w:val="00964DAA"/>
    <w:rsid w:val="00965334"/>
    <w:rsid w:val="009654C7"/>
    <w:rsid w:val="009655B1"/>
    <w:rsid w:val="0096573A"/>
    <w:rsid w:val="00965CE8"/>
    <w:rsid w:val="00965FFE"/>
    <w:rsid w:val="00966255"/>
    <w:rsid w:val="009666A4"/>
    <w:rsid w:val="00966DB1"/>
    <w:rsid w:val="00966F2C"/>
    <w:rsid w:val="009671BE"/>
    <w:rsid w:val="00967529"/>
    <w:rsid w:val="00967DAE"/>
    <w:rsid w:val="00970A38"/>
    <w:rsid w:val="00970CED"/>
    <w:rsid w:val="00970E68"/>
    <w:rsid w:val="00971092"/>
    <w:rsid w:val="00971111"/>
    <w:rsid w:val="0097131D"/>
    <w:rsid w:val="00971C92"/>
    <w:rsid w:val="0097223E"/>
    <w:rsid w:val="00972248"/>
    <w:rsid w:val="009725C7"/>
    <w:rsid w:val="00972A57"/>
    <w:rsid w:val="00972BC9"/>
    <w:rsid w:val="00973058"/>
    <w:rsid w:val="0097322A"/>
    <w:rsid w:val="00973546"/>
    <w:rsid w:val="0097437A"/>
    <w:rsid w:val="009749C5"/>
    <w:rsid w:val="00974A82"/>
    <w:rsid w:val="00974A90"/>
    <w:rsid w:val="00974B2B"/>
    <w:rsid w:val="00974CE0"/>
    <w:rsid w:val="009757CC"/>
    <w:rsid w:val="0097603F"/>
    <w:rsid w:val="009762EC"/>
    <w:rsid w:val="0097655A"/>
    <w:rsid w:val="0097662D"/>
    <w:rsid w:val="009769C6"/>
    <w:rsid w:val="00976B6D"/>
    <w:rsid w:val="00977046"/>
    <w:rsid w:val="009776D2"/>
    <w:rsid w:val="009802BB"/>
    <w:rsid w:val="00980793"/>
    <w:rsid w:val="00980CF6"/>
    <w:rsid w:val="00980DF6"/>
    <w:rsid w:val="00980FAB"/>
    <w:rsid w:val="00981B40"/>
    <w:rsid w:val="00981D04"/>
    <w:rsid w:val="00981D48"/>
    <w:rsid w:val="00982730"/>
    <w:rsid w:val="00982EB4"/>
    <w:rsid w:val="00983BC1"/>
    <w:rsid w:val="00983C98"/>
    <w:rsid w:val="009846CF"/>
    <w:rsid w:val="009847BF"/>
    <w:rsid w:val="00984847"/>
    <w:rsid w:val="00984960"/>
    <w:rsid w:val="00984FB4"/>
    <w:rsid w:val="0098520D"/>
    <w:rsid w:val="0098552C"/>
    <w:rsid w:val="0098568E"/>
    <w:rsid w:val="009866D6"/>
    <w:rsid w:val="009866EC"/>
    <w:rsid w:val="00986AED"/>
    <w:rsid w:val="00986D03"/>
    <w:rsid w:val="00987276"/>
    <w:rsid w:val="009873F4"/>
    <w:rsid w:val="009875F6"/>
    <w:rsid w:val="00987F1A"/>
    <w:rsid w:val="009900DC"/>
    <w:rsid w:val="009901F8"/>
    <w:rsid w:val="009906B0"/>
    <w:rsid w:val="00990852"/>
    <w:rsid w:val="00990E15"/>
    <w:rsid w:val="009912B6"/>
    <w:rsid w:val="009912D9"/>
    <w:rsid w:val="0099172E"/>
    <w:rsid w:val="00991771"/>
    <w:rsid w:val="009918C3"/>
    <w:rsid w:val="00991BA3"/>
    <w:rsid w:val="00991BDB"/>
    <w:rsid w:val="00991E46"/>
    <w:rsid w:val="00992062"/>
    <w:rsid w:val="0099213D"/>
    <w:rsid w:val="0099226B"/>
    <w:rsid w:val="009926FE"/>
    <w:rsid w:val="00992DA2"/>
    <w:rsid w:val="0099303E"/>
    <w:rsid w:val="00993123"/>
    <w:rsid w:val="009931FF"/>
    <w:rsid w:val="009933AE"/>
    <w:rsid w:val="00993646"/>
    <w:rsid w:val="009937BF"/>
    <w:rsid w:val="00993826"/>
    <w:rsid w:val="00993D62"/>
    <w:rsid w:val="00993E31"/>
    <w:rsid w:val="00994082"/>
    <w:rsid w:val="0099446C"/>
    <w:rsid w:val="00995674"/>
    <w:rsid w:val="00995FE3"/>
    <w:rsid w:val="009961F8"/>
    <w:rsid w:val="00996688"/>
    <w:rsid w:val="00996A96"/>
    <w:rsid w:val="00997A31"/>
    <w:rsid w:val="00997E66"/>
    <w:rsid w:val="00997ED8"/>
    <w:rsid w:val="009A010B"/>
    <w:rsid w:val="009A045E"/>
    <w:rsid w:val="009A076B"/>
    <w:rsid w:val="009A0BD9"/>
    <w:rsid w:val="009A0EAE"/>
    <w:rsid w:val="009A1341"/>
    <w:rsid w:val="009A1387"/>
    <w:rsid w:val="009A1614"/>
    <w:rsid w:val="009A18AB"/>
    <w:rsid w:val="009A1B2A"/>
    <w:rsid w:val="009A1D14"/>
    <w:rsid w:val="009A2332"/>
    <w:rsid w:val="009A2391"/>
    <w:rsid w:val="009A2F13"/>
    <w:rsid w:val="009A302E"/>
    <w:rsid w:val="009A32ED"/>
    <w:rsid w:val="009A334B"/>
    <w:rsid w:val="009A34E0"/>
    <w:rsid w:val="009A3914"/>
    <w:rsid w:val="009A3E4F"/>
    <w:rsid w:val="009A424A"/>
    <w:rsid w:val="009A4C6B"/>
    <w:rsid w:val="009A4DE9"/>
    <w:rsid w:val="009A4EBC"/>
    <w:rsid w:val="009A511D"/>
    <w:rsid w:val="009A54D2"/>
    <w:rsid w:val="009A54FA"/>
    <w:rsid w:val="009A582C"/>
    <w:rsid w:val="009A61DD"/>
    <w:rsid w:val="009A6729"/>
    <w:rsid w:val="009A71DF"/>
    <w:rsid w:val="009A7354"/>
    <w:rsid w:val="009A7513"/>
    <w:rsid w:val="009A7563"/>
    <w:rsid w:val="009A769F"/>
    <w:rsid w:val="009A7D68"/>
    <w:rsid w:val="009B0880"/>
    <w:rsid w:val="009B097C"/>
    <w:rsid w:val="009B14C7"/>
    <w:rsid w:val="009B1889"/>
    <w:rsid w:val="009B1D60"/>
    <w:rsid w:val="009B2516"/>
    <w:rsid w:val="009B27A8"/>
    <w:rsid w:val="009B2CB5"/>
    <w:rsid w:val="009B3543"/>
    <w:rsid w:val="009B3572"/>
    <w:rsid w:val="009B3925"/>
    <w:rsid w:val="009B3F4E"/>
    <w:rsid w:val="009B43C4"/>
    <w:rsid w:val="009B4471"/>
    <w:rsid w:val="009B4645"/>
    <w:rsid w:val="009B4EAA"/>
    <w:rsid w:val="009B4EF7"/>
    <w:rsid w:val="009B56A5"/>
    <w:rsid w:val="009B5A62"/>
    <w:rsid w:val="009B5BD8"/>
    <w:rsid w:val="009B5DCC"/>
    <w:rsid w:val="009B5E07"/>
    <w:rsid w:val="009B602F"/>
    <w:rsid w:val="009B608F"/>
    <w:rsid w:val="009B617D"/>
    <w:rsid w:val="009B63C0"/>
    <w:rsid w:val="009B6B3C"/>
    <w:rsid w:val="009B6EE4"/>
    <w:rsid w:val="009B7AAD"/>
    <w:rsid w:val="009C006A"/>
    <w:rsid w:val="009C01B1"/>
    <w:rsid w:val="009C0EFC"/>
    <w:rsid w:val="009C117B"/>
    <w:rsid w:val="009C1228"/>
    <w:rsid w:val="009C1347"/>
    <w:rsid w:val="009C13D8"/>
    <w:rsid w:val="009C16CB"/>
    <w:rsid w:val="009C1726"/>
    <w:rsid w:val="009C1BED"/>
    <w:rsid w:val="009C1C9D"/>
    <w:rsid w:val="009C1E89"/>
    <w:rsid w:val="009C2573"/>
    <w:rsid w:val="009C2E9B"/>
    <w:rsid w:val="009C3A55"/>
    <w:rsid w:val="009C3C89"/>
    <w:rsid w:val="009C3DF4"/>
    <w:rsid w:val="009C41AF"/>
    <w:rsid w:val="009C4252"/>
    <w:rsid w:val="009C47EE"/>
    <w:rsid w:val="009C4A14"/>
    <w:rsid w:val="009C4C6A"/>
    <w:rsid w:val="009C4E87"/>
    <w:rsid w:val="009C4EA1"/>
    <w:rsid w:val="009C50C1"/>
    <w:rsid w:val="009C5C04"/>
    <w:rsid w:val="009C5ECB"/>
    <w:rsid w:val="009C6080"/>
    <w:rsid w:val="009C65B0"/>
    <w:rsid w:val="009C663D"/>
    <w:rsid w:val="009C69BA"/>
    <w:rsid w:val="009C6CDB"/>
    <w:rsid w:val="009C7222"/>
    <w:rsid w:val="009C7800"/>
    <w:rsid w:val="009D0140"/>
    <w:rsid w:val="009D014B"/>
    <w:rsid w:val="009D059D"/>
    <w:rsid w:val="009D0A89"/>
    <w:rsid w:val="009D0AB9"/>
    <w:rsid w:val="009D0BB2"/>
    <w:rsid w:val="009D0D2E"/>
    <w:rsid w:val="009D142C"/>
    <w:rsid w:val="009D18CA"/>
    <w:rsid w:val="009D1A37"/>
    <w:rsid w:val="009D201F"/>
    <w:rsid w:val="009D20D2"/>
    <w:rsid w:val="009D2143"/>
    <w:rsid w:val="009D2450"/>
    <w:rsid w:val="009D2465"/>
    <w:rsid w:val="009D283B"/>
    <w:rsid w:val="009D28A0"/>
    <w:rsid w:val="009D2DF7"/>
    <w:rsid w:val="009D3772"/>
    <w:rsid w:val="009D3F3B"/>
    <w:rsid w:val="009D4816"/>
    <w:rsid w:val="009D4A80"/>
    <w:rsid w:val="009D4C98"/>
    <w:rsid w:val="009D4D82"/>
    <w:rsid w:val="009D4EFC"/>
    <w:rsid w:val="009D4F31"/>
    <w:rsid w:val="009D5ACE"/>
    <w:rsid w:val="009D61C4"/>
    <w:rsid w:val="009D6355"/>
    <w:rsid w:val="009D6470"/>
    <w:rsid w:val="009D69B7"/>
    <w:rsid w:val="009D6B7F"/>
    <w:rsid w:val="009D6D67"/>
    <w:rsid w:val="009D7607"/>
    <w:rsid w:val="009D7F1A"/>
    <w:rsid w:val="009E0384"/>
    <w:rsid w:val="009E0AA6"/>
    <w:rsid w:val="009E0B82"/>
    <w:rsid w:val="009E10A9"/>
    <w:rsid w:val="009E1233"/>
    <w:rsid w:val="009E1952"/>
    <w:rsid w:val="009E2102"/>
    <w:rsid w:val="009E2710"/>
    <w:rsid w:val="009E28FE"/>
    <w:rsid w:val="009E2D3B"/>
    <w:rsid w:val="009E35A9"/>
    <w:rsid w:val="009E386E"/>
    <w:rsid w:val="009E3D1E"/>
    <w:rsid w:val="009E40C5"/>
    <w:rsid w:val="009E430B"/>
    <w:rsid w:val="009E4FE1"/>
    <w:rsid w:val="009E5508"/>
    <w:rsid w:val="009E5C62"/>
    <w:rsid w:val="009E5DA6"/>
    <w:rsid w:val="009E6025"/>
    <w:rsid w:val="009E6147"/>
    <w:rsid w:val="009E6155"/>
    <w:rsid w:val="009E629F"/>
    <w:rsid w:val="009E6776"/>
    <w:rsid w:val="009E6781"/>
    <w:rsid w:val="009E6CF9"/>
    <w:rsid w:val="009E70D6"/>
    <w:rsid w:val="009E7177"/>
    <w:rsid w:val="009E71FD"/>
    <w:rsid w:val="009E74CE"/>
    <w:rsid w:val="009E7662"/>
    <w:rsid w:val="009E796F"/>
    <w:rsid w:val="009E7BFB"/>
    <w:rsid w:val="009F01DA"/>
    <w:rsid w:val="009F0521"/>
    <w:rsid w:val="009F07E5"/>
    <w:rsid w:val="009F086C"/>
    <w:rsid w:val="009F0A80"/>
    <w:rsid w:val="009F0E86"/>
    <w:rsid w:val="009F1304"/>
    <w:rsid w:val="009F16E0"/>
    <w:rsid w:val="009F1D17"/>
    <w:rsid w:val="009F27C9"/>
    <w:rsid w:val="009F2C86"/>
    <w:rsid w:val="009F2F97"/>
    <w:rsid w:val="009F312A"/>
    <w:rsid w:val="009F337A"/>
    <w:rsid w:val="009F3674"/>
    <w:rsid w:val="009F3A91"/>
    <w:rsid w:val="009F3D3D"/>
    <w:rsid w:val="009F3F0D"/>
    <w:rsid w:val="009F414D"/>
    <w:rsid w:val="009F47EB"/>
    <w:rsid w:val="009F4C18"/>
    <w:rsid w:val="009F574E"/>
    <w:rsid w:val="009F5B0E"/>
    <w:rsid w:val="009F6884"/>
    <w:rsid w:val="009F69EA"/>
    <w:rsid w:val="009F6B5B"/>
    <w:rsid w:val="009F7046"/>
    <w:rsid w:val="009F71F2"/>
    <w:rsid w:val="009F7305"/>
    <w:rsid w:val="009F7527"/>
    <w:rsid w:val="009F7753"/>
    <w:rsid w:val="00A00633"/>
    <w:rsid w:val="00A006A2"/>
    <w:rsid w:val="00A006CA"/>
    <w:rsid w:val="00A00790"/>
    <w:rsid w:val="00A00798"/>
    <w:rsid w:val="00A00B93"/>
    <w:rsid w:val="00A01A9B"/>
    <w:rsid w:val="00A01BB2"/>
    <w:rsid w:val="00A02D7E"/>
    <w:rsid w:val="00A02FFA"/>
    <w:rsid w:val="00A03014"/>
    <w:rsid w:val="00A031A3"/>
    <w:rsid w:val="00A0324D"/>
    <w:rsid w:val="00A03696"/>
    <w:rsid w:val="00A03C89"/>
    <w:rsid w:val="00A03D16"/>
    <w:rsid w:val="00A03EDF"/>
    <w:rsid w:val="00A0429E"/>
    <w:rsid w:val="00A045B3"/>
    <w:rsid w:val="00A04974"/>
    <w:rsid w:val="00A04C7F"/>
    <w:rsid w:val="00A05357"/>
    <w:rsid w:val="00A05442"/>
    <w:rsid w:val="00A054E7"/>
    <w:rsid w:val="00A05532"/>
    <w:rsid w:val="00A05D7D"/>
    <w:rsid w:val="00A060B3"/>
    <w:rsid w:val="00A067B0"/>
    <w:rsid w:val="00A06C63"/>
    <w:rsid w:val="00A06DBB"/>
    <w:rsid w:val="00A075F3"/>
    <w:rsid w:val="00A078E7"/>
    <w:rsid w:val="00A10250"/>
    <w:rsid w:val="00A10496"/>
    <w:rsid w:val="00A1083F"/>
    <w:rsid w:val="00A108BA"/>
    <w:rsid w:val="00A10D11"/>
    <w:rsid w:val="00A10DC8"/>
    <w:rsid w:val="00A10F0B"/>
    <w:rsid w:val="00A10F4A"/>
    <w:rsid w:val="00A111EA"/>
    <w:rsid w:val="00A11E58"/>
    <w:rsid w:val="00A11E66"/>
    <w:rsid w:val="00A11EA4"/>
    <w:rsid w:val="00A1263A"/>
    <w:rsid w:val="00A12A5D"/>
    <w:rsid w:val="00A12B87"/>
    <w:rsid w:val="00A1304A"/>
    <w:rsid w:val="00A13257"/>
    <w:rsid w:val="00A13754"/>
    <w:rsid w:val="00A144C8"/>
    <w:rsid w:val="00A149FE"/>
    <w:rsid w:val="00A14C86"/>
    <w:rsid w:val="00A15425"/>
    <w:rsid w:val="00A15E59"/>
    <w:rsid w:val="00A15FAB"/>
    <w:rsid w:val="00A1649E"/>
    <w:rsid w:val="00A166C9"/>
    <w:rsid w:val="00A16814"/>
    <w:rsid w:val="00A16CB9"/>
    <w:rsid w:val="00A16CBF"/>
    <w:rsid w:val="00A16DC2"/>
    <w:rsid w:val="00A17652"/>
    <w:rsid w:val="00A17A27"/>
    <w:rsid w:val="00A17C34"/>
    <w:rsid w:val="00A17C86"/>
    <w:rsid w:val="00A17D14"/>
    <w:rsid w:val="00A17D45"/>
    <w:rsid w:val="00A17E5C"/>
    <w:rsid w:val="00A20225"/>
    <w:rsid w:val="00A2052E"/>
    <w:rsid w:val="00A208C7"/>
    <w:rsid w:val="00A20956"/>
    <w:rsid w:val="00A20A71"/>
    <w:rsid w:val="00A20E70"/>
    <w:rsid w:val="00A211DD"/>
    <w:rsid w:val="00A212DD"/>
    <w:rsid w:val="00A214BD"/>
    <w:rsid w:val="00A214C0"/>
    <w:rsid w:val="00A219F0"/>
    <w:rsid w:val="00A22A14"/>
    <w:rsid w:val="00A23056"/>
    <w:rsid w:val="00A2327C"/>
    <w:rsid w:val="00A2345A"/>
    <w:rsid w:val="00A23725"/>
    <w:rsid w:val="00A23DB6"/>
    <w:rsid w:val="00A23EB8"/>
    <w:rsid w:val="00A2445A"/>
    <w:rsid w:val="00A24695"/>
    <w:rsid w:val="00A24B4F"/>
    <w:rsid w:val="00A24CE1"/>
    <w:rsid w:val="00A2536E"/>
    <w:rsid w:val="00A25620"/>
    <w:rsid w:val="00A25C0E"/>
    <w:rsid w:val="00A25C22"/>
    <w:rsid w:val="00A25D0F"/>
    <w:rsid w:val="00A25F0E"/>
    <w:rsid w:val="00A25FB1"/>
    <w:rsid w:val="00A26041"/>
    <w:rsid w:val="00A26375"/>
    <w:rsid w:val="00A265A9"/>
    <w:rsid w:val="00A27D78"/>
    <w:rsid w:val="00A308B7"/>
    <w:rsid w:val="00A30B8C"/>
    <w:rsid w:val="00A30BB4"/>
    <w:rsid w:val="00A30D35"/>
    <w:rsid w:val="00A30D3F"/>
    <w:rsid w:val="00A30DCD"/>
    <w:rsid w:val="00A312FA"/>
    <w:rsid w:val="00A31B26"/>
    <w:rsid w:val="00A31E37"/>
    <w:rsid w:val="00A321EC"/>
    <w:rsid w:val="00A32893"/>
    <w:rsid w:val="00A32A78"/>
    <w:rsid w:val="00A32BF3"/>
    <w:rsid w:val="00A32CF0"/>
    <w:rsid w:val="00A32ECF"/>
    <w:rsid w:val="00A32FB6"/>
    <w:rsid w:val="00A3309F"/>
    <w:rsid w:val="00A33394"/>
    <w:rsid w:val="00A33674"/>
    <w:rsid w:val="00A33962"/>
    <w:rsid w:val="00A342CE"/>
    <w:rsid w:val="00A35456"/>
    <w:rsid w:val="00A354E7"/>
    <w:rsid w:val="00A35529"/>
    <w:rsid w:val="00A359F0"/>
    <w:rsid w:val="00A35C32"/>
    <w:rsid w:val="00A35FE1"/>
    <w:rsid w:val="00A362B9"/>
    <w:rsid w:val="00A36CD8"/>
    <w:rsid w:val="00A370EE"/>
    <w:rsid w:val="00A371A2"/>
    <w:rsid w:val="00A375C3"/>
    <w:rsid w:val="00A37A85"/>
    <w:rsid w:val="00A37FA4"/>
    <w:rsid w:val="00A408EF"/>
    <w:rsid w:val="00A40F2C"/>
    <w:rsid w:val="00A41790"/>
    <w:rsid w:val="00A41827"/>
    <w:rsid w:val="00A41934"/>
    <w:rsid w:val="00A41BB3"/>
    <w:rsid w:val="00A41D7D"/>
    <w:rsid w:val="00A42672"/>
    <w:rsid w:val="00A428D4"/>
    <w:rsid w:val="00A42A1E"/>
    <w:rsid w:val="00A42CD8"/>
    <w:rsid w:val="00A42CE9"/>
    <w:rsid w:val="00A43650"/>
    <w:rsid w:val="00A4375D"/>
    <w:rsid w:val="00A4493A"/>
    <w:rsid w:val="00A44A9E"/>
    <w:rsid w:val="00A44B61"/>
    <w:rsid w:val="00A45320"/>
    <w:rsid w:val="00A45354"/>
    <w:rsid w:val="00A4555F"/>
    <w:rsid w:val="00A456BC"/>
    <w:rsid w:val="00A45B2A"/>
    <w:rsid w:val="00A46FB2"/>
    <w:rsid w:val="00A4731D"/>
    <w:rsid w:val="00A47346"/>
    <w:rsid w:val="00A4739D"/>
    <w:rsid w:val="00A47845"/>
    <w:rsid w:val="00A47B11"/>
    <w:rsid w:val="00A47D98"/>
    <w:rsid w:val="00A5028C"/>
    <w:rsid w:val="00A50432"/>
    <w:rsid w:val="00A507F0"/>
    <w:rsid w:val="00A508B4"/>
    <w:rsid w:val="00A5092C"/>
    <w:rsid w:val="00A50FA0"/>
    <w:rsid w:val="00A50FC2"/>
    <w:rsid w:val="00A519CE"/>
    <w:rsid w:val="00A5225F"/>
    <w:rsid w:val="00A5230E"/>
    <w:rsid w:val="00A52737"/>
    <w:rsid w:val="00A52833"/>
    <w:rsid w:val="00A52B3F"/>
    <w:rsid w:val="00A53671"/>
    <w:rsid w:val="00A53687"/>
    <w:rsid w:val="00A53BF0"/>
    <w:rsid w:val="00A53C11"/>
    <w:rsid w:val="00A54248"/>
    <w:rsid w:val="00A542C3"/>
    <w:rsid w:val="00A542D6"/>
    <w:rsid w:val="00A546BD"/>
    <w:rsid w:val="00A546E0"/>
    <w:rsid w:val="00A54B62"/>
    <w:rsid w:val="00A54F61"/>
    <w:rsid w:val="00A55CCD"/>
    <w:rsid w:val="00A5623C"/>
    <w:rsid w:val="00A56267"/>
    <w:rsid w:val="00A56466"/>
    <w:rsid w:val="00A56712"/>
    <w:rsid w:val="00A572FA"/>
    <w:rsid w:val="00A579EE"/>
    <w:rsid w:val="00A57A14"/>
    <w:rsid w:val="00A57B6C"/>
    <w:rsid w:val="00A60A1A"/>
    <w:rsid w:val="00A60BCA"/>
    <w:rsid w:val="00A618BA"/>
    <w:rsid w:val="00A618CF"/>
    <w:rsid w:val="00A61925"/>
    <w:rsid w:val="00A61A12"/>
    <w:rsid w:val="00A628A0"/>
    <w:rsid w:val="00A6394B"/>
    <w:rsid w:val="00A646C4"/>
    <w:rsid w:val="00A64A2D"/>
    <w:rsid w:val="00A64EDC"/>
    <w:rsid w:val="00A6505B"/>
    <w:rsid w:val="00A651BA"/>
    <w:rsid w:val="00A65383"/>
    <w:rsid w:val="00A6581D"/>
    <w:rsid w:val="00A6585D"/>
    <w:rsid w:val="00A658F9"/>
    <w:rsid w:val="00A65BFD"/>
    <w:rsid w:val="00A6607C"/>
    <w:rsid w:val="00A667CF"/>
    <w:rsid w:val="00A669F4"/>
    <w:rsid w:val="00A66DA3"/>
    <w:rsid w:val="00A67092"/>
    <w:rsid w:val="00A67205"/>
    <w:rsid w:val="00A6749E"/>
    <w:rsid w:val="00A67CD7"/>
    <w:rsid w:val="00A7006F"/>
    <w:rsid w:val="00A704FE"/>
    <w:rsid w:val="00A709D9"/>
    <w:rsid w:val="00A71BFB"/>
    <w:rsid w:val="00A71C81"/>
    <w:rsid w:val="00A72169"/>
    <w:rsid w:val="00A7216B"/>
    <w:rsid w:val="00A72658"/>
    <w:rsid w:val="00A72E59"/>
    <w:rsid w:val="00A735C3"/>
    <w:rsid w:val="00A7360D"/>
    <w:rsid w:val="00A73982"/>
    <w:rsid w:val="00A73AD7"/>
    <w:rsid w:val="00A73F22"/>
    <w:rsid w:val="00A743BC"/>
    <w:rsid w:val="00A743F7"/>
    <w:rsid w:val="00A75684"/>
    <w:rsid w:val="00A75AF3"/>
    <w:rsid w:val="00A75B54"/>
    <w:rsid w:val="00A76173"/>
    <w:rsid w:val="00A7680A"/>
    <w:rsid w:val="00A76911"/>
    <w:rsid w:val="00A76A71"/>
    <w:rsid w:val="00A7702C"/>
    <w:rsid w:val="00A77035"/>
    <w:rsid w:val="00A77854"/>
    <w:rsid w:val="00A77A17"/>
    <w:rsid w:val="00A77B26"/>
    <w:rsid w:val="00A77DE0"/>
    <w:rsid w:val="00A77ECD"/>
    <w:rsid w:val="00A800B9"/>
    <w:rsid w:val="00A803A5"/>
    <w:rsid w:val="00A8046B"/>
    <w:rsid w:val="00A80537"/>
    <w:rsid w:val="00A80B8F"/>
    <w:rsid w:val="00A81524"/>
    <w:rsid w:val="00A816EB"/>
    <w:rsid w:val="00A81C94"/>
    <w:rsid w:val="00A81F09"/>
    <w:rsid w:val="00A82578"/>
    <w:rsid w:val="00A82740"/>
    <w:rsid w:val="00A82D83"/>
    <w:rsid w:val="00A83509"/>
    <w:rsid w:val="00A83615"/>
    <w:rsid w:val="00A8375C"/>
    <w:rsid w:val="00A837C2"/>
    <w:rsid w:val="00A83E6C"/>
    <w:rsid w:val="00A842CC"/>
    <w:rsid w:val="00A8452B"/>
    <w:rsid w:val="00A848E0"/>
    <w:rsid w:val="00A84DC9"/>
    <w:rsid w:val="00A84EB2"/>
    <w:rsid w:val="00A84EF1"/>
    <w:rsid w:val="00A85587"/>
    <w:rsid w:val="00A85627"/>
    <w:rsid w:val="00A85644"/>
    <w:rsid w:val="00A85CF0"/>
    <w:rsid w:val="00A867D9"/>
    <w:rsid w:val="00A86AD7"/>
    <w:rsid w:val="00A86C46"/>
    <w:rsid w:val="00A87BE2"/>
    <w:rsid w:val="00A87FE5"/>
    <w:rsid w:val="00A9015F"/>
    <w:rsid w:val="00A904EA"/>
    <w:rsid w:val="00A90B71"/>
    <w:rsid w:val="00A9208B"/>
    <w:rsid w:val="00A926F5"/>
    <w:rsid w:val="00A9272F"/>
    <w:rsid w:val="00A9352B"/>
    <w:rsid w:val="00A936B4"/>
    <w:rsid w:val="00A944B0"/>
    <w:rsid w:val="00A94583"/>
    <w:rsid w:val="00A94929"/>
    <w:rsid w:val="00A94C70"/>
    <w:rsid w:val="00A95386"/>
    <w:rsid w:val="00A95536"/>
    <w:rsid w:val="00A956F0"/>
    <w:rsid w:val="00A95859"/>
    <w:rsid w:val="00A961B8"/>
    <w:rsid w:val="00A965C9"/>
    <w:rsid w:val="00A96E24"/>
    <w:rsid w:val="00A96E42"/>
    <w:rsid w:val="00A973BC"/>
    <w:rsid w:val="00A9749D"/>
    <w:rsid w:val="00A9784A"/>
    <w:rsid w:val="00A97984"/>
    <w:rsid w:val="00A97AF7"/>
    <w:rsid w:val="00A97CC7"/>
    <w:rsid w:val="00AA000D"/>
    <w:rsid w:val="00AA0300"/>
    <w:rsid w:val="00AA032D"/>
    <w:rsid w:val="00AA03B0"/>
    <w:rsid w:val="00AA067D"/>
    <w:rsid w:val="00AA0FE9"/>
    <w:rsid w:val="00AA102F"/>
    <w:rsid w:val="00AA1F19"/>
    <w:rsid w:val="00AA20E0"/>
    <w:rsid w:val="00AA25F3"/>
    <w:rsid w:val="00AA2734"/>
    <w:rsid w:val="00AA2B5D"/>
    <w:rsid w:val="00AA2D05"/>
    <w:rsid w:val="00AA3EEA"/>
    <w:rsid w:val="00AA48DC"/>
    <w:rsid w:val="00AA4914"/>
    <w:rsid w:val="00AA49D5"/>
    <w:rsid w:val="00AA4D17"/>
    <w:rsid w:val="00AA4E6B"/>
    <w:rsid w:val="00AA51F4"/>
    <w:rsid w:val="00AA52C6"/>
    <w:rsid w:val="00AA5A4E"/>
    <w:rsid w:val="00AA5F74"/>
    <w:rsid w:val="00AA5FCF"/>
    <w:rsid w:val="00AA5FDB"/>
    <w:rsid w:val="00AA61AD"/>
    <w:rsid w:val="00AA639B"/>
    <w:rsid w:val="00AA64FD"/>
    <w:rsid w:val="00AA6717"/>
    <w:rsid w:val="00AA6B8E"/>
    <w:rsid w:val="00AA7009"/>
    <w:rsid w:val="00AA75CD"/>
    <w:rsid w:val="00AA7933"/>
    <w:rsid w:val="00AA7AA5"/>
    <w:rsid w:val="00AA7C83"/>
    <w:rsid w:val="00AA7C84"/>
    <w:rsid w:val="00AB0745"/>
    <w:rsid w:val="00AB08C2"/>
    <w:rsid w:val="00AB08F2"/>
    <w:rsid w:val="00AB0AA8"/>
    <w:rsid w:val="00AB0B2C"/>
    <w:rsid w:val="00AB1003"/>
    <w:rsid w:val="00AB131F"/>
    <w:rsid w:val="00AB1533"/>
    <w:rsid w:val="00AB173C"/>
    <w:rsid w:val="00AB1C74"/>
    <w:rsid w:val="00AB2038"/>
    <w:rsid w:val="00AB22E1"/>
    <w:rsid w:val="00AB231D"/>
    <w:rsid w:val="00AB275B"/>
    <w:rsid w:val="00AB2A51"/>
    <w:rsid w:val="00AB2C19"/>
    <w:rsid w:val="00AB34FD"/>
    <w:rsid w:val="00AB376B"/>
    <w:rsid w:val="00AB3A79"/>
    <w:rsid w:val="00AB3BCC"/>
    <w:rsid w:val="00AB3DD9"/>
    <w:rsid w:val="00AB41BF"/>
    <w:rsid w:val="00AB454F"/>
    <w:rsid w:val="00AB47E9"/>
    <w:rsid w:val="00AB519F"/>
    <w:rsid w:val="00AB5608"/>
    <w:rsid w:val="00AB61BB"/>
    <w:rsid w:val="00AB63E5"/>
    <w:rsid w:val="00AB6545"/>
    <w:rsid w:val="00AB6695"/>
    <w:rsid w:val="00AB6BC7"/>
    <w:rsid w:val="00AB6D77"/>
    <w:rsid w:val="00AB741B"/>
    <w:rsid w:val="00AC0FDD"/>
    <w:rsid w:val="00AC11FB"/>
    <w:rsid w:val="00AC1313"/>
    <w:rsid w:val="00AC1486"/>
    <w:rsid w:val="00AC14FE"/>
    <w:rsid w:val="00AC159C"/>
    <w:rsid w:val="00AC1722"/>
    <w:rsid w:val="00AC1C2D"/>
    <w:rsid w:val="00AC1F6D"/>
    <w:rsid w:val="00AC249C"/>
    <w:rsid w:val="00AC27BA"/>
    <w:rsid w:val="00AC28FD"/>
    <w:rsid w:val="00AC29AD"/>
    <w:rsid w:val="00AC2B1F"/>
    <w:rsid w:val="00AC2C1A"/>
    <w:rsid w:val="00AC2CA6"/>
    <w:rsid w:val="00AC2EEF"/>
    <w:rsid w:val="00AC330C"/>
    <w:rsid w:val="00AC34D1"/>
    <w:rsid w:val="00AC3E55"/>
    <w:rsid w:val="00AC4494"/>
    <w:rsid w:val="00AC461A"/>
    <w:rsid w:val="00AC5030"/>
    <w:rsid w:val="00AC5083"/>
    <w:rsid w:val="00AC53DA"/>
    <w:rsid w:val="00AC56B3"/>
    <w:rsid w:val="00AC5E75"/>
    <w:rsid w:val="00AC5FF6"/>
    <w:rsid w:val="00AC6052"/>
    <w:rsid w:val="00AC6211"/>
    <w:rsid w:val="00AC630F"/>
    <w:rsid w:val="00AC6573"/>
    <w:rsid w:val="00AC65D4"/>
    <w:rsid w:val="00AC70B5"/>
    <w:rsid w:val="00AC72B6"/>
    <w:rsid w:val="00AC7414"/>
    <w:rsid w:val="00AC74D1"/>
    <w:rsid w:val="00AC7849"/>
    <w:rsid w:val="00AC7F97"/>
    <w:rsid w:val="00AD06ED"/>
    <w:rsid w:val="00AD0D18"/>
    <w:rsid w:val="00AD0F38"/>
    <w:rsid w:val="00AD11FD"/>
    <w:rsid w:val="00AD139C"/>
    <w:rsid w:val="00AD188B"/>
    <w:rsid w:val="00AD1A16"/>
    <w:rsid w:val="00AD1F62"/>
    <w:rsid w:val="00AD20CB"/>
    <w:rsid w:val="00AD24EF"/>
    <w:rsid w:val="00AD2742"/>
    <w:rsid w:val="00AD34A8"/>
    <w:rsid w:val="00AD3526"/>
    <w:rsid w:val="00AD3571"/>
    <w:rsid w:val="00AD38C5"/>
    <w:rsid w:val="00AD3BD8"/>
    <w:rsid w:val="00AD3C06"/>
    <w:rsid w:val="00AD3C51"/>
    <w:rsid w:val="00AD3FAB"/>
    <w:rsid w:val="00AD45D5"/>
    <w:rsid w:val="00AD4879"/>
    <w:rsid w:val="00AD48E5"/>
    <w:rsid w:val="00AD4BDE"/>
    <w:rsid w:val="00AD4C40"/>
    <w:rsid w:val="00AD4FC6"/>
    <w:rsid w:val="00AD51BB"/>
    <w:rsid w:val="00AD51CB"/>
    <w:rsid w:val="00AD54E1"/>
    <w:rsid w:val="00AD6054"/>
    <w:rsid w:val="00AD61A4"/>
    <w:rsid w:val="00AD61EB"/>
    <w:rsid w:val="00AD66EA"/>
    <w:rsid w:val="00AD6A97"/>
    <w:rsid w:val="00AD703E"/>
    <w:rsid w:val="00AD74C6"/>
    <w:rsid w:val="00AD7972"/>
    <w:rsid w:val="00AD7AB2"/>
    <w:rsid w:val="00AD7BF4"/>
    <w:rsid w:val="00AE043D"/>
    <w:rsid w:val="00AE0491"/>
    <w:rsid w:val="00AE05EC"/>
    <w:rsid w:val="00AE06C1"/>
    <w:rsid w:val="00AE0C3E"/>
    <w:rsid w:val="00AE0C53"/>
    <w:rsid w:val="00AE1103"/>
    <w:rsid w:val="00AE14E7"/>
    <w:rsid w:val="00AE196C"/>
    <w:rsid w:val="00AE1ADF"/>
    <w:rsid w:val="00AE1B90"/>
    <w:rsid w:val="00AE274D"/>
    <w:rsid w:val="00AE2A96"/>
    <w:rsid w:val="00AE2D3B"/>
    <w:rsid w:val="00AE2EE6"/>
    <w:rsid w:val="00AE2F53"/>
    <w:rsid w:val="00AE3141"/>
    <w:rsid w:val="00AE3750"/>
    <w:rsid w:val="00AE3C1C"/>
    <w:rsid w:val="00AE3C29"/>
    <w:rsid w:val="00AE3D1D"/>
    <w:rsid w:val="00AE4400"/>
    <w:rsid w:val="00AE47EF"/>
    <w:rsid w:val="00AE4945"/>
    <w:rsid w:val="00AE4AA3"/>
    <w:rsid w:val="00AE4C8B"/>
    <w:rsid w:val="00AE4C92"/>
    <w:rsid w:val="00AE4D26"/>
    <w:rsid w:val="00AE4E0E"/>
    <w:rsid w:val="00AE4E99"/>
    <w:rsid w:val="00AE4FA5"/>
    <w:rsid w:val="00AE545C"/>
    <w:rsid w:val="00AE5608"/>
    <w:rsid w:val="00AE6915"/>
    <w:rsid w:val="00AE692A"/>
    <w:rsid w:val="00AE6B2D"/>
    <w:rsid w:val="00AE6B7C"/>
    <w:rsid w:val="00AE6E94"/>
    <w:rsid w:val="00AE71EA"/>
    <w:rsid w:val="00AE72C4"/>
    <w:rsid w:val="00AE740D"/>
    <w:rsid w:val="00AE7506"/>
    <w:rsid w:val="00AE7508"/>
    <w:rsid w:val="00AE7596"/>
    <w:rsid w:val="00AE75EA"/>
    <w:rsid w:val="00AE768A"/>
    <w:rsid w:val="00AE76E8"/>
    <w:rsid w:val="00AE77C5"/>
    <w:rsid w:val="00AE7A49"/>
    <w:rsid w:val="00AE7BE0"/>
    <w:rsid w:val="00AF0181"/>
    <w:rsid w:val="00AF019B"/>
    <w:rsid w:val="00AF0A9A"/>
    <w:rsid w:val="00AF0DFD"/>
    <w:rsid w:val="00AF0F4C"/>
    <w:rsid w:val="00AF0F55"/>
    <w:rsid w:val="00AF1232"/>
    <w:rsid w:val="00AF12A6"/>
    <w:rsid w:val="00AF1571"/>
    <w:rsid w:val="00AF265B"/>
    <w:rsid w:val="00AF26D0"/>
    <w:rsid w:val="00AF2FC8"/>
    <w:rsid w:val="00AF3595"/>
    <w:rsid w:val="00AF3912"/>
    <w:rsid w:val="00AF3E8A"/>
    <w:rsid w:val="00AF3F70"/>
    <w:rsid w:val="00AF4273"/>
    <w:rsid w:val="00AF45E9"/>
    <w:rsid w:val="00AF4E9C"/>
    <w:rsid w:val="00AF55CD"/>
    <w:rsid w:val="00AF568C"/>
    <w:rsid w:val="00AF58B3"/>
    <w:rsid w:val="00AF5C7C"/>
    <w:rsid w:val="00AF6417"/>
    <w:rsid w:val="00AF6665"/>
    <w:rsid w:val="00AF6AA4"/>
    <w:rsid w:val="00AF6E91"/>
    <w:rsid w:val="00AF6F25"/>
    <w:rsid w:val="00AF71D2"/>
    <w:rsid w:val="00AF7296"/>
    <w:rsid w:val="00AF76C5"/>
    <w:rsid w:val="00AF7B0C"/>
    <w:rsid w:val="00AF7D28"/>
    <w:rsid w:val="00B003DC"/>
    <w:rsid w:val="00B008A3"/>
    <w:rsid w:val="00B00982"/>
    <w:rsid w:val="00B00EEB"/>
    <w:rsid w:val="00B00F44"/>
    <w:rsid w:val="00B00FC1"/>
    <w:rsid w:val="00B01955"/>
    <w:rsid w:val="00B01995"/>
    <w:rsid w:val="00B027D1"/>
    <w:rsid w:val="00B030C2"/>
    <w:rsid w:val="00B03503"/>
    <w:rsid w:val="00B03658"/>
    <w:rsid w:val="00B0372B"/>
    <w:rsid w:val="00B03842"/>
    <w:rsid w:val="00B03CEC"/>
    <w:rsid w:val="00B03DCF"/>
    <w:rsid w:val="00B04763"/>
    <w:rsid w:val="00B0516B"/>
    <w:rsid w:val="00B05286"/>
    <w:rsid w:val="00B0535C"/>
    <w:rsid w:val="00B05491"/>
    <w:rsid w:val="00B05495"/>
    <w:rsid w:val="00B0617F"/>
    <w:rsid w:val="00B06522"/>
    <w:rsid w:val="00B06708"/>
    <w:rsid w:val="00B06A7D"/>
    <w:rsid w:val="00B07049"/>
    <w:rsid w:val="00B07101"/>
    <w:rsid w:val="00B07537"/>
    <w:rsid w:val="00B07A03"/>
    <w:rsid w:val="00B07C01"/>
    <w:rsid w:val="00B10113"/>
    <w:rsid w:val="00B10892"/>
    <w:rsid w:val="00B108B7"/>
    <w:rsid w:val="00B108E5"/>
    <w:rsid w:val="00B10EAE"/>
    <w:rsid w:val="00B110B7"/>
    <w:rsid w:val="00B1147D"/>
    <w:rsid w:val="00B11674"/>
    <w:rsid w:val="00B1176D"/>
    <w:rsid w:val="00B11810"/>
    <w:rsid w:val="00B1190C"/>
    <w:rsid w:val="00B11C1A"/>
    <w:rsid w:val="00B11C83"/>
    <w:rsid w:val="00B11CE1"/>
    <w:rsid w:val="00B1214F"/>
    <w:rsid w:val="00B123BE"/>
    <w:rsid w:val="00B130D4"/>
    <w:rsid w:val="00B1326A"/>
    <w:rsid w:val="00B1341D"/>
    <w:rsid w:val="00B1383E"/>
    <w:rsid w:val="00B14393"/>
    <w:rsid w:val="00B143C0"/>
    <w:rsid w:val="00B145D4"/>
    <w:rsid w:val="00B14648"/>
    <w:rsid w:val="00B14E0B"/>
    <w:rsid w:val="00B1515D"/>
    <w:rsid w:val="00B16895"/>
    <w:rsid w:val="00B16AB2"/>
    <w:rsid w:val="00B16C9B"/>
    <w:rsid w:val="00B1728E"/>
    <w:rsid w:val="00B177B1"/>
    <w:rsid w:val="00B17E7A"/>
    <w:rsid w:val="00B17EA3"/>
    <w:rsid w:val="00B209E3"/>
    <w:rsid w:val="00B20F26"/>
    <w:rsid w:val="00B2104F"/>
    <w:rsid w:val="00B21781"/>
    <w:rsid w:val="00B2195F"/>
    <w:rsid w:val="00B21A94"/>
    <w:rsid w:val="00B2237C"/>
    <w:rsid w:val="00B2290F"/>
    <w:rsid w:val="00B22C5D"/>
    <w:rsid w:val="00B236D4"/>
    <w:rsid w:val="00B236FC"/>
    <w:rsid w:val="00B23903"/>
    <w:rsid w:val="00B23E97"/>
    <w:rsid w:val="00B2441D"/>
    <w:rsid w:val="00B24797"/>
    <w:rsid w:val="00B255D4"/>
    <w:rsid w:val="00B258B2"/>
    <w:rsid w:val="00B25F35"/>
    <w:rsid w:val="00B25F7D"/>
    <w:rsid w:val="00B260B2"/>
    <w:rsid w:val="00B26143"/>
    <w:rsid w:val="00B262D4"/>
    <w:rsid w:val="00B262FC"/>
    <w:rsid w:val="00B26B72"/>
    <w:rsid w:val="00B26F80"/>
    <w:rsid w:val="00B272EE"/>
    <w:rsid w:val="00B276F9"/>
    <w:rsid w:val="00B27A0F"/>
    <w:rsid w:val="00B27CA2"/>
    <w:rsid w:val="00B27D56"/>
    <w:rsid w:val="00B27F2A"/>
    <w:rsid w:val="00B30A03"/>
    <w:rsid w:val="00B30A79"/>
    <w:rsid w:val="00B30D51"/>
    <w:rsid w:val="00B30E0D"/>
    <w:rsid w:val="00B31663"/>
    <w:rsid w:val="00B316B2"/>
    <w:rsid w:val="00B31AEC"/>
    <w:rsid w:val="00B320FE"/>
    <w:rsid w:val="00B323E6"/>
    <w:rsid w:val="00B32592"/>
    <w:rsid w:val="00B32799"/>
    <w:rsid w:val="00B32C14"/>
    <w:rsid w:val="00B32D8C"/>
    <w:rsid w:val="00B32E23"/>
    <w:rsid w:val="00B32E4C"/>
    <w:rsid w:val="00B333E9"/>
    <w:rsid w:val="00B33638"/>
    <w:rsid w:val="00B33E82"/>
    <w:rsid w:val="00B34053"/>
    <w:rsid w:val="00B340E3"/>
    <w:rsid w:val="00B346FD"/>
    <w:rsid w:val="00B34802"/>
    <w:rsid w:val="00B349C7"/>
    <w:rsid w:val="00B34E1E"/>
    <w:rsid w:val="00B35189"/>
    <w:rsid w:val="00B351C0"/>
    <w:rsid w:val="00B353E3"/>
    <w:rsid w:val="00B3550F"/>
    <w:rsid w:val="00B35E09"/>
    <w:rsid w:val="00B36038"/>
    <w:rsid w:val="00B365BD"/>
    <w:rsid w:val="00B36B1E"/>
    <w:rsid w:val="00B36BB6"/>
    <w:rsid w:val="00B37062"/>
    <w:rsid w:val="00B374B8"/>
    <w:rsid w:val="00B3762A"/>
    <w:rsid w:val="00B376A7"/>
    <w:rsid w:val="00B376E0"/>
    <w:rsid w:val="00B4085B"/>
    <w:rsid w:val="00B40C28"/>
    <w:rsid w:val="00B41408"/>
    <w:rsid w:val="00B414FB"/>
    <w:rsid w:val="00B41935"/>
    <w:rsid w:val="00B42167"/>
    <w:rsid w:val="00B426C4"/>
    <w:rsid w:val="00B4281C"/>
    <w:rsid w:val="00B42C58"/>
    <w:rsid w:val="00B4361E"/>
    <w:rsid w:val="00B4379F"/>
    <w:rsid w:val="00B43A62"/>
    <w:rsid w:val="00B43E83"/>
    <w:rsid w:val="00B444D9"/>
    <w:rsid w:val="00B4458D"/>
    <w:rsid w:val="00B44E22"/>
    <w:rsid w:val="00B45099"/>
    <w:rsid w:val="00B45217"/>
    <w:rsid w:val="00B4536E"/>
    <w:rsid w:val="00B455A7"/>
    <w:rsid w:val="00B45853"/>
    <w:rsid w:val="00B45CE2"/>
    <w:rsid w:val="00B4615A"/>
    <w:rsid w:val="00B4632B"/>
    <w:rsid w:val="00B46491"/>
    <w:rsid w:val="00B46503"/>
    <w:rsid w:val="00B46EB1"/>
    <w:rsid w:val="00B4707F"/>
    <w:rsid w:val="00B47231"/>
    <w:rsid w:val="00B472FD"/>
    <w:rsid w:val="00B474EA"/>
    <w:rsid w:val="00B47793"/>
    <w:rsid w:val="00B47E3A"/>
    <w:rsid w:val="00B50307"/>
    <w:rsid w:val="00B50432"/>
    <w:rsid w:val="00B50C5A"/>
    <w:rsid w:val="00B50F2D"/>
    <w:rsid w:val="00B510DA"/>
    <w:rsid w:val="00B51111"/>
    <w:rsid w:val="00B511B2"/>
    <w:rsid w:val="00B51202"/>
    <w:rsid w:val="00B51492"/>
    <w:rsid w:val="00B51777"/>
    <w:rsid w:val="00B51B77"/>
    <w:rsid w:val="00B524C5"/>
    <w:rsid w:val="00B52651"/>
    <w:rsid w:val="00B52852"/>
    <w:rsid w:val="00B5285A"/>
    <w:rsid w:val="00B530DD"/>
    <w:rsid w:val="00B53574"/>
    <w:rsid w:val="00B536FC"/>
    <w:rsid w:val="00B53A04"/>
    <w:rsid w:val="00B53DA6"/>
    <w:rsid w:val="00B541B4"/>
    <w:rsid w:val="00B54259"/>
    <w:rsid w:val="00B54761"/>
    <w:rsid w:val="00B549A3"/>
    <w:rsid w:val="00B55250"/>
    <w:rsid w:val="00B553E7"/>
    <w:rsid w:val="00B55F4D"/>
    <w:rsid w:val="00B57283"/>
    <w:rsid w:val="00B572FD"/>
    <w:rsid w:val="00B57353"/>
    <w:rsid w:val="00B573C3"/>
    <w:rsid w:val="00B576F4"/>
    <w:rsid w:val="00B57EB3"/>
    <w:rsid w:val="00B57F8A"/>
    <w:rsid w:val="00B6007E"/>
    <w:rsid w:val="00B6031F"/>
    <w:rsid w:val="00B60354"/>
    <w:rsid w:val="00B6066E"/>
    <w:rsid w:val="00B60803"/>
    <w:rsid w:val="00B608F7"/>
    <w:rsid w:val="00B60C18"/>
    <w:rsid w:val="00B61268"/>
    <w:rsid w:val="00B61399"/>
    <w:rsid w:val="00B616D9"/>
    <w:rsid w:val="00B61F43"/>
    <w:rsid w:val="00B62399"/>
    <w:rsid w:val="00B623DF"/>
    <w:rsid w:val="00B62A54"/>
    <w:rsid w:val="00B6300C"/>
    <w:rsid w:val="00B63352"/>
    <w:rsid w:val="00B63545"/>
    <w:rsid w:val="00B63594"/>
    <w:rsid w:val="00B6380F"/>
    <w:rsid w:val="00B63923"/>
    <w:rsid w:val="00B639F6"/>
    <w:rsid w:val="00B63B09"/>
    <w:rsid w:val="00B63C5C"/>
    <w:rsid w:val="00B63E5E"/>
    <w:rsid w:val="00B63F66"/>
    <w:rsid w:val="00B640F0"/>
    <w:rsid w:val="00B64289"/>
    <w:rsid w:val="00B64A1A"/>
    <w:rsid w:val="00B64F80"/>
    <w:rsid w:val="00B64FE7"/>
    <w:rsid w:val="00B6526E"/>
    <w:rsid w:val="00B65AB6"/>
    <w:rsid w:val="00B65B76"/>
    <w:rsid w:val="00B66409"/>
    <w:rsid w:val="00B665F4"/>
    <w:rsid w:val="00B66826"/>
    <w:rsid w:val="00B670F5"/>
    <w:rsid w:val="00B673C2"/>
    <w:rsid w:val="00B67887"/>
    <w:rsid w:val="00B67C4E"/>
    <w:rsid w:val="00B70081"/>
    <w:rsid w:val="00B71195"/>
    <w:rsid w:val="00B716EE"/>
    <w:rsid w:val="00B71A31"/>
    <w:rsid w:val="00B71ADB"/>
    <w:rsid w:val="00B71E1F"/>
    <w:rsid w:val="00B72569"/>
    <w:rsid w:val="00B72650"/>
    <w:rsid w:val="00B72795"/>
    <w:rsid w:val="00B729BC"/>
    <w:rsid w:val="00B731C5"/>
    <w:rsid w:val="00B7325A"/>
    <w:rsid w:val="00B732BC"/>
    <w:rsid w:val="00B73AB9"/>
    <w:rsid w:val="00B73EA5"/>
    <w:rsid w:val="00B73F99"/>
    <w:rsid w:val="00B7415C"/>
    <w:rsid w:val="00B744F1"/>
    <w:rsid w:val="00B74887"/>
    <w:rsid w:val="00B74AF4"/>
    <w:rsid w:val="00B74E66"/>
    <w:rsid w:val="00B752DA"/>
    <w:rsid w:val="00B7571B"/>
    <w:rsid w:val="00B75C41"/>
    <w:rsid w:val="00B75ECD"/>
    <w:rsid w:val="00B760EE"/>
    <w:rsid w:val="00B761BD"/>
    <w:rsid w:val="00B7621C"/>
    <w:rsid w:val="00B764B8"/>
    <w:rsid w:val="00B767C3"/>
    <w:rsid w:val="00B76A63"/>
    <w:rsid w:val="00B76D37"/>
    <w:rsid w:val="00B76E9D"/>
    <w:rsid w:val="00B77094"/>
    <w:rsid w:val="00B773D7"/>
    <w:rsid w:val="00B77B18"/>
    <w:rsid w:val="00B77BD1"/>
    <w:rsid w:val="00B804C8"/>
    <w:rsid w:val="00B806A4"/>
    <w:rsid w:val="00B8084C"/>
    <w:rsid w:val="00B80A70"/>
    <w:rsid w:val="00B80F81"/>
    <w:rsid w:val="00B81E1F"/>
    <w:rsid w:val="00B81E26"/>
    <w:rsid w:val="00B820A2"/>
    <w:rsid w:val="00B82264"/>
    <w:rsid w:val="00B82F6D"/>
    <w:rsid w:val="00B831C8"/>
    <w:rsid w:val="00B83354"/>
    <w:rsid w:val="00B83773"/>
    <w:rsid w:val="00B8426A"/>
    <w:rsid w:val="00B843A1"/>
    <w:rsid w:val="00B8440D"/>
    <w:rsid w:val="00B84486"/>
    <w:rsid w:val="00B84674"/>
    <w:rsid w:val="00B84FEF"/>
    <w:rsid w:val="00B856BB"/>
    <w:rsid w:val="00B85973"/>
    <w:rsid w:val="00B85B83"/>
    <w:rsid w:val="00B863D2"/>
    <w:rsid w:val="00B86ECF"/>
    <w:rsid w:val="00B87199"/>
    <w:rsid w:val="00B87368"/>
    <w:rsid w:val="00B875C7"/>
    <w:rsid w:val="00B87660"/>
    <w:rsid w:val="00B8797D"/>
    <w:rsid w:val="00B90153"/>
    <w:rsid w:val="00B90201"/>
    <w:rsid w:val="00B9038F"/>
    <w:rsid w:val="00B907C4"/>
    <w:rsid w:val="00B907D3"/>
    <w:rsid w:val="00B90EE9"/>
    <w:rsid w:val="00B91182"/>
    <w:rsid w:val="00B9166A"/>
    <w:rsid w:val="00B918A6"/>
    <w:rsid w:val="00B91E9F"/>
    <w:rsid w:val="00B92669"/>
    <w:rsid w:val="00B926C1"/>
    <w:rsid w:val="00B92B44"/>
    <w:rsid w:val="00B92CB7"/>
    <w:rsid w:val="00B9341D"/>
    <w:rsid w:val="00B935CA"/>
    <w:rsid w:val="00B93910"/>
    <w:rsid w:val="00B939DE"/>
    <w:rsid w:val="00B93B33"/>
    <w:rsid w:val="00B93B38"/>
    <w:rsid w:val="00B93DE4"/>
    <w:rsid w:val="00B94303"/>
    <w:rsid w:val="00B94BD0"/>
    <w:rsid w:val="00B951EE"/>
    <w:rsid w:val="00B9566D"/>
    <w:rsid w:val="00B9578D"/>
    <w:rsid w:val="00B95A23"/>
    <w:rsid w:val="00B9615A"/>
    <w:rsid w:val="00B96177"/>
    <w:rsid w:val="00B96398"/>
    <w:rsid w:val="00B96670"/>
    <w:rsid w:val="00B9708B"/>
    <w:rsid w:val="00B97C0B"/>
    <w:rsid w:val="00B97CEE"/>
    <w:rsid w:val="00B97EBC"/>
    <w:rsid w:val="00BA01D7"/>
    <w:rsid w:val="00BA0429"/>
    <w:rsid w:val="00BA0511"/>
    <w:rsid w:val="00BA0592"/>
    <w:rsid w:val="00BA05C1"/>
    <w:rsid w:val="00BA11E3"/>
    <w:rsid w:val="00BA1472"/>
    <w:rsid w:val="00BA1522"/>
    <w:rsid w:val="00BA1534"/>
    <w:rsid w:val="00BA1610"/>
    <w:rsid w:val="00BA167F"/>
    <w:rsid w:val="00BA1F67"/>
    <w:rsid w:val="00BA2C4D"/>
    <w:rsid w:val="00BA337D"/>
    <w:rsid w:val="00BA360E"/>
    <w:rsid w:val="00BA3719"/>
    <w:rsid w:val="00BA3E68"/>
    <w:rsid w:val="00BA42A2"/>
    <w:rsid w:val="00BA456C"/>
    <w:rsid w:val="00BA4899"/>
    <w:rsid w:val="00BA492E"/>
    <w:rsid w:val="00BA4CA2"/>
    <w:rsid w:val="00BA4DA7"/>
    <w:rsid w:val="00BA4DC0"/>
    <w:rsid w:val="00BA4DC5"/>
    <w:rsid w:val="00BA527D"/>
    <w:rsid w:val="00BA542E"/>
    <w:rsid w:val="00BA580E"/>
    <w:rsid w:val="00BA5A9E"/>
    <w:rsid w:val="00BA5ACB"/>
    <w:rsid w:val="00BA5BB8"/>
    <w:rsid w:val="00BA5D3D"/>
    <w:rsid w:val="00BA5DF9"/>
    <w:rsid w:val="00BA6580"/>
    <w:rsid w:val="00BA6BFD"/>
    <w:rsid w:val="00BA6C51"/>
    <w:rsid w:val="00BA7098"/>
    <w:rsid w:val="00BA75E9"/>
    <w:rsid w:val="00BA76F0"/>
    <w:rsid w:val="00BA77C0"/>
    <w:rsid w:val="00BA78B0"/>
    <w:rsid w:val="00BA790A"/>
    <w:rsid w:val="00BA7A64"/>
    <w:rsid w:val="00BA7AC1"/>
    <w:rsid w:val="00BA7E00"/>
    <w:rsid w:val="00BB0066"/>
    <w:rsid w:val="00BB1024"/>
    <w:rsid w:val="00BB1087"/>
    <w:rsid w:val="00BB1394"/>
    <w:rsid w:val="00BB1482"/>
    <w:rsid w:val="00BB18D5"/>
    <w:rsid w:val="00BB205C"/>
    <w:rsid w:val="00BB25AE"/>
    <w:rsid w:val="00BB264A"/>
    <w:rsid w:val="00BB26E3"/>
    <w:rsid w:val="00BB2911"/>
    <w:rsid w:val="00BB33D7"/>
    <w:rsid w:val="00BB37EB"/>
    <w:rsid w:val="00BB4236"/>
    <w:rsid w:val="00BB4486"/>
    <w:rsid w:val="00BB50B3"/>
    <w:rsid w:val="00BB54B0"/>
    <w:rsid w:val="00BB54C3"/>
    <w:rsid w:val="00BB5507"/>
    <w:rsid w:val="00BB55BB"/>
    <w:rsid w:val="00BB56DF"/>
    <w:rsid w:val="00BB5F4A"/>
    <w:rsid w:val="00BB65FC"/>
    <w:rsid w:val="00BB7A5B"/>
    <w:rsid w:val="00BB7E20"/>
    <w:rsid w:val="00BC0316"/>
    <w:rsid w:val="00BC06AD"/>
    <w:rsid w:val="00BC0A16"/>
    <w:rsid w:val="00BC0C8D"/>
    <w:rsid w:val="00BC0CB7"/>
    <w:rsid w:val="00BC1177"/>
    <w:rsid w:val="00BC17B1"/>
    <w:rsid w:val="00BC1BB1"/>
    <w:rsid w:val="00BC1EA2"/>
    <w:rsid w:val="00BC1F87"/>
    <w:rsid w:val="00BC1FB1"/>
    <w:rsid w:val="00BC1FB3"/>
    <w:rsid w:val="00BC25C5"/>
    <w:rsid w:val="00BC2679"/>
    <w:rsid w:val="00BC2BC0"/>
    <w:rsid w:val="00BC2DED"/>
    <w:rsid w:val="00BC2F0C"/>
    <w:rsid w:val="00BC3A7E"/>
    <w:rsid w:val="00BC3B0F"/>
    <w:rsid w:val="00BC434A"/>
    <w:rsid w:val="00BC4878"/>
    <w:rsid w:val="00BC4A93"/>
    <w:rsid w:val="00BC4C48"/>
    <w:rsid w:val="00BC50DC"/>
    <w:rsid w:val="00BC5145"/>
    <w:rsid w:val="00BC53EB"/>
    <w:rsid w:val="00BC5C54"/>
    <w:rsid w:val="00BC5C84"/>
    <w:rsid w:val="00BC5FEB"/>
    <w:rsid w:val="00BC610F"/>
    <w:rsid w:val="00BC6541"/>
    <w:rsid w:val="00BC6C52"/>
    <w:rsid w:val="00BC6F21"/>
    <w:rsid w:val="00BC6FAC"/>
    <w:rsid w:val="00BC719A"/>
    <w:rsid w:val="00BC7C30"/>
    <w:rsid w:val="00BD0143"/>
    <w:rsid w:val="00BD0552"/>
    <w:rsid w:val="00BD06DF"/>
    <w:rsid w:val="00BD0840"/>
    <w:rsid w:val="00BD0BB3"/>
    <w:rsid w:val="00BD1151"/>
    <w:rsid w:val="00BD1682"/>
    <w:rsid w:val="00BD1CC9"/>
    <w:rsid w:val="00BD1F53"/>
    <w:rsid w:val="00BD1F5E"/>
    <w:rsid w:val="00BD239E"/>
    <w:rsid w:val="00BD28CC"/>
    <w:rsid w:val="00BD2A71"/>
    <w:rsid w:val="00BD2EE7"/>
    <w:rsid w:val="00BD3055"/>
    <w:rsid w:val="00BD30AC"/>
    <w:rsid w:val="00BD34BB"/>
    <w:rsid w:val="00BD3724"/>
    <w:rsid w:val="00BD3A83"/>
    <w:rsid w:val="00BD3BB1"/>
    <w:rsid w:val="00BD47BE"/>
    <w:rsid w:val="00BD4D76"/>
    <w:rsid w:val="00BD4E2F"/>
    <w:rsid w:val="00BD598F"/>
    <w:rsid w:val="00BD66AF"/>
    <w:rsid w:val="00BD68EB"/>
    <w:rsid w:val="00BD6C44"/>
    <w:rsid w:val="00BD6E3F"/>
    <w:rsid w:val="00BD7253"/>
    <w:rsid w:val="00BD72EC"/>
    <w:rsid w:val="00BE006D"/>
    <w:rsid w:val="00BE0344"/>
    <w:rsid w:val="00BE03B7"/>
    <w:rsid w:val="00BE079A"/>
    <w:rsid w:val="00BE1104"/>
    <w:rsid w:val="00BE11D8"/>
    <w:rsid w:val="00BE1429"/>
    <w:rsid w:val="00BE1677"/>
    <w:rsid w:val="00BE1B3B"/>
    <w:rsid w:val="00BE1C32"/>
    <w:rsid w:val="00BE1ECA"/>
    <w:rsid w:val="00BE2226"/>
    <w:rsid w:val="00BE24A0"/>
    <w:rsid w:val="00BE2751"/>
    <w:rsid w:val="00BE2B0E"/>
    <w:rsid w:val="00BE2EBE"/>
    <w:rsid w:val="00BE2F07"/>
    <w:rsid w:val="00BE3C76"/>
    <w:rsid w:val="00BE435E"/>
    <w:rsid w:val="00BE454D"/>
    <w:rsid w:val="00BE5652"/>
    <w:rsid w:val="00BE5952"/>
    <w:rsid w:val="00BE59C7"/>
    <w:rsid w:val="00BE5B46"/>
    <w:rsid w:val="00BE5CD1"/>
    <w:rsid w:val="00BE5CFC"/>
    <w:rsid w:val="00BE68FC"/>
    <w:rsid w:val="00BE6DCA"/>
    <w:rsid w:val="00BE6E34"/>
    <w:rsid w:val="00BE7052"/>
    <w:rsid w:val="00BE750F"/>
    <w:rsid w:val="00BE7A94"/>
    <w:rsid w:val="00BE7B86"/>
    <w:rsid w:val="00BF03CC"/>
    <w:rsid w:val="00BF08A2"/>
    <w:rsid w:val="00BF106E"/>
    <w:rsid w:val="00BF124F"/>
    <w:rsid w:val="00BF18E2"/>
    <w:rsid w:val="00BF1AA0"/>
    <w:rsid w:val="00BF1F5C"/>
    <w:rsid w:val="00BF1FA7"/>
    <w:rsid w:val="00BF2022"/>
    <w:rsid w:val="00BF20FC"/>
    <w:rsid w:val="00BF2432"/>
    <w:rsid w:val="00BF2C96"/>
    <w:rsid w:val="00BF2F87"/>
    <w:rsid w:val="00BF2FCE"/>
    <w:rsid w:val="00BF3066"/>
    <w:rsid w:val="00BF3AA2"/>
    <w:rsid w:val="00BF4353"/>
    <w:rsid w:val="00BF4445"/>
    <w:rsid w:val="00BF4742"/>
    <w:rsid w:val="00BF4A1C"/>
    <w:rsid w:val="00BF4CE1"/>
    <w:rsid w:val="00BF4D8F"/>
    <w:rsid w:val="00BF4EE4"/>
    <w:rsid w:val="00BF5605"/>
    <w:rsid w:val="00BF60E5"/>
    <w:rsid w:val="00BF620E"/>
    <w:rsid w:val="00BF680D"/>
    <w:rsid w:val="00BF6C5A"/>
    <w:rsid w:val="00BF6ECF"/>
    <w:rsid w:val="00BF6FF8"/>
    <w:rsid w:val="00BF7049"/>
    <w:rsid w:val="00BF7436"/>
    <w:rsid w:val="00BF7583"/>
    <w:rsid w:val="00BF77D8"/>
    <w:rsid w:val="00BF7993"/>
    <w:rsid w:val="00BF7C45"/>
    <w:rsid w:val="00BF7E7C"/>
    <w:rsid w:val="00C0012F"/>
    <w:rsid w:val="00C004F6"/>
    <w:rsid w:val="00C00562"/>
    <w:rsid w:val="00C006A1"/>
    <w:rsid w:val="00C0084C"/>
    <w:rsid w:val="00C012D0"/>
    <w:rsid w:val="00C016D9"/>
    <w:rsid w:val="00C01943"/>
    <w:rsid w:val="00C02085"/>
    <w:rsid w:val="00C028AC"/>
    <w:rsid w:val="00C02A24"/>
    <w:rsid w:val="00C0369A"/>
    <w:rsid w:val="00C03775"/>
    <w:rsid w:val="00C03CFF"/>
    <w:rsid w:val="00C043F6"/>
    <w:rsid w:val="00C04914"/>
    <w:rsid w:val="00C04D4D"/>
    <w:rsid w:val="00C050DC"/>
    <w:rsid w:val="00C051BB"/>
    <w:rsid w:val="00C05B50"/>
    <w:rsid w:val="00C05E24"/>
    <w:rsid w:val="00C0611D"/>
    <w:rsid w:val="00C0677D"/>
    <w:rsid w:val="00C06998"/>
    <w:rsid w:val="00C06F08"/>
    <w:rsid w:val="00C06FD6"/>
    <w:rsid w:val="00C07207"/>
    <w:rsid w:val="00C078D9"/>
    <w:rsid w:val="00C07CDA"/>
    <w:rsid w:val="00C104CB"/>
    <w:rsid w:val="00C104EF"/>
    <w:rsid w:val="00C10ACF"/>
    <w:rsid w:val="00C11843"/>
    <w:rsid w:val="00C11FF0"/>
    <w:rsid w:val="00C1211C"/>
    <w:rsid w:val="00C12272"/>
    <w:rsid w:val="00C127F7"/>
    <w:rsid w:val="00C12831"/>
    <w:rsid w:val="00C13469"/>
    <w:rsid w:val="00C13D7C"/>
    <w:rsid w:val="00C147AA"/>
    <w:rsid w:val="00C14D0C"/>
    <w:rsid w:val="00C14E81"/>
    <w:rsid w:val="00C15A42"/>
    <w:rsid w:val="00C15C60"/>
    <w:rsid w:val="00C15E89"/>
    <w:rsid w:val="00C15FD1"/>
    <w:rsid w:val="00C1633D"/>
    <w:rsid w:val="00C1640A"/>
    <w:rsid w:val="00C167F6"/>
    <w:rsid w:val="00C168A9"/>
    <w:rsid w:val="00C16BB8"/>
    <w:rsid w:val="00C16F2D"/>
    <w:rsid w:val="00C16F90"/>
    <w:rsid w:val="00C173DD"/>
    <w:rsid w:val="00C1762A"/>
    <w:rsid w:val="00C17B61"/>
    <w:rsid w:val="00C2079E"/>
    <w:rsid w:val="00C20AB9"/>
    <w:rsid w:val="00C20BB6"/>
    <w:rsid w:val="00C20CFE"/>
    <w:rsid w:val="00C20F1E"/>
    <w:rsid w:val="00C21268"/>
    <w:rsid w:val="00C214F0"/>
    <w:rsid w:val="00C221ED"/>
    <w:rsid w:val="00C22487"/>
    <w:rsid w:val="00C22B28"/>
    <w:rsid w:val="00C22BA8"/>
    <w:rsid w:val="00C22E83"/>
    <w:rsid w:val="00C22EA3"/>
    <w:rsid w:val="00C230EC"/>
    <w:rsid w:val="00C2349D"/>
    <w:rsid w:val="00C23AED"/>
    <w:rsid w:val="00C23B85"/>
    <w:rsid w:val="00C23CE8"/>
    <w:rsid w:val="00C24157"/>
    <w:rsid w:val="00C2497E"/>
    <w:rsid w:val="00C24A84"/>
    <w:rsid w:val="00C24A8A"/>
    <w:rsid w:val="00C24CEA"/>
    <w:rsid w:val="00C24E3A"/>
    <w:rsid w:val="00C24FE2"/>
    <w:rsid w:val="00C25119"/>
    <w:rsid w:val="00C2523B"/>
    <w:rsid w:val="00C25447"/>
    <w:rsid w:val="00C255E6"/>
    <w:rsid w:val="00C25713"/>
    <w:rsid w:val="00C2571B"/>
    <w:rsid w:val="00C25921"/>
    <w:rsid w:val="00C25D11"/>
    <w:rsid w:val="00C26046"/>
    <w:rsid w:val="00C261D6"/>
    <w:rsid w:val="00C26851"/>
    <w:rsid w:val="00C27FDE"/>
    <w:rsid w:val="00C30190"/>
    <w:rsid w:val="00C30BEB"/>
    <w:rsid w:val="00C30E7E"/>
    <w:rsid w:val="00C31397"/>
    <w:rsid w:val="00C314CB"/>
    <w:rsid w:val="00C3171E"/>
    <w:rsid w:val="00C31810"/>
    <w:rsid w:val="00C31980"/>
    <w:rsid w:val="00C31B00"/>
    <w:rsid w:val="00C31CE7"/>
    <w:rsid w:val="00C322D8"/>
    <w:rsid w:val="00C3234E"/>
    <w:rsid w:val="00C3261F"/>
    <w:rsid w:val="00C32AB8"/>
    <w:rsid w:val="00C32EEC"/>
    <w:rsid w:val="00C330EF"/>
    <w:rsid w:val="00C3316F"/>
    <w:rsid w:val="00C334B3"/>
    <w:rsid w:val="00C33839"/>
    <w:rsid w:val="00C33CEE"/>
    <w:rsid w:val="00C33FDD"/>
    <w:rsid w:val="00C341C0"/>
    <w:rsid w:val="00C34478"/>
    <w:rsid w:val="00C348BF"/>
    <w:rsid w:val="00C34CBE"/>
    <w:rsid w:val="00C34CE4"/>
    <w:rsid w:val="00C3550F"/>
    <w:rsid w:val="00C35BEB"/>
    <w:rsid w:val="00C35DA7"/>
    <w:rsid w:val="00C36146"/>
    <w:rsid w:val="00C36547"/>
    <w:rsid w:val="00C36609"/>
    <w:rsid w:val="00C36A58"/>
    <w:rsid w:val="00C36D29"/>
    <w:rsid w:val="00C372E2"/>
    <w:rsid w:val="00C37484"/>
    <w:rsid w:val="00C379F7"/>
    <w:rsid w:val="00C37DA2"/>
    <w:rsid w:val="00C37FA1"/>
    <w:rsid w:val="00C4015A"/>
    <w:rsid w:val="00C4018B"/>
    <w:rsid w:val="00C40740"/>
    <w:rsid w:val="00C40999"/>
    <w:rsid w:val="00C40ED6"/>
    <w:rsid w:val="00C410FF"/>
    <w:rsid w:val="00C413FA"/>
    <w:rsid w:val="00C415AF"/>
    <w:rsid w:val="00C425D0"/>
    <w:rsid w:val="00C429A3"/>
    <w:rsid w:val="00C42EE3"/>
    <w:rsid w:val="00C436D2"/>
    <w:rsid w:val="00C43923"/>
    <w:rsid w:val="00C439A6"/>
    <w:rsid w:val="00C43B97"/>
    <w:rsid w:val="00C43CE5"/>
    <w:rsid w:val="00C440F8"/>
    <w:rsid w:val="00C4427A"/>
    <w:rsid w:val="00C44C7A"/>
    <w:rsid w:val="00C4503A"/>
    <w:rsid w:val="00C45331"/>
    <w:rsid w:val="00C453E1"/>
    <w:rsid w:val="00C45601"/>
    <w:rsid w:val="00C4592E"/>
    <w:rsid w:val="00C4605A"/>
    <w:rsid w:val="00C473C8"/>
    <w:rsid w:val="00C478DD"/>
    <w:rsid w:val="00C47B0C"/>
    <w:rsid w:val="00C47B99"/>
    <w:rsid w:val="00C47D93"/>
    <w:rsid w:val="00C50224"/>
    <w:rsid w:val="00C5053E"/>
    <w:rsid w:val="00C5097F"/>
    <w:rsid w:val="00C515C2"/>
    <w:rsid w:val="00C515DF"/>
    <w:rsid w:val="00C521DF"/>
    <w:rsid w:val="00C52A6E"/>
    <w:rsid w:val="00C52C89"/>
    <w:rsid w:val="00C53BDC"/>
    <w:rsid w:val="00C5405C"/>
    <w:rsid w:val="00C5407A"/>
    <w:rsid w:val="00C552F9"/>
    <w:rsid w:val="00C55448"/>
    <w:rsid w:val="00C5549C"/>
    <w:rsid w:val="00C562EF"/>
    <w:rsid w:val="00C56857"/>
    <w:rsid w:val="00C5709C"/>
    <w:rsid w:val="00C570D7"/>
    <w:rsid w:val="00C57725"/>
    <w:rsid w:val="00C57A04"/>
    <w:rsid w:val="00C57B00"/>
    <w:rsid w:val="00C57C81"/>
    <w:rsid w:val="00C57C8D"/>
    <w:rsid w:val="00C57CFF"/>
    <w:rsid w:val="00C57DDA"/>
    <w:rsid w:val="00C609B5"/>
    <w:rsid w:val="00C60A49"/>
    <w:rsid w:val="00C61277"/>
    <w:rsid w:val="00C61552"/>
    <w:rsid w:val="00C61DB8"/>
    <w:rsid w:val="00C6219A"/>
    <w:rsid w:val="00C62545"/>
    <w:rsid w:val="00C62861"/>
    <w:rsid w:val="00C62CC8"/>
    <w:rsid w:val="00C632DE"/>
    <w:rsid w:val="00C63509"/>
    <w:rsid w:val="00C637CC"/>
    <w:rsid w:val="00C63871"/>
    <w:rsid w:val="00C638FD"/>
    <w:rsid w:val="00C63AC8"/>
    <w:rsid w:val="00C63F76"/>
    <w:rsid w:val="00C64079"/>
    <w:rsid w:val="00C64519"/>
    <w:rsid w:val="00C64697"/>
    <w:rsid w:val="00C64838"/>
    <w:rsid w:val="00C64909"/>
    <w:rsid w:val="00C64B1F"/>
    <w:rsid w:val="00C64C68"/>
    <w:rsid w:val="00C65426"/>
    <w:rsid w:val="00C65673"/>
    <w:rsid w:val="00C65A19"/>
    <w:rsid w:val="00C65E28"/>
    <w:rsid w:val="00C66073"/>
    <w:rsid w:val="00C665BD"/>
    <w:rsid w:val="00C669EB"/>
    <w:rsid w:val="00C66C9A"/>
    <w:rsid w:val="00C67345"/>
    <w:rsid w:val="00C67397"/>
    <w:rsid w:val="00C67986"/>
    <w:rsid w:val="00C67D8F"/>
    <w:rsid w:val="00C704F2"/>
    <w:rsid w:val="00C70892"/>
    <w:rsid w:val="00C71304"/>
    <w:rsid w:val="00C71483"/>
    <w:rsid w:val="00C7182B"/>
    <w:rsid w:val="00C71ACF"/>
    <w:rsid w:val="00C71E86"/>
    <w:rsid w:val="00C720D8"/>
    <w:rsid w:val="00C721B9"/>
    <w:rsid w:val="00C722A7"/>
    <w:rsid w:val="00C7250B"/>
    <w:rsid w:val="00C72872"/>
    <w:rsid w:val="00C72B52"/>
    <w:rsid w:val="00C72DB9"/>
    <w:rsid w:val="00C72EC9"/>
    <w:rsid w:val="00C72FDB"/>
    <w:rsid w:val="00C7303D"/>
    <w:rsid w:val="00C73516"/>
    <w:rsid w:val="00C73779"/>
    <w:rsid w:val="00C73C3B"/>
    <w:rsid w:val="00C73D4D"/>
    <w:rsid w:val="00C7449C"/>
    <w:rsid w:val="00C74509"/>
    <w:rsid w:val="00C74DCD"/>
    <w:rsid w:val="00C74EC6"/>
    <w:rsid w:val="00C75569"/>
    <w:rsid w:val="00C756F1"/>
    <w:rsid w:val="00C7597C"/>
    <w:rsid w:val="00C75AC8"/>
    <w:rsid w:val="00C75ADE"/>
    <w:rsid w:val="00C75DC7"/>
    <w:rsid w:val="00C75FD6"/>
    <w:rsid w:val="00C760E3"/>
    <w:rsid w:val="00C77AE0"/>
    <w:rsid w:val="00C77CFF"/>
    <w:rsid w:val="00C77E40"/>
    <w:rsid w:val="00C77E47"/>
    <w:rsid w:val="00C804F3"/>
    <w:rsid w:val="00C80FB0"/>
    <w:rsid w:val="00C8105B"/>
    <w:rsid w:val="00C8186E"/>
    <w:rsid w:val="00C81A40"/>
    <w:rsid w:val="00C81B47"/>
    <w:rsid w:val="00C81B6D"/>
    <w:rsid w:val="00C81C89"/>
    <w:rsid w:val="00C81D48"/>
    <w:rsid w:val="00C826B4"/>
    <w:rsid w:val="00C826BD"/>
    <w:rsid w:val="00C82A67"/>
    <w:rsid w:val="00C82BA7"/>
    <w:rsid w:val="00C83298"/>
    <w:rsid w:val="00C8336A"/>
    <w:rsid w:val="00C83865"/>
    <w:rsid w:val="00C838DC"/>
    <w:rsid w:val="00C83B1E"/>
    <w:rsid w:val="00C841BC"/>
    <w:rsid w:val="00C8437C"/>
    <w:rsid w:val="00C84414"/>
    <w:rsid w:val="00C84EA7"/>
    <w:rsid w:val="00C84F3F"/>
    <w:rsid w:val="00C85ABC"/>
    <w:rsid w:val="00C85D64"/>
    <w:rsid w:val="00C86018"/>
    <w:rsid w:val="00C86406"/>
    <w:rsid w:val="00C86798"/>
    <w:rsid w:val="00C868A1"/>
    <w:rsid w:val="00C873AA"/>
    <w:rsid w:val="00C87719"/>
    <w:rsid w:val="00C87C4B"/>
    <w:rsid w:val="00C90111"/>
    <w:rsid w:val="00C90266"/>
    <w:rsid w:val="00C9030D"/>
    <w:rsid w:val="00C904D5"/>
    <w:rsid w:val="00C908C0"/>
    <w:rsid w:val="00C910C4"/>
    <w:rsid w:val="00C910EE"/>
    <w:rsid w:val="00C9183B"/>
    <w:rsid w:val="00C918DF"/>
    <w:rsid w:val="00C9194E"/>
    <w:rsid w:val="00C919BB"/>
    <w:rsid w:val="00C91ACD"/>
    <w:rsid w:val="00C91EF4"/>
    <w:rsid w:val="00C92369"/>
    <w:rsid w:val="00C92B7A"/>
    <w:rsid w:val="00C92C41"/>
    <w:rsid w:val="00C92DCC"/>
    <w:rsid w:val="00C92E33"/>
    <w:rsid w:val="00C92EE9"/>
    <w:rsid w:val="00C932A0"/>
    <w:rsid w:val="00C934D7"/>
    <w:rsid w:val="00C93820"/>
    <w:rsid w:val="00C93929"/>
    <w:rsid w:val="00C94C1E"/>
    <w:rsid w:val="00C94D73"/>
    <w:rsid w:val="00C94E9F"/>
    <w:rsid w:val="00C951BF"/>
    <w:rsid w:val="00C9522D"/>
    <w:rsid w:val="00C95877"/>
    <w:rsid w:val="00C95A21"/>
    <w:rsid w:val="00C95ED3"/>
    <w:rsid w:val="00C960EB"/>
    <w:rsid w:val="00C96672"/>
    <w:rsid w:val="00C96776"/>
    <w:rsid w:val="00C967FD"/>
    <w:rsid w:val="00C96C8D"/>
    <w:rsid w:val="00C971EE"/>
    <w:rsid w:val="00C9774D"/>
    <w:rsid w:val="00CA04C2"/>
    <w:rsid w:val="00CA143E"/>
    <w:rsid w:val="00CA1789"/>
    <w:rsid w:val="00CA193A"/>
    <w:rsid w:val="00CA2935"/>
    <w:rsid w:val="00CA29B1"/>
    <w:rsid w:val="00CA2CFE"/>
    <w:rsid w:val="00CA2F67"/>
    <w:rsid w:val="00CA342E"/>
    <w:rsid w:val="00CA37BA"/>
    <w:rsid w:val="00CA3F8C"/>
    <w:rsid w:val="00CA42B3"/>
    <w:rsid w:val="00CA4A90"/>
    <w:rsid w:val="00CA50D0"/>
    <w:rsid w:val="00CA535D"/>
    <w:rsid w:val="00CA5445"/>
    <w:rsid w:val="00CA5921"/>
    <w:rsid w:val="00CA643A"/>
    <w:rsid w:val="00CA6475"/>
    <w:rsid w:val="00CA6A63"/>
    <w:rsid w:val="00CA6A9C"/>
    <w:rsid w:val="00CA7315"/>
    <w:rsid w:val="00CA793D"/>
    <w:rsid w:val="00CB01F3"/>
    <w:rsid w:val="00CB0328"/>
    <w:rsid w:val="00CB064A"/>
    <w:rsid w:val="00CB0D96"/>
    <w:rsid w:val="00CB1055"/>
    <w:rsid w:val="00CB29C7"/>
    <w:rsid w:val="00CB2F21"/>
    <w:rsid w:val="00CB303E"/>
    <w:rsid w:val="00CB387A"/>
    <w:rsid w:val="00CB3BA9"/>
    <w:rsid w:val="00CB4883"/>
    <w:rsid w:val="00CB4AE8"/>
    <w:rsid w:val="00CB4D17"/>
    <w:rsid w:val="00CB4D82"/>
    <w:rsid w:val="00CB4EFC"/>
    <w:rsid w:val="00CB51FF"/>
    <w:rsid w:val="00CB525A"/>
    <w:rsid w:val="00CB53E3"/>
    <w:rsid w:val="00CB53E9"/>
    <w:rsid w:val="00CB550E"/>
    <w:rsid w:val="00CB559F"/>
    <w:rsid w:val="00CB5657"/>
    <w:rsid w:val="00CB573A"/>
    <w:rsid w:val="00CB577A"/>
    <w:rsid w:val="00CB586A"/>
    <w:rsid w:val="00CB58DE"/>
    <w:rsid w:val="00CB5C8A"/>
    <w:rsid w:val="00CB65E7"/>
    <w:rsid w:val="00CB676D"/>
    <w:rsid w:val="00CB6820"/>
    <w:rsid w:val="00CB6D1E"/>
    <w:rsid w:val="00CB6DD0"/>
    <w:rsid w:val="00CB72D5"/>
    <w:rsid w:val="00CB7469"/>
    <w:rsid w:val="00CB7C90"/>
    <w:rsid w:val="00CB7F97"/>
    <w:rsid w:val="00CC0994"/>
    <w:rsid w:val="00CC0B5D"/>
    <w:rsid w:val="00CC0B8B"/>
    <w:rsid w:val="00CC0C34"/>
    <w:rsid w:val="00CC0C70"/>
    <w:rsid w:val="00CC0CC4"/>
    <w:rsid w:val="00CC0CCF"/>
    <w:rsid w:val="00CC0EAF"/>
    <w:rsid w:val="00CC0ED9"/>
    <w:rsid w:val="00CC106A"/>
    <w:rsid w:val="00CC10AB"/>
    <w:rsid w:val="00CC1781"/>
    <w:rsid w:val="00CC2020"/>
    <w:rsid w:val="00CC288A"/>
    <w:rsid w:val="00CC2A70"/>
    <w:rsid w:val="00CC2B03"/>
    <w:rsid w:val="00CC3169"/>
    <w:rsid w:val="00CC32A3"/>
    <w:rsid w:val="00CC3760"/>
    <w:rsid w:val="00CC3A7A"/>
    <w:rsid w:val="00CC3C77"/>
    <w:rsid w:val="00CC3CC1"/>
    <w:rsid w:val="00CC4C63"/>
    <w:rsid w:val="00CC4E27"/>
    <w:rsid w:val="00CC5561"/>
    <w:rsid w:val="00CC5C31"/>
    <w:rsid w:val="00CC61D2"/>
    <w:rsid w:val="00CC657B"/>
    <w:rsid w:val="00CC696C"/>
    <w:rsid w:val="00CC6B92"/>
    <w:rsid w:val="00CC6C6B"/>
    <w:rsid w:val="00CC6D60"/>
    <w:rsid w:val="00CC7294"/>
    <w:rsid w:val="00CC748A"/>
    <w:rsid w:val="00CC7780"/>
    <w:rsid w:val="00CC7EC1"/>
    <w:rsid w:val="00CD025F"/>
    <w:rsid w:val="00CD0318"/>
    <w:rsid w:val="00CD099D"/>
    <w:rsid w:val="00CD14E2"/>
    <w:rsid w:val="00CD164F"/>
    <w:rsid w:val="00CD1711"/>
    <w:rsid w:val="00CD1C1E"/>
    <w:rsid w:val="00CD2374"/>
    <w:rsid w:val="00CD2BDB"/>
    <w:rsid w:val="00CD40B1"/>
    <w:rsid w:val="00CD41F6"/>
    <w:rsid w:val="00CD4397"/>
    <w:rsid w:val="00CD4466"/>
    <w:rsid w:val="00CD47EB"/>
    <w:rsid w:val="00CD494F"/>
    <w:rsid w:val="00CD4BD4"/>
    <w:rsid w:val="00CD5106"/>
    <w:rsid w:val="00CD58CC"/>
    <w:rsid w:val="00CD59A0"/>
    <w:rsid w:val="00CD5A20"/>
    <w:rsid w:val="00CD5AFC"/>
    <w:rsid w:val="00CD5B5F"/>
    <w:rsid w:val="00CD5B9D"/>
    <w:rsid w:val="00CD5BA3"/>
    <w:rsid w:val="00CD5C6B"/>
    <w:rsid w:val="00CD5F1D"/>
    <w:rsid w:val="00CD626F"/>
    <w:rsid w:val="00CD6462"/>
    <w:rsid w:val="00CD647B"/>
    <w:rsid w:val="00CD653D"/>
    <w:rsid w:val="00CD7255"/>
    <w:rsid w:val="00CD74CC"/>
    <w:rsid w:val="00CD7623"/>
    <w:rsid w:val="00CD763E"/>
    <w:rsid w:val="00CD764E"/>
    <w:rsid w:val="00CD7767"/>
    <w:rsid w:val="00CD793B"/>
    <w:rsid w:val="00CD7E2F"/>
    <w:rsid w:val="00CE0054"/>
    <w:rsid w:val="00CE0900"/>
    <w:rsid w:val="00CE09BA"/>
    <w:rsid w:val="00CE09D8"/>
    <w:rsid w:val="00CE0AEE"/>
    <w:rsid w:val="00CE0AEF"/>
    <w:rsid w:val="00CE0EA9"/>
    <w:rsid w:val="00CE0F60"/>
    <w:rsid w:val="00CE1227"/>
    <w:rsid w:val="00CE150A"/>
    <w:rsid w:val="00CE1AEE"/>
    <w:rsid w:val="00CE1F63"/>
    <w:rsid w:val="00CE2246"/>
    <w:rsid w:val="00CE2309"/>
    <w:rsid w:val="00CE252C"/>
    <w:rsid w:val="00CE2C5D"/>
    <w:rsid w:val="00CE2ECF"/>
    <w:rsid w:val="00CE31CF"/>
    <w:rsid w:val="00CE3473"/>
    <w:rsid w:val="00CE34E8"/>
    <w:rsid w:val="00CE3905"/>
    <w:rsid w:val="00CE3CA9"/>
    <w:rsid w:val="00CE40E8"/>
    <w:rsid w:val="00CE471E"/>
    <w:rsid w:val="00CE4720"/>
    <w:rsid w:val="00CE4859"/>
    <w:rsid w:val="00CE4BA8"/>
    <w:rsid w:val="00CE4FDA"/>
    <w:rsid w:val="00CE541C"/>
    <w:rsid w:val="00CE5597"/>
    <w:rsid w:val="00CE5AFB"/>
    <w:rsid w:val="00CE6A34"/>
    <w:rsid w:val="00CE6A56"/>
    <w:rsid w:val="00CE6DD9"/>
    <w:rsid w:val="00CE6FCB"/>
    <w:rsid w:val="00CE7862"/>
    <w:rsid w:val="00CE7C48"/>
    <w:rsid w:val="00CF0314"/>
    <w:rsid w:val="00CF0872"/>
    <w:rsid w:val="00CF08F5"/>
    <w:rsid w:val="00CF0905"/>
    <w:rsid w:val="00CF09B7"/>
    <w:rsid w:val="00CF0DBE"/>
    <w:rsid w:val="00CF107B"/>
    <w:rsid w:val="00CF1D26"/>
    <w:rsid w:val="00CF1E4E"/>
    <w:rsid w:val="00CF2052"/>
    <w:rsid w:val="00CF2241"/>
    <w:rsid w:val="00CF2396"/>
    <w:rsid w:val="00CF2A86"/>
    <w:rsid w:val="00CF2CC8"/>
    <w:rsid w:val="00CF2F43"/>
    <w:rsid w:val="00CF3557"/>
    <w:rsid w:val="00CF3577"/>
    <w:rsid w:val="00CF3583"/>
    <w:rsid w:val="00CF4367"/>
    <w:rsid w:val="00CF439F"/>
    <w:rsid w:val="00CF43E1"/>
    <w:rsid w:val="00CF465F"/>
    <w:rsid w:val="00CF4694"/>
    <w:rsid w:val="00CF5603"/>
    <w:rsid w:val="00CF5FE4"/>
    <w:rsid w:val="00CF657A"/>
    <w:rsid w:val="00CF6879"/>
    <w:rsid w:val="00CF6A15"/>
    <w:rsid w:val="00CF6A2F"/>
    <w:rsid w:val="00CF6FEE"/>
    <w:rsid w:val="00CF76BF"/>
    <w:rsid w:val="00CF7A36"/>
    <w:rsid w:val="00CF7AE4"/>
    <w:rsid w:val="00CF7F31"/>
    <w:rsid w:val="00D004DB"/>
    <w:rsid w:val="00D00A5B"/>
    <w:rsid w:val="00D00DDA"/>
    <w:rsid w:val="00D0113D"/>
    <w:rsid w:val="00D01835"/>
    <w:rsid w:val="00D01C47"/>
    <w:rsid w:val="00D02602"/>
    <w:rsid w:val="00D027D0"/>
    <w:rsid w:val="00D02B86"/>
    <w:rsid w:val="00D02EFD"/>
    <w:rsid w:val="00D0358A"/>
    <w:rsid w:val="00D03FC3"/>
    <w:rsid w:val="00D04142"/>
    <w:rsid w:val="00D045AB"/>
    <w:rsid w:val="00D0472C"/>
    <w:rsid w:val="00D04788"/>
    <w:rsid w:val="00D04C9A"/>
    <w:rsid w:val="00D04DE0"/>
    <w:rsid w:val="00D052EE"/>
    <w:rsid w:val="00D05C32"/>
    <w:rsid w:val="00D05C5A"/>
    <w:rsid w:val="00D05D75"/>
    <w:rsid w:val="00D06047"/>
    <w:rsid w:val="00D06BFB"/>
    <w:rsid w:val="00D07062"/>
    <w:rsid w:val="00D070A1"/>
    <w:rsid w:val="00D07E01"/>
    <w:rsid w:val="00D1023F"/>
    <w:rsid w:val="00D1024C"/>
    <w:rsid w:val="00D1045F"/>
    <w:rsid w:val="00D10479"/>
    <w:rsid w:val="00D1050F"/>
    <w:rsid w:val="00D105D9"/>
    <w:rsid w:val="00D10798"/>
    <w:rsid w:val="00D1092A"/>
    <w:rsid w:val="00D10FD3"/>
    <w:rsid w:val="00D110C0"/>
    <w:rsid w:val="00D11773"/>
    <w:rsid w:val="00D12893"/>
    <w:rsid w:val="00D12AF1"/>
    <w:rsid w:val="00D12BBC"/>
    <w:rsid w:val="00D12D1B"/>
    <w:rsid w:val="00D12EED"/>
    <w:rsid w:val="00D13014"/>
    <w:rsid w:val="00D1352A"/>
    <w:rsid w:val="00D13C5C"/>
    <w:rsid w:val="00D13E36"/>
    <w:rsid w:val="00D14381"/>
    <w:rsid w:val="00D1457B"/>
    <w:rsid w:val="00D1491C"/>
    <w:rsid w:val="00D14B8C"/>
    <w:rsid w:val="00D14C27"/>
    <w:rsid w:val="00D1563D"/>
    <w:rsid w:val="00D15C26"/>
    <w:rsid w:val="00D15E10"/>
    <w:rsid w:val="00D1622E"/>
    <w:rsid w:val="00D16277"/>
    <w:rsid w:val="00D16DBE"/>
    <w:rsid w:val="00D17139"/>
    <w:rsid w:val="00D17272"/>
    <w:rsid w:val="00D172DB"/>
    <w:rsid w:val="00D1735A"/>
    <w:rsid w:val="00D17418"/>
    <w:rsid w:val="00D179BE"/>
    <w:rsid w:val="00D17D61"/>
    <w:rsid w:val="00D17E4E"/>
    <w:rsid w:val="00D208CC"/>
    <w:rsid w:val="00D20AE0"/>
    <w:rsid w:val="00D20BA0"/>
    <w:rsid w:val="00D20DB1"/>
    <w:rsid w:val="00D210A5"/>
    <w:rsid w:val="00D215A8"/>
    <w:rsid w:val="00D21756"/>
    <w:rsid w:val="00D22510"/>
    <w:rsid w:val="00D227AC"/>
    <w:rsid w:val="00D22C6B"/>
    <w:rsid w:val="00D230CD"/>
    <w:rsid w:val="00D23D8E"/>
    <w:rsid w:val="00D23E87"/>
    <w:rsid w:val="00D24813"/>
    <w:rsid w:val="00D24869"/>
    <w:rsid w:val="00D2579F"/>
    <w:rsid w:val="00D25A74"/>
    <w:rsid w:val="00D26325"/>
    <w:rsid w:val="00D267BF"/>
    <w:rsid w:val="00D269DD"/>
    <w:rsid w:val="00D26A06"/>
    <w:rsid w:val="00D26B8F"/>
    <w:rsid w:val="00D272B6"/>
    <w:rsid w:val="00D27901"/>
    <w:rsid w:val="00D304DB"/>
    <w:rsid w:val="00D3069A"/>
    <w:rsid w:val="00D3078D"/>
    <w:rsid w:val="00D30938"/>
    <w:rsid w:val="00D30D0D"/>
    <w:rsid w:val="00D31046"/>
    <w:rsid w:val="00D311A5"/>
    <w:rsid w:val="00D31205"/>
    <w:rsid w:val="00D312AC"/>
    <w:rsid w:val="00D312E9"/>
    <w:rsid w:val="00D31475"/>
    <w:rsid w:val="00D31522"/>
    <w:rsid w:val="00D3161E"/>
    <w:rsid w:val="00D31CE1"/>
    <w:rsid w:val="00D32131"/>
    <w:rsid w:val="00D32700"/>
    <w:rsid w:val="00D329AE"/>
    <w:rsid w:val="00D32EB5"/>
    <w:rsid w:val="00D33665"/>
    <w:rsid w:val="00D3367D"/>
    <w:rsid w:val="00D33E21"/>
    <w:rsid w:val="00D34089"/>
    <w:rsid w:val="00D340EC"/>
    <w:rsid w:val="00D346A7"/>
    <w:rsid w:val="00D34915"/>
    <w:rsid w:val="00D349DE"/>
    <w:rsid w:val="00D34E90"/>
    <w:rsid w:val="00D34FA7"/>
    <w:rsid w:val="00D35300"/>
    <w:rsid w:val="00D35316"/>
    <w:rsid w:val="00D35DB2"/>
    <w:rsid w:val="00D3601A"/>
    <w:rsid w:val="00D36231"/>
    <w:rsid w:val="00D364DC"/>
    <w:rsid w:val="00D367FB"/>
    <w:rsid w:val="00D368AD"/>
    <w:rsid w:val="00D36AF9"/>
    <w:rsid w:val="00D36E79"/>
    <w:rsid w:val="00D4015B"/>
    <w:rsid w:val="00D4045F"/>
    <w:rsid w:val="00D406C0"/>
    <w:rsid w:val="00D40737"/>
    <w:rsid w:val="00D408AE"/>
    <w:rsid w:val="00D40D44"/>
    <w:rsid w:val="00D40DD4"/>
    <w:rsid w:val="00D41308"/>
    <w:rsid w:val="00D41BE1"/>
    <w:rsid w:val="00D41C71"/>
    <w:rsid w:val="00D41DFC"/>
    <w:rsid w:val="00D42AD9"/>
    <w:rsid w:val="00D42BAB"/>
    <w:rsid w:val="00D432C4"/>
    <w:rsid w:val="00D43343"/>
    <w:rsid w:val="00D43DD5"/>
    <w:rsid w:val="00D44ADC"/>
    <w:rsid w:val="00D44B74"/>
    <w:rsid w:val="00D44CC6"/>
    <w:rsid w:val="00D44E72"/>
    <w:rsid w:val="00D44F84"/>
    <w:rsid w:val="00D45AEC"/>
    <w:rsid w:val="00D45DCA"/>
    <w:rsid w:val="00D45E17"/>
    <w:rsid w:val="00D45E52"/>
    <w:rsid w:val="00D45F24"/>
    <w:rsid w:val="00D46107"/>
    <w:rsid w:val="00D46868"/>
    <w:rsid w:val="00D46AD3"/>
    <w:rsid w:val="00D46FD6"/>
    <w:rsid w:val="00D47520"/>
    <w:rsid w:val="00D478B9"/>
    <w:rsid w:val="00D47A03"/>
    <w:rsid w:val="00D47B43"/>
    <w:rsid w:val="00D47F75"/>
    <w:rsid w:val="00D502DA"/>
    <w:rsid w:val="00D50F96"/>
    <w:rsid w:val="00D510B5"/>
    <w:rsid w:val="00D51660"/>
    <w:rsid w:val="00D5179E"/>
    <w:rsid w:val="00D517AB"/>
    <w:rsid w:val="00D52113"/>
    <w:rsid w:val="00D5211A"/>
    <w:rsid w:val="00D52E85"/>
    <w:rsid w:val="00D536CB"/>
    <w:rsid w:val="00D5377F"/>
    <w:rsid w:val="00D537FE"/>
    <w:rsid w:val="00D54296"/>
    <w:rsid w:val="00D5435E"/>
    <w:rsid w:val="00D54703"/>
    <w:rsid w:val="00D54AA6"/>
    <w:rsid w:val="00D54B5E"/>
    <w:rsid w:val="00D554B1"/>
    <w:rsid w:val="00D5564C"/>
    <w:rsid w:val="00D55705"/>
    <w:rsid w:val="00D563E9"/>
    <w:rsid w:val="00D56A7F"/>
    <w:rsid w:val="00D56CB4"/>
    <w:rsid w:val="00D57E07"/>
    <w:rsid w:val="00D605B9"/>
    <w:rsid w:val="00D60A0C"/>
    <w:rsid w:val="00D60BAC"/>
    <w:rsid w:val="00D60BB0"/>
    <w:rsid w:val="00D60C39"/>
    <w:rsid w:val="00D60D7C"/>
    <w:rsid w:val="00D60DBD"/>
    <w:rsid w:val="00D60EA3"/>
    <w:rsid w:val="00D614F8"/>
    <w:rsid w:val="00D61504"/>
    <w:rsid w:val="00D61756"/>
    <w:rsid w:val="00D61B79"/>
    <w:rsid w:val="00D61C97"/>
    <w:rsid w:val="00D61E4C"/>
    <w:rsid w:val="00D62B28"/>
    <w:rsid w:val="00D62C11"/>
    <w:rsid w:val="00D62E78"/>
    <w:rsid w:val="00D62ECE"/>
    <w:rsid w:val="00D630F7"/>
    <w:rsid w:val="00D631CD"/>
    <w:rsid w:val="00D63513"/>
    <w:rsid w:val="00D64190"/>
    <w:rsid w:val="00D64361"/>
    <w:rsid w:val="00D64530"/>
    <w:rsid w:val="00D64555"/>
    <w:rsid w:val="00D64DF5"/>
    <w:rsid w:val="00D64FE0"/>
    <w:rsid w:val="00D65109"/>
    <w:rsid w:val="00D658AF"/>
    <w:rsid w:val="00D65CEC"/>
    <w:rsid w:val="00D65FDC"/>
    <w:rsid w:val="00D667A1"/>
    <w:rsid w:val="00D66A0C"/>
    <w:rsid w:val="00D66AAA"/>
    <w:rsid w:val="00D67335"/>
    <w:rsid w:val="00D67561"/>
    <w:rsid w:val="00D67764"/>
    <w:rsid w:val="00D7061C"/>
    <w:rsid w:val="00D70B78"/>
    <w:rsid w:val="00D70C64"/>
    <w:rsid w:val="00D70EA0"/>
    <w:rsid w:val="00D70F9D"/>
    <w:rsid w:val="00D71196"/>
    <w:rsid w:val="00D71535"/>
    <w:rsid w:val="00D716D8"/>
    <w:rsid w:val="00D71C36"/>
    <w:rsid w:val="00D71D05"/>
    <w:rsid w:val="00D71D4C"/>
    <w:rsid w:val="00D71EA0"/>
    <w:rsid w:val="00D7302B"/>
    <w:rsid w:val="00D7302F"/>
    <w:rsid w:val="00D73E05"/>
    <w:rsid w:val="00D7400E"/>
    <w:rsid w:val="00D741D1"/>
    <w:rsid w:val="00D75D62"/>
    <w:rsid w:val="00D75E29"/>
    <w:rsid w:val="00D75E48"/>
    <w:rsid w:val="00D75EB5"/>
    <w:rsid w:val="00D75FED"/>
    <w:rsid w:val="00D7616C"/>
    <w:rsid w:val="00D76897"/>
    <w:rsid w:val="00D76E7F"/>
    <w:rsid w:val="00D77191"/>
    <w:rsid w:val="00D77255"/>
    <w:rsid w:val="00D77DA8"/>
    <w:rsid w:val="00D80459"/>
    <w:rsid w:val="00D804C9"/>
    <w:rsid w:val="00D809F3"/>
    <w:rsid w:val="00D814FC"/>
    <w:rsid w:val="00D816A7"/>
    <w:rsid w:val="00D81725"/>
    <w:rsid w:val="00D81BAC"/>
    <w:rsid w:val="00D81BB4"/>
    <w:rsid w:val="00D81F2D"/>
    <w:rsid w:val="00D82081"/>
    <w:rsid w:val="00D8257C"/>
    <w:rsid w:val="00D82A24"/>
    <w:rsid w:val="00D82F89"/>
    <w:rsid w:val="00D835C7"/>
    <w:rsid w:val="00D8387F"/>
    <w:rsid w:val="00D840CF"/>
    <w:rsid w:val="00D843DF"/>
    <w:rsid w:val="00D8441B"/>
    <w:rsid w:val="00D846F7"/>
    <w:rsid w:val="00D84B94"/>
    <w:rsid w:val="00D84C1C"/>
    <w:rsid w:val="00D84CC0"/>
    <w:rsid w:val="00D84D1F"/>
    <w:rsid w:val="00D84E32"/>
    <w:rsid w:val="00D85056"/>
    <w:rsid w:val="00D85190"/>
    <w:rsid w:val="00D855AA"/>
    <w:rsid w:val="00D85647"/>
    <w:rsid w:val="00D85F92"/>
    <w:rsid w:val="00D8642B"/>
    <w:rsid w:val="00D86855"/>
    <w:rsid w:val="00D86869"/>
    <w:rsid w:val="00D86C89"/>
    <w:rsid w:val="00D8728E"/>
    <w:rsid w:val="00D87C78"/>
    <w:rsid w:val="00D90031"/>
    <w:rsid w:val="00D9043F"/>
    <w:rsid w:val="00D9082E"/>
    <w:rsid w:val="00D90CCF"/>
    <w:rsid w:val="00D90D8A"/>
    <w:rsid w:val="00D9112E"/>
    <w:rsid w:val="00D9122E"/>
    <w:rsid w:val="00D9148E"/>
    <w:rsid w:val="00D91590"/>
    <w:rsid w:val="00D91761"/>
    <w:rsid w:val="00D91816"/>
    <w:rsid w:val="00D91D48"/>
    <w:rsid w:val="00D91F06"/>
    <w:rsid w:val="00D91FA7"/>
    <w:rsid w:val="00D92C12"/>
    <w:rsid w:val="00D92DB0"/>
    <w:rsid w:val="00D92F78"/>
    <w:rsid w:val="00D9313B"/>
    <w:rsid w:val="00D933F9"/>
    <w:rsid w:val="00D9347D"/>
    <w:rsid w:val="00D93AB3"/>
    <w:rsid w:val="00D9400D"/>
    <w:rsid w:val="00D94222"/>
    <w:rsid w:val="00D943F5"/>
    <w:rsid w:val="00D9473C"/>
    <w:rsid w:val="00D94C18"/>
    <w:rsid w:val="00D9534E"/>
    <w:rsid w:val="00D95481"/>
    <w:rsid w:val="00D957F0"/>
    <w:rsid w:val="00D958E1"/>
    <w:rsid w:val="00D95F6F"/>
    <w:rsid w:val="00D960E4"/>
    <w:rsid w:val="00D97184"/>
    <w:rsid w:val="00D978D7"/>
    <w:rsid w:val="00D97C86"/>
    <w:rsid w:val="00D97DD0"/>
    <w:rsid w:val="00DA00C7"/>
    <w:rsid w:val="00DA1249"/>
    <w:rsid w:val="00DA1804"/>
    <w:rsid w:val="00DA1AF4"/>
    <w:rsid w:val="00DA2019"/>
    <w:rsid w:val="00DA23E1"/>
    <w:rsid w:val="00DA24CA"/>
    <w:rsid w:val="00DA2A9B"/>
    <w:rsid w:val="00DA33C3"/>
    <w:rsid w:val="00DA3A31"/>
    <w:rsid w:val="00DA3F3D"/>
    <w:rsid w:val="00DA41F5"/>
    <w:rsid w:val="00DA4633"/>
    <w:rsid w:val="00DA47DD"/>
    <w:rsid w:val="00DA4A5A"/>
    <w:rsid w:val="00DA4CD0"/>
    <w:rsid w:val="00DA4DC5"/>
    <w:rsid w:val="00DA5459"/>
    <w:rsid w:val="00DA57E9"/>
    <w:rsid w:val="00DA5FB7"/>
    <w:rsid w:val="00DA613D"/>
    <w:rsid w:val="00DA62F3"/>
    <w:rsid w:val="00DA65FB"/>
    <w:rsid w:val="00DA6685"/>
    <w:rsid w:val="00DA6DE9"/>
    <w:rsid w:val="00DA72E6"/>
    <w:rsid w:val="00DA745C"/>
    <w:rsid w:val="00DA7516"/>
    <w:rsid w:val="00DA7BDE"/>
    <w:rsid w:val="00DA7F74"/>
    <w:rsid w:val="00DB0C9B"/>
    <w:rsid w:val="00DB0E81"/>
    <w:rsid w:val="00DB109D"/>
    <w:rsid w:val="00DB14D8"/>
    <w:rsid w:val="00DB15B6"/>
    <w:rsid w:val="00DB1657"/>
    <w:rsid w:val="00DB272A"/>
    <w:rsid w:val="00DB30F1"/>
    <w:rsid w:val="00DB31CE"/>
    <w:rsid w:val="00DB380A"/>
    <w:rsid w:val="00DB3A41"/>
    <w:rsid w:val="00DB3BB3"/>
    <w:rsid w:val="00DB3D02"/>
    <w:rsid w:val="00DB3D2D"/>
    <w:rsid w:val="00DB3F45"/>
    <w:rsid w:val="00DB4798"/>
    <w:rsid w:val="00DB4A4D"/>
    <w:rsid w:val="00DB50F8"/>
    <w:rsid w:val="00DB5827"/>
    <w:rsid w:val="00DB63E9"/>
    <w:rsid w:val="00DB6623"/>
    <w:rsid w:val="00DB6F82"/>
    <w:rsid w:val="00DB73EC"/>
    <w:rsid w:val="00DB749B"/>
    <w:rsid w:val="00DB760E"/>
    <w:rsid w:val="00DB7CC3"/>
    <w:rsid w:val="00DB7E82"/>
    <w:rsid w:val="00DC038C"/>
    <w:rsid w:val="00DC0B2B"/>
    <w:rsid w:val="00DC0EF1"/>
    <w:rsid w:val="00DC173D"/>
    <w:rsid w:val="00DC1766"/>
    <w:rsid w:val="00DC2D5F"/>
    <w:rsid w:val="00DC3232"/>
    <w:rsid w:val="00DC326C"/>
    <w:rsid w:val="00DC32BB"/>
    <w:rsid w:val="00DC3D25"/>
    <w:rsid w:val="00DC3EDF"/>
    <w:rsid w:val="00DC44F5"/>
    <w:rsid w:val="00DC479C"/>
    <w:rsid w:val="00DC480B"/>
    <w:rsid w:val="00DC4B9C"/>
    <w:rsid w:val="00DC4BB9"/>
    <w:rsid w:val="00DC4E7F"/>
    <w:rsid w:val="00DC4EC1"/>
    <w:rsid w:val="00DC513E"/>
    <w:rsid w:val="00DC5A50"/>
    <w:rsid w:val="00DC5DBE"/>
    <w:rsid w:val="00DC6357"/>
    <w:rsid w:val="00DC6527"/>
    <w:rsid w:val="00DC65B9"/>
    <w:rsid w:val="00DC674D"/>
    <w:rsid w:val="00DC678F"/>
    <w:rsid w:val="00DC6AA4"/>
    <w:rsid w:val="00DC6BA4"/>
    <w:rsid w:val="00DC6DC7"/>
    <w:rsid w:val="00DC6E07"/>
    <w:rsid w:val="00DC76A4"/>
    <w:rsid w:val="00DC7BBA"/>
    <w:rsid w:val="00DD013B"/>
    <w:rsid w:val="00DD027C"/>
    <w:rsid w:val="00DD0900"/>
    <w:rsid w:val="00DD0BCD"/>
    <w:rsid w:val="00DD0F62"/>
    <w:rsid w:val="00DD115C"/>
    <w:rsid w:val="00DD12A3"/>
    <w:rsid w:val="00DD1956"/>
    <w:rsid w:val="00DD1B6D"/>
    <w:rsid w:val="00DD2311"/>
    <w:rsid w:val="00DD239A"/>
    <w:rsid w:val="00DD2698"/>
    <w:rsid w:val="00DD303C"/>
    <w:rsid w:val="00DD30FB"/>
    <w:rsid w:val="00DD3B8B"/>
    <w:rsid w:val="00DD3BAB"/>
    <w:rsid w:val="00DD42FB"/>
    <w:rsid w:val="00DD4520"/>
    <w:rsid w:val="00DD453B"/>
    <w:rsid w:val="00DD48ED"/>
    <w:rsid w:val="00DD4C63"/>
    <w:rsid w:val="00DD4CD9"/>
    <w:rsid w:val="00DD4DA6"/>
    <w:rsid w:val="00DD5892"/>
    <w:rsid w:val="00DD5A07"/>
    <w:rsid w:val="00DD6582"/>
    <w:rsid w:val="00DD658F"/>
    <w:rsid w:val="00DD65DA"/>
    <w:rsid w:val="00DD65FF"/>
    <w:rsid w:val="00DD66FE"/>
    <w:rsid w:val="00DD718F"/>
    <w:rsid w:val="00DD73AC"/>
    <w:rsid w:val="00DD7404"/>
    <w:rsid w:val="00DD76E7"/>
    <w:rsid w:val="00DD79AA"/>
    <w:rsid w:val="00DD7DE6"/>
    <w:rsid w:val="00DD7F26"/>
    <w:rsid w:val="00DE01F7"/>
    <w:rsid w:val="00DE0920"/>
    <w:rsid w:val="00DE0DAB"/>
    <w:rsid w:val="00DE0F58"/>
    <w:rsid w:val="00DE0FBF"/>
    <w:rsid w:val="00DE1113"/>
    <w:rsid w:val="00DE1362"/>
    <w:rsid w:val="00DE1B16"/>
    <w:rsid w:val="00DE2201"/>
    <w:rsid w:val="00DE25B9"/>
    <w:rsid w:val="00DE2658"/>
    <w:rsid w:val="00DE2925"/>
    <w:rsid w:val="00DE2F7A"/>
    <w:rsid w:val="00DE30E8"/>
    <w:rsid w:val="00DE31F9"/>
    <w:rsid w:val="00DE3B3A"/>
    <w:rsid w:val="00DE3C72"/>
    <w:rsid w:val="00DE4BAA"/>
    <w:rsid w:val="00DE4C2C"/>
    <w:rsid w:val="00DE5039"/>
    <w:rsid w:val="00DE51C5"/>
    <w:rsid w:val="00DE532A"/>
    <w:rsid w:val="00DE5ACD"/>
    <w:rsid w:val="00DE64D6"/>
    <w:rsid w:val="00DE674F"/>
    <w:rsid w:val="00DE6795"/>
    <w:rsid w:val="00DE67A6"/>
    <w:rsid w:val="00DE67D4"/>
    <w:rsid w:val="00DE6B73"/>
    <w:rsid w:val="00DE6D05"/>
    <w:rsid w:val="00DE74D5"/>
    <w:rsid w:val="00DE7692"/>
    <w:rsid w:val="00DE7820"/>
    <w:rsid w:val="00DE797C"/>
    <w:rsid w:val="00DF00A2"/>
    <w:rsid w:val="00DF0245"/>
    <w:rsid w:val="00DF05ED"/>
    <w:rsid w:val="00DF0705"/>
    <w:rsid w:val="00DF0F0E"/>
    <w:rsid w:val="00DF0FD3"/>
    <w:rsid w:val="00DF134C"/>
    <w:rsid w:val="00DF144C"/>
    <w:rsid w:val="00DF1901"/>
    <w:rsid w:val="00DF19EB"/>
    <w:rsid w:val="00DF251E"/>
    <w:rsid w:val="00DF30E1"/>
    <w:rsid w:val="00DF34BF"/>
    <w:rsid w:val="00DF3694"/>
    <w:rsid w:val="00DF371C"/>
    <w:rsid w:val="00DF37AB"/>
    <w:rsid w:val="00DF3910"/>
    <w:rsid w:val="00DF4043"/>
    <w:rsid w:val="00DF4371"/>
    <w:rsid w:val="00DF4784"/>
    <w:rsid w:val="00DF515C"/>
    <w:rsid w:val="00DF535E"/>
    <w:rsid w:val="00DF5588"/>
    <w:rsid w:val="00DF57ED"/>
    <w:rsid w:val="00DF5BA3"/>
    <w:rsid w:val="00DF60F4"/>
    <w:rsid w:val="00DF6C80"/>
    <w:rsid w:val="00DF6DC2"/>
    <w:rsid w:val="00DF6DCD"/>
    <w:rsid w:val="00DF72B0"/>
    <w:rsid w:val="00DF76C2"/>
    <w:rsid w:val="00DF7D85"/>
    <w:rsid w:val="00E0005C"/>
    <w:rsid w:val="00E00494"/>
    <w:rsid w:val="00E004A0"/>
    <w:rsid w:val="00E00934"/>
    <w:rsid w:val="00E00C97"/>
    <w:rsid w:val="00E01131"/>
    <w:rsid w:val="00E0123C"/>
    <w:rsid w:val="00E022B4"/>
    <w:rsid w:val="00E03257"/>
    <w:rsid w:val="00E03397"/>
    <w:rsid w:val="00E0353B"/>
    <w:rsid w:val="00E039FC"/>
    <w:rsid w:val="00E04001"/>
    <w:rsid w:val="00E04615"/>
    <w:rsid w:val="00E04692"/>
    <w:rsid w:val="00E04C34"/>
    <w:rsid w:val="00E04CE7"/>
    <w:rsid w:val="00E05007"/>
    <w:rsid w:val="00E0516B"/>
    <w:rsid w:val="00E0543D"/>
    <w:rsid w:val="00E054AD"/>
    <w:rsid w:val="00E05547"/>
    <w:rsid w:val="00E0566E"/>
    <w:rsid w:val="00E059C8"/>
    <w:rsid w:val="00E05AD2"/>
    <w:rsid w:val="00E0624B"/>
    <w:rsid w:val="00E064F7"/>
    <w:rsid w:val="00E06B00"/>
    <w:rsid w:val="00E0740D"/>
    <w:rsid w:val="00E075CA"/>
    <w:rsid w:val="00E07BC3"/>
    <w:rsid w:val="00E10236"/>
    <w:rsid w:val="00E1057E"/>
    <w:rsid w:val="00E1061D"/>
    <w:rsid w:val="00E107DB"/>
    <w:rsid w:val="00E10A74"/>
    <w:rsid w:val="00E1127C"/>
    <w:rsid w:val="00E11456"/>
    <w:rsid w:val="00E11D6C"/>
    <w:rsid w:val="00E11F40"/>
    <w:rsid w:val="00E12223"/>
    <w:rsid w:val="00E1230F"/>
    <w:rsid w:val="00E1239A"/>
    <w:rsid w:val="00E12931"/>
    <w:rsid w:val="00E131CC"/>
    <w:rsid w:val="00E131EC"/>
    <w:rsid w:val="00E13224"/>
    <w:rsid w:val="00E1385A"/>
    <w:rsid w:val="00E138BE"/>
    <w:rsid w:val="00E13AF1"/>
    <w:rsid w:val="00E13FB7"/>
    <w:rsid w:val="00E1412D"/>
    <w:rsid w:val="00E145D9"/>
    <w:rsid w:val="00E146B5"/>
    <w:rsid w:val="00E14AF5"/>
    <w:rsid w:val="00E14BD8"/>
    <w:rsid w:val="00E14C60"/>
    <w:rsid w:val="00E14CAB"/>
    <w:rsid w:val="00E14DE9"/>
    <w:rsid w:val="00E1514D"/>
    <w:rsid w:val="00E15CAB"/>
    <w:rsid w:val="00E1615A"/>
    <w:rsid w:val="00E162D6"/>
    <w:rsid w:val="00E165BD"/>
    <w:rsid w:val="00E16EEE"/>
    <w:rsid w:val="00E1721F"/>
    <w:rsid w:val="00E17713"/>
    <w:rsid w:val="00E178D9"/>
    <w:rsid w:val="00E17E6C"/>
    <w:rsid w:val="00E20409"/>
    <w:rsid w:val="00E205D7"/>
    <w:rsid w:val="00E20A33"/>
    <w:rsid w:val="00E214F5"/>
    <w:rsid w:val="00E215C1"/>
    <w:rsid w:val="00E21A3F"/>
    <w:rsid w:val="00E21A73"/>
    <w:rsid w:val="00E21DA4"/>
    <w:rsid w:val="00E21F07"/>
    <w:rsid w:val="00E222DC"/>
    <w:rsid w:val="00E22883"/>
    <w:rsid w:val="00E2288C"/>
    <w:rsid w:val="00E22B60"/>
    <w:rsid w:val="00E22DFF"/>
    <w:rsid w:val="00E230DC"/>
    <w:rsid w:val="00E2408F"/>
    <w:rsid w:val="00E243E1"/>
    <w:rsid w:val="00E24709"/>
    <w:rsid w:val="00E24ACF"/>
    <w:rsid w:val="00E24B1D"/>
    <w:rsid w:val="00E24F05"/>
    <w:rsid w:val="00E25902"/>
    <w:rsid w:val="00E25921"/>
    <w:rsid w:val="00E25C30"/>
    <w:rsid w:val="00E25D9B"/>
    <w:rsid w:val="00E25F7E"/>
    <w:rsid w:val="00E25F94"/>
    <w:rsid w:val="00E26950"/>
    <w:rsid w:val="00E26ADB"/>
    <w:rsid w:val="00E26B4F"/>
    <w:rsid w:val="00E271C8"/>
    <w:rsid w:val="00E2732D"/>
    <w:rsid w:val="00E273F4"/>
    <w:rsid w:val="00E27A81"/>
    <w:rsid w:val="00E27B9F"/>
    <w:rsid w:val="00E27BD7"/>
    <w:rsid w:val="00E27D85"/>
    <w:rsid w:val="00E31084"/>
    <w:rsid w:val="00E31423"/>
    <w:rsid w:val="00E32007"/>
    <w:rsid w:val="00E32C64"/>
    <w:rsid w:val="00E32EBC"/>
    <w:rsid w:val="00E32F48"/>
    <w:rsid w:val="00E33177"/>
    <w:rsid w:val="00E3349E"/>
    <w:rsid w:val="00E339BA"/>
    <w:rsid w:val="00E339F0"/>
    <w:rsid w:val="00E33F74"/>
    <w:rsid w:val="00E34232"/>
    <w:rsid w:val="00E345D7"/>
    <w:rsid w:val="00E34701"/>
    <w:rsid w:val="00E34970"/>
    <w:rsid w:val="00E34CD9"/>
    <w:rsid w:val="00E353EE"/>
    <w:rsid w:val="00E35642"/>
    <w:rsid w:val="00E3598C"/>
    <w:rsid w:val="00E359B5"/>
    <w:rsid w:val="00E36077"/>
    <w:rsid w:val="00E373E0"/>
    <w:rsid w:val="00E379DB"/>
    <w:rsid w:val="00E37AAF"/>
    <w:rsid w:val="00E37AC1"/>
    <w:rsid w:val="00E37B28"/>
    <w:rsid w:val="00E37DA3"/>
    <w:rsid w:val="00E40096"/>
    <w:rsid w:val="00E4086F"/>
    <w:rsid w:val="00E40962"/>
    <w:rsid w:val="00E40D41"/>
    <w:rsid w:val="00E410A5"/>
    <w:rsid w:val="00E4133D"/>
    <w:rsid w:val="00E413B6"/>
    <w:rsid w:val="00E413D9"/>
    <w:rsid w:val="00E418E4"/>
    <w:rsid w:val="00E4196A"/>
    <w:rsid w:val="00E419DA"/>
    <w:rsid w:val="00E41A4D"/>
    <w:rsid w:val="00E41B8A"/>
    <w:rsid w:val="00E41C66"/>
    <w:rsid w:val="00E41E48"/>
    <w:rsid w:val="00E4209F"/>
    <w:rsid w:val="00E42379"/>
    <w:rsid w:val="00E42A56"/>
    <w:rsid w:val="00E43644"/>
    <w:rsid w:val="00E438FF"/>
    <w:rsid w:val="00E443EB"/>
    <w:rsid w:val="00E44548"/>
    <w:rsid w:val="00E44A04"/>
    <w:rsid w:val="00E44E36"/>
    <w:rsid w:val="00E44F1D"/>
    <w:rsid w:val="00E4501E"/>
    <w:rsid w:val="00E45150"/>
    <w:rsid w:val="00E456AE"/>
    <w:rsid w:val="00E45983"/>
    <w:rsid w:val="00E45A04"/>
    <w:rsid w:val="00E45A76"/>
    <w:rsid w:val="00E45CDF"/>
    <w:rsid w:val="00E45EB6"/>
    <w:rsid w:val="00E45FF2"/>
    <w:rsid w:val="00E4670E"/>
    <w:rsid w:val="00E46BF2"/>
    <w:rsid w:val="00E46D9D"/>
    <w:rsid w:val="00E46E3E"/>
    <w:rsid w:val="00E47257"/>
    <w:rsid w:val="00E4749D"/>
    <w:rsid w:val="00E476F4"/>
    <w:rsid w:val="00E47734"/>
    <w:rsid w:val="00E4781B"/>
    <w:rsid w:val="00E47B83"/>
    <w:rsid w:val="00E47CF8"/>
    <w:rsid w:val="00E47D31"/>
    <w:rsid w:val="00E47D3F"/>
    <w:rsid w:val="00E47ECA"/>
    <w:rsid w:val="00E50554"/>
    <w:rsid w:val="00E50CD3"/>
    <w:rsid w:val="00E50CFA"/>
    <w:rsid w:val="00E50D08"/>
    <w:rsid w:val="00E5114A"/>
    <w:rsid w:val="00E51701"/>
    <w:rsid w:val="00E51736"/>
    <w:rsid w:val="00E51928"/>
    <w:rsid w:val="00E51BAD"/>
    <w:rsid w:val="00E52502"/>
    <w:rsid w:val="00E5330C"/>
    <w:rsid w:val="00E53476"/>
    <w:rsid w:val="00E5383B"/>
    <w:rsid w:val="00E53CC1"/>
    <w:rsid w:val="00E541B1"/>
    <w:rsid w:val="00E541E7"/>
    <w:rsid w:val="00E54AF0"/>
    <w:rsid w:val="00E55069"/>
    <w:rsid w:val="00E552AB"/>
    <w:rsid w:val="00E558E0"/>
    <w:rsid w:val="00E55931"/>
    <w:rsid w:val="00E559C6"/>
    <w:rsid w:val="00E55B3A"/>
    <w:rsid w:val="00E55CBB"/>
    <w:rsid w:val="00E5672D"/>
    <w:rsid w:val="00E5680C"/>
    <w:rsid w:val="00E56955"/>
    <w:rsid w:val="00E56C17"/>
    <w:rsid w:val="00E5702E"/>
    <w:rsid w:val="00E571DD"/>
    <w:rsid w:val="00E571EB"/>
    <w:rsid w:val="00E57449"/>
    <w:rsid w:val="00E574B9"/>
    <w:rsid w:val="00E57A35"/>
    <w:rsid w:val="00E57ABE"/>
    <w:rsid w:val="00E57C8E"/>
    <w:rsid w:val="00E57EE0"/>
    <w:rsid w:val="00E602BB"/>
    <w:rsid w:val="00E60951"/>
    <w:rsid w:val="00E60E55"/>
    <w:rsid w:val="00E618C1"/>
    <w:rsid w:val="00E618FA"/>
    <w:rsid w:val="00E62CB6"/>
    <w:rsid w:val="00E63165"/>
    <w:rsid w:val="00E6323C"/>
    <w:rsid w:val="00E6357C"/>
    <w:rsid w:val="00E63F5F"/>
    <w:rsid w:val="00E640CB"/>
    <w:rsid w:val="00E64146"/>
    <w:rsid w:val="00E6423E"/>
    <w:rsid w:val="00E648DD"/>
    <w:rsid w:val="00E64AA4"/>
    <w:rsid w:val="00E64BA0"/>
    <w:rsid w:val="00E64D22"/>
    <w:rsid w:val="00E64EB9"/>
    <w:rsid w:val="00E64FFD"/>
    <w:rsid w:val="00E65414"/>
    <w:rsid w:val="00E65885"/>
    <w:rsid w:val="00E65987"/>
    <w:rsid w:val="00E65A43"/>
    <w:rsid w:val="00E65B99"/>
    <w:rsid w:val="00E6671E"/>
    <w:rsid w:val="00E66B33"/>
    <w:rsid w:val="00E6710B"/>
    <w:rsid w:val="00E67545"/>
    <w:rsid w:val="00E70071"/>
    <w:rsid w:val="00E70103"/>
    <w:rsid w:val="00E70190"/>
    <w:rsid w:val="00E70525"/>
    <w:rsid w:val="00E707D2"/>
    <w:rsid w:val="00E70C54"/>
    <w:rsid w:val="00E70E4E"/>
    <w:rsid w:val="00E710DE"/>
    <w:rsid w:val="00E719B8"/>
    <w:rsid w:val="00E71A29"/>
    <w:rsid w:val="00E71F73"/>
    <w:rsid w:val="00E71F9C"/>
    <w:rsid w:val="00E7204F"/>
    <w:rsid w:val="00E72077"/>
    <w:rsid w:val="00E72578"/>
    <w:rsid w:val="00E729FD"/>
    <w:rsid w:val="00E72A53"/>
    <w:rsid w:val="00E72B7B"/>
    <w:rsid w:val="00E72BFD"/>
    <w:rsid w:val="00E72FA2"/>
    <w:rsid w:val="00E7312B"/>
    <w:rsid w:val="00E73578"/>
    <w:rsid w:val="00E73642"/>
    <w:rsid w:val="00E73D7F"/>
    <w:rsid w:val="00E7401D"/>
    <w:rsid w:val="00E74A75"/>
    <w:rsid w:val="00E74AB1"/>
    <w:rsid w:val="00E75085"/>
    <w:rsid w:val="00E75298"/>
    <w:rsid w:val="00E76367"/>
    <w:rsid w:val="00E76579"/>
    <w:rsid w:val="00E76758"/>
    <w:rsid w:val="00E768A4"/>
    <w:rsid w:val="00E768C8"/>
    <w:rsid w:val="00E76BA9"/>
    <w:rsid w:val="00E76E9B"/>
    <w:rsid w:val="00E76EFD"/>
    <w:rsid w:val="00E770F1"/>
    <w:rsid w:val="00E777F8"/>
    <w:rsid w:val="00E7783C"/>
    <w:rsid w:val="00E77958"/>
    <w:rsid w:val="00E800D5"/>
    <w:rsid w:val="00E801C6"/>
    <w:rsid w:val="00E803D5"/>
    <w:rsid w:val="00E80625"/>
    <w:rsid w:val="00E80A6D"/>
    <w:rsid w:val="00E80DC0"/>
    <w:rsid w:val="00E81053"/>
    <w:rsid w:val="00E810EB"/>
    <w:rsid w:val="00E816EC"/>
    <w:rsid w:val="00E81B26"/>
    <w:rsid w:val="00E81CDE"/>
    <w:rsid w:val="00E81D28"/>
    <w:rsid w:val="00E8250F"/>
    <w:rsid w:val="00E82857"/>
    <w:rsid w:val="00E8297A"/>
    <w:rsid w:val="00E835DD"/>
    <w:rsid w:val="00E838BB"/>
    <w:rsid w:val="00E8392D"/>
    <w:rsid w:val="00E83A08"/>
    <w:rsid w:val="00E83AA5"/>
    <w:rsid w:val="00E83F50"/>
    <w:rsid w:val="00E842A5"/>
    <w:rsid w:val="00E842D1"/>
    <w:rsid w:val="00E84659"/>
    <w:rsid w:val="00E84AEA"/>
    <w:rsid w:val="00E84B32"/>
    <w:rsid w:val="00E84D24"/>
    <w:rsid w:val="00E84EAC"/>
    <w:rsid w:val="00E8588E"/>
    <w:rsid w:val="00E85D19"/>
    <w:rsid w:val="00E861E4"/>
    <w:rsid w:val="00E86271"/>
    <w:rsid w:val="00E8631C"/>
    <w:rsid w:val="00E866E2"/>
    <w:rsid w:val="00E867F8"/>
    <w:rsid w:val="00E87255"/>
    <w:rsid w:val="00E878D6"/>
    <w:rsid w:val="00E87A63"/>
    <w:rsid w:val="00E90125"/>
    <w:rsid w:val="00E90370"/>
    <w:rsid w:val="00E90547"/>
    <w:rsid w:val="00E905C3"/>
    <w:rsid w:val="00E9068D"/>
    <w:rsid w:val="00E90FD3"/>
    <w:rsid w:val="00E91145"/>
    <w:rsid w:val="00E91149"/>
    <w:rsid w:val="00E91961"/>
    <w:rsid w:val="00E91A9D"/>
    <w:rsid w:val="00E91BCD"/>
    <w:rsid w:val="00E92860"/>
    <w:rsid w:val="00E931E7"/>
    <w:rsid w:val="00E939E2"/>
    <w:rsid w:val="00E93A0A"/>
    <w:rsid w:val="00E93C46"/>
    <w:rsid w:val="00E943CC"/>
    <w:rsid w:val="00E943D6"/>
    <w:rsid w:val="00E94695"/>
    <w:rsid w:val="00E947FE"/>
    <w:rsid w:val="00E94B06"/>
    <w:rsid w:val="00E94BA4"/>
    <w:rsid w:val="00E94CB3"/>
    <w:rsid w:val="00E9608E"/>
    <w:rsid w:val="00E96428"/>
    <w:rsid w:val="00E96457"/>
    <w:rsid w:val="00E96A05"/>
    <w:rsid w:val="00E97172"/>
    <w:rsid w:val="00E9719E"/>
    <w:rsid w:val="00E97316"/>
    <w:rsid w:val="00EA0024"/>
    <w:rsid w:val="00EA064B"/>
    <w:rsid w:val="00EA0B72"/>
    <w:rsid w:val="00EA0D88"/>
    <w:rsid w:val="00EA0E12"/>
    <w:rsid w:val="00EA13A4"/>
    <w:rsid w:val="00EA155C"/>
    <w:rsid w:val="00EA173F"/>
    <w:rsid w:val="00EA175D"/>
    <w:rsid w:val="00EA1B70"/>
    <w:rsid w:val="00EA1CC3"/>
    <w:rsid w:val="00EA1F97"/>
    <w:rsid w:val="00EA201B"/>
    <w:rsid w:val="00EA2134"/>
    <w:rsid w:val="00EA2153"/>
    <w:rsid w:val="00EA2A11"/>
    <w:rsid w:val="00EA2A29"/>
    <w:rsid w:val="00EA3067"/>
    <w:rsid w:val="00EA35B2"/>
    <w:rsid w:val="00EA3AE7"/>
    <w:rsid w:val="00EA4093"/>
    <w:rsid w:val="00EA4202"/>
    <w:rsid w:val="00EA46B4"/>
    <w:rsid w:val="00EA537D"/>
    <w:rsid w:val="00EA5D8F"/>
    <w:rsid w:val="00EA628A"/>
    <w:rsid w:val="00EA657B"/>
    <w:rsid w:val="00EA6BDA"/>
    <w:rsid w:val="00EA6C13"/>
    <w:rsid w:val="00EA7300"/>
    <w:rsid w:val="00EA74F3"/>
    <w:rsid w:val="00EA7883"/>
    <w:rsid w:val="00EA7D95"/>
    <w:rsid w:val="00EB035D"/>
    <w:rsid w:val="00EB04A4"/>
    <w:rsid w:val="00EB05FB"/>
    <w:rsid w:val="00EB0856"/>
    <w:rsid w:val="00EB0D39"/>
    <w:rsid w:val="00EB10C5"/>
    <w:rsid w:val="00EB10D0"/>
    <w:rsid w:val="00EB18D0"/>
    <w:rsid w:val="00EB199F"/>
    <w:rsid w:val="00EB25AA"/>
    <w:rsid w:val="00EB277C"/>
    <w:rsid w:val="00EB2AE7"/>
    <w:rsid w:val="00EB2BAA"/>
    <w:rsid w:val="00EB320C"/>
    <w:rsid w:val="00EB32BB"/>
    <w:rsid w:val="00EB336C"/>
    <w:rsid w:val="00EB346D"/>
    <w:rsid w:val="00EB395E"/>
    <w:rsid w:val="00EB3D0D"/>
    <w:rsid w:val="00EB431C"/>
    <w:rsid w:val="00EB4862"/>
    <w:rsid w:val="00EB4A54"/>
    <w:rsid w:val="00EB4FA5"/>
    <w:rsid w:val="00EB4FA6"/>
    <w:rsid w:val="00EB581A"/>
    <w:rsid w:val="00EB5927"/>
    <w:rsid w:val="00EB5D39"/>
    <w:rsid w:val="00EB6461"/>
    <w:rsid w:val="00EB6852"/>
    <w:rsid w:val="00EB78A6"/>
    <w:rsid w:val="00EB7B8A"/>
    <w:rsid w:val="00EB7C93"/>
    <w:rsid w:val="00EC02A7"/>
    <w:rsid w:val="00EC062E"/>
    <w:rsid w:val="00EC0AC1"/>
    <w:rsid w:val="00EC0E15"/>
    <w:rsid w:val="00EC0EF5"/>
    <w:rsid w:val="00EC0F37"/>
    <w:rsid w:val="00EC13A2"/>
    <w:rsid w:val="00EC14DC"/>
    <w:rsid w:val="00EC2050"/>
    <w:rsid w:val="00EC3063"/>
    <w:rsid w:val="00EC3401"/>
    <w:rsid w:val="00EC38F0"/>
    <w:rsid w:val="00EC3B39"/>
    <w:rsid w:val="00EC440A"/>
    <w:rsid w:val="00EC4459"/>
    <w:rsid w:val="00EC4753"/>
    <w:rsid w:val="00EC4795"/>
    <w:rsid w:val="00EC4E1A"/>
    <w:rsid w:val="00EC50ED"/>
    <w:rsid w:val="00EC52F7"/>
    <w:rsid w:val="00EC5861"/>
    <w:rsid w:val="00EC6525"/>
    <w:rsid w:val="00EC6699"/>
    <w:rsid w:val="00EC6797"/>
    <w:rsid w:val="00EC6991"/>
    <w:rsid w:val="00EC6BA7"/>
    <w:rsid w:val="00EC6BC4"/>
    <w:rsid w:val="00EC6BE7"/>
    <w:rsid w:val="00EC73D8"/>
    <w:rsid w:val="00EC76DC"/>
    <w:rsid w:val="00EC7AE9"/>
    <w:rsid w:val="00EC7C71"/>
    <w:rsid w:val="00EC7DEB"/>
    <w:rsid w:val="00EC7FA3"/>
    <w:rsid w:val="00ED01F0"/>
    <w:rsid w:val="00ED02C2"/>
    <w:rsid w:val="00ED04ED"/>
    <w:rsid w:val="00ED0688"/>
    <w:rsid w:val="00ED0930"/>
    <w:rsid w:val="00ED09AE"/>
    <w:rsid w:val="00ED28F0"/>
    <w:rsid w:val="00ED2B1B"/>
    <w:rsid w:val="00ED2CE3"/>
    <w:rsid w:val="00ED2D90"/>
    <w:rsid w:val="00ED3ABE"/>
    <w:rsid w:val="00ED3C84"/>
    <w:rsid w:val="00ED41EC"/>
    <w:rsid w:val="00ED471E"/>
    <w:rsid w:val="00ED4E77"/>
    <w:rsid w:val="00ED539B"/>
    <w:rsid w:val="00ED54FA"/>
    <w:rsid w:val="00ED5B4F"/>
    <w:rsid w:val="00ED5CEA"/>
    <w:rsid w:val="00ED6128"/>
    <w:rsid w:val="00ED62B6"/>
    <w:rsid w:val="00ED648B"/>
    <w:rsid w:val="00ED667D"/>
    <w:rsid w:val="00ED671E"/>
    <w:rsid w:val="00ED677D"/>
    <w:rsid w:val="00ED6A2B"/>
    <w:rsid w:val="00ED6FE0"/>
    <w:rsid w:val="00ED7CA2"/>
    <w:rsid w:val="00EE0364"/>
    <w:rsid w:val="00EE03D0"/>
    <w:rsid w:val="00EE14C6"/>
    <w:rsid w:val="00EE156E"/>
    <w:rsid w:val="00EE1AFB"/>
    <w:rsid w:val="00EE2406"/>
    <w:rsid w:val="00EE2734"/>
    <w:rsid w:val="00EE2B74"/>
    <w:rsid w:val="00EE2D45"/>
    <w:rsid w:val="00EE3282"/>
    <w:rsid w:val="00EE345D"/>
    <w:rsid w:val="00EE3499"/>
    <w:rsid w:val="00EE364E"/>
    <w:rsid w:val="00EE3CCE"/>
    <w:rsid w:val="00EE3EAE"/>
    <w:rsid w:val="00EE4A4B"/>
    <w:rsid w:val="00EE5234"/>
    <w:rsid w:val="00EE544A"/>
    <w:rsid w:val="00EE5659"/>
    <w:rsid w:val="00EE6243"/>
    <w:rsid w:val="00EE6429"/>
    <w:rsid w:val="00EE65D9"/>
    <w:rsid w:val="00EE663F"/>
    <w:rsid w:val="00EE6669"/>
    <w:rsid w:val="00EE6988"/>
    <w:rsid w:val="00EE6A5D"/>
    <w:rsid w:val="00EE6D04"/>
    <w:rsid w:val="00EE7099"/>
    <w:rsid w:val="00EE7164"/>
    <w:rsid w:val="00EE7AB5"/>
    <w:rsid w:val="00EE7BE7"/>
    <w:rsid w:val="00EE7C12"/>
    <w:rsid w:val="00EE7F76"/>
    <w:rsid w:val="00EF056C"/>
    <w:rsid w:val="00EF07F0"/>
    <w:rsid w:val="00EF1076"/>
    <w:rsid w:val="00EF10E8"/>
    <w:rsid w:val="00EF127F"/>
    <w:rsid w:val="00EF1281"/>
    <w:rsid w:val="00EF15C6"/>
    <w:rsid w:val="00EF1AF8"/>
    <w:rsid w:val="00EF1B05"/>
    <w:rsid w:val="00EF20CA"/>
    <w:rsid w:val="00EF2245"/>
    <w:rsid w:val="00EF255B"/>
    <w:rsid w:val="00EF3119"/>
    <w:rsid w:val="00EF3155"/>
    <w:rsid w:val="00EF317C"/>
    <w:rsid w:val="00EF31DB"/>
    <w:rsid w:val="00EF328B"/>
    <w:rsid w:val="00EF361E"/>
    <w:rsid w:val="00EF3681"/>
    <w:rsid w:val="00EF369D"/>
    <w:rsid w:val="00EF3776"/>
    <w:rsid w:val="00EF3896"/>
    <w:rsid w:val="00EF3EB3"/>
    <w:rsid w:val="00EF4000"/>
    <w:rsid w:val="00EF4139"/>
    <w:rsid w:val="00EF42C9"/>
    <w:rsid w:val="00EF42F7"/>
    <w:rsid w:val="00EF4874"/>
    <w:rsid w:val="00EF5049"/>
    <w:rsid w:val="00EF5693"/>
    <w:rsid w:val="00EF56C3"/>
    <w:rsid w:val="00EF5A6E"/>
    <w:rsid w:val="00EF6191"/>
    <w:rsid w:val="00EF62FC"/>
    <w:rsid w:val="00EF6571"/>
    <w:rsid w:val="00EF679A"/>
    <w:rsid w:val="00EF6C5E"/>
    <w:rsid w:val="00EF70C3"/>
    <w:rsid w:val="00EF75FF"/>
    <w:rsid w:val="00EF7F71"/>
    <w:rsid w:val="00F000A1"/>
    <w:rsid w:val="00F00FFB"/>
    <w:rsid w:val="00F014CE"/>
    <w:rsid w:val="00F01736"/>
    <w:rsid w:val="00F01781"/>
    <w:rsid w:val="00F01EDD"/>
    <w:rsid w:val="00F0204E"/>
    <w:rsid w:val="00F0262A"/>
    <w:rsid w:val="00F02B10"/>
    <w:rsid w:val="00F0351F"/>
    <w:rsid w:val="00F0364E"/>
    <w:rsid w:val="00F03780"/>
    <w:rsid w:val="00F0444D"/>
    <w:rsid w:val="00F04675"/>
    <w:rsid w:val="00F048BC"/>
    <w:rsid w:val="00F04F89"/>
    <w:rsid w:val="00F05779"/>
    <w:rsid w:val="00F0586D"/>
    <w:rsid w:val="00F05F1D"/>
    <w:rsid w:val="00F06563"/>
    <w:rsid w:val="00F06594"/>
    <w:rsid w:val="00F06ABE"/>
    <w:rsid w:val="00F070BB"/>
    <w:rsid w:val="00F07712"/>
    <w:rsid w:val="00F07766"/>
    <w:rsid w:val="00F07F21"/>
    <w:rsid w:val="00F10129"/>
    <w:rsid w:val="00F101FC"/>
    <w:rsid w:val="00F1025A"/>
    <w:rsid w:val="00F1043D"/>
    <w:rsid w:val="00F104DB"/>
    <w:rsid w:val="00F1071E"/>
    <w:rsid w:val="00F1071F"/>
    <w:rsid w:val="00F10783"/>
    <w:rsid w:val="00F118F8"/>
    <w:rsid w:val="00F119A3"/>
    <w:rsid w:val="00F11FA9"/>
    <w:rsid w:val="00F12211"/>
    <w:rsid w:val="00F12328"/>
    <w:rsid w:val="00F12601"/>
    <w:rsid w:val="00F12BE0"/>
    <w:rsid w:val="00F137C1"/>
    <w:rsid w:val="00F13AD9"/>
    <w:rsid w:val="00F14056"/>
    <w:rsid w:val="00F14197"/>
    <w:rsid w:val="00F1443B"/>
    <w:rsid w:val="00F149F1"/>
    <w:rsid w:val="00F14F3B"/>
    <w:rsid w:val="00F1501F"/>
    <w:rsid w:val="00F15C9B"/>
    <w:rsid w:val="00F15D60"/>
    <w:rsid w:val="00F15DF8"/>
    <w:rsid w:val="00F1601F"/>
    <w:rsid w:val="00F16060"/>
    <w:rsid w:val="00F16347"/>
    <w:rsid w:val="00F16460"/>
    <w:rsid w:val="00F16633"/>
    <w:rsid w:val="00F16880"/>
    <w:rsid w:val="00F16A98"/>
    <w:rsid w:val="00F16E39"/>
    <w:rsid w:val="00F174D9"/>
    <w:rsid w:val="00F17636"/>
    <w:rsid w:val="00F176E0"/>
    <w:rsid w:val="00F20BAA"/>
    <w:rsid w:val="00F2162C"/>
    <w:rsid w:val="00F218AD"/>
    <w:rsid w:val="00F21EBC"/>
    <w:rsid w:val="00F221AF"/>
    <w:rsid w:val="00F221B9"/>
    <w:rsid w:val="00F230EA"/>
    <w:rsid w:val="00F23525"/>
    <w:rsid w:val="00F2372F"/>
    <w:rsid w:val="00F239B0"/>
    <w:rsid w:val="00F23DB0"/>
    <w:rsid w:val="00F246D7"/>
    <w:rsid w:val="00F24718"/>
    <w:rsid w:val="00F2499F"/>
    <w:rsid w:val="00F24B32"/>
    <w:rsid w:val="00F24BD4"/>
    <w:rsid w:val="00F24D4F"/>
    <w:rsid w:val="00F25BD6"/>
    <w:rsid w:val="00F25D2D"/>
    <w:rsid w:val="00F25F12"/>
    <w:rsid w:val="00F26247"/>
    <w:rsid w:val="00F26825"/>
    <w:rsid w:val="00F26AFB"/>
    <w:rsid w:val="00F26F75"/>
    <w:rsid w:val="00F275A0"/>
    <w:rsid w:val="00F27D90"/>
    <w:rsid w:val="00F27F92"/>
    <w:rsid w:val="00F30014"/>
    <w:rsid w:val="00F30156"/>
    <w:rsid w:val="00F3035B"/>
    <w:rsid w:val="00F30504"/>
    <w:rsid w:val="00F30959"/>
    <w:rsid w:val="00F30A85"/>
    <w:rsid w:val="00F30AC3"/>
    <w:rsid w:val="00F30E3D"/>
    <w:rsid w:val="00F3100A"/>
    <w:rsid w:val="00F315C7"/>
    <w:rsid w:val="00F31AF6"/>
    <w:rsid w:val="00F31D72"/>
    <w:rsid w:val="00F32041"/>
    <w:rsid w:val="00F328B8"/>
    <w:rsid w:val="00F32B70"/>
    <w:rsid w:val="00F32F18"/>
    <w:rsid w:val="00F33D9F"/>
    <w:rsid w:val="00F33F6C"/>
    <w:rsid w:val="00F33FF9"/>
    <w:rsid w:val="00F341F4"/>
    <w:rsid w:val="00F342C1"/>
    <w:rsid w:val="00F34481"/>
    <w:rsid w:val="00F3498E"/>
    <w:rsid w:val="00F34BF5"/>
    <w:rsid w:val="00F352D2"/>
    <w:rsid w:val="00F35E23"/>
    <w:rsid w:val="00F360D0"/>
    <w:rsid w:val="00F36894"/>
    <w:rsid w:val="00F369B0"/>
    <w:rsid w:val="00F369CA"/>
    <w:rsid w:val="00F37145"/>
    <w:rsid w:val="00F371DE"/>
    <w:rsid w:val="00F374FA"/>
    <w:rsid w:val="00F3782B"/>
    <w:rsid w:val="00F37864"/>
    <w:rsid w:val="00F378AF"/>
    <w:rsid w:val="00F4002F"/>
    <w:rsid w:val="00F406CA"/>
    <w:rsid w:val="00F40AB0"/>
    <w:rsid w:val="00F411E7"/>
    <w:rsid w:val="00F411EC"/>
    <w:rsid w:val="00F4137B"/>
    <w:rsid w:val="00F41616"/>
    <w:rsid w:val="00F419DC"/>
    <w:rsid w:val="00F42022"/>
    <w:rsid w:val="00F428A8"/>
    <w:rsid w:val="00F433A1"/>
    <w:rsid w:val="00F4369D"/>
    <w:rsid w:val="00F43735"/>
    <w:rsid w:val="00F43752"/>
    <w:rsid w:val="00F437E6"/>
    <w:rsid w:val="00F4391F"/>
    <w:rsid w:val="00F43BDE"/>
    <w:rsid w:val="00F43FC8"/>
    <w:rsid w:val="00F44002"/>
    <w:rsid w:val="00F44595"/>
    <w:rsid w:val="00F44BC7"/>
    <w:rsid w:val="00F451CE"/>
    <w:rsid w:val="00F45935"/>
    <w:rsid w:val="00F4602A"/>
    <w:rsid w:val="00F46197"/>
    <w:rsid w:val="00F4666A"/>
    <w:rsid w:val="00F46737"/>
    <w:rsid w:val="00F46981"/>
    <w:rsid w:val="00F46B46"/>
    <w:rsid w:val="00F46CE3"/>
    <w:rsid w:val="00F46E28"/>
    <w:rsid w:val="00F4702F"/>
    <w:rsid w:val="00F4707E"/>
    <w:rsid w:val="00F4749A"/>
    <w:rsid w:val="00F47FC4"/>
    <w:rsid w:val="00F50199"/>
    <w:rsid w:val="00F501A2"/>
    <w:rsid w:val="00F50616"/>
    <w:rsid w:val="00F5094A"/>
    <w:rsid w:val="00F5115F"/>
    <w:rsid w:val="00F5136C"/>
    <w:rsid w:val="00F5155F"/>
    <w:rsid w:val="00F51658"/>
    <w:rsid w:val="00F5175B"/>
    <w:rsid w:val="00F51FF9"/>
    <w:rsid w:val="00F5209B"/>
    <w:rsid w:val="00F536B3"/>
    <w:rsid w:val="00F53A9C"/>
    <w:rsid w:val="00F54023"/>
    <w:rsid w:val="00F540F3"/>
    <w:rsid w:val="00F54594"/>
    <w:rsid w:val="00F546B2"/>
    <w:rsid w:val="00F54C46"/>
    <w:rsid w:val="00F54DD1"/>
    <w:rsid w:val="00F56046"/>
    <w:rsid w:val="00F56B27"/>
    <w:rsid w:val="00F5722D"/>
    <w:rsid w:val="00F57708"/>
    <w:rsid w:val="00F57883"/>
    <w:rsid w:val="00F57AEA"/>
    <w:rsid w:val="00F57B75"/>
    <w:rsid w:val="00F60265"/>
    <w:rsid w:val="00F6030E"/>
    <w:rsid w:val="00F60694"/>
    <w:rsid w:val="00F606D1"/>
    <w:rsid w:val="00F6073B"/>
    <w:rsid w:val="00F60944"/>
    <w:rsid w:val="00F60A8A"/>
    <w:rsid w:val="00F6106D"/>
    <w:rsid w:val="00F6144D"/>
    <w:rsid w:val="00F61457"/>
    <w:rsid w:val="00F61503"/>
    <w:rsid w:val="00F61515"/>
    <w:rsid w:val="00F616F4"/>
    <w:rsid w:val="00F617C2"/>
    <w:rsid w:val="00F61F0B"/>
    <w:rsid w:val="00F61F30"/>
    <w:rsid w:val="00F6233F"/>
    <w:rsid w:val="00F62385"/>
    <w:rsid w:val="00F626AD"/>
    <w:rsid w:val="00F6295F"/>
    <w:rsid w:val="00F6304A"/>
    <w:rsid w:val="00F63117"/>
    <w:rsid w:val="00F63AE7"/>
    <w:rsid w:val="00F640A6"/>
    <w:rsid w:val="00F64983"/>
    <w:rsid w:val="00F6529F"/>
    <w:rsid w:val="00F652AE"/>
    <w:rsid w:val="00F656E0"/>
    <w:rsid w:val="00F65917"/>
    <w:rsid w:val="00F659A7"/>
    <w:rsid w:val="00F662B6"/>
    <w:rsid w:val="00F666DD"/>
    <w:rsid w:val="00F6670B"/>
    <w:rsid w:val="00F66781"/>
    <w:rsid w:val="00F66DF9"/>
    <w:rsid w:val="00F670F8"/>
    <w:rsid w:val="00F6737F"/>
    <w:rsid w:val="00F675AC"/>
    <w:rsid w:val="00F677DA"/>
    <w:rsid w:val="00F67828"/>
    <w:rsid w:val="00F6789A"/>
    <w:rsid w:val="00F67E24"/>
    <w:rsid w:val="00F700C1"/>
    <w:rsid w:val="00F701E7"/>
    <w:rsid w:val="00F70311"/>
    <w:rsid w:val="00F7076C"/>
    <w:rsid w:val="00F70C0E"/>
    <w:rsid w:val="00F71239"/>
    <w:rsid w:val="00F719FB"/>
    <w:rsid w:val="00F71A3B"/>
    <w:rsid w:val="00F71B09"/>
    <w:rsid w:val="00F71BCE"/>
    <w:rsid w:val="00F726F8"/>
    <w:rsid w:val="00F72907"/>
    <w:rsid w:val="00F72AAF"/>
    <w:rsid w:val="00F73346"/>
    <w:rsid w:val="00F73668"/>
    <w:rsid w:val="00F73AE7"/>
    <w:rsid w:val="00F73C11"/>
    <w:rsid w:val="00F73D9B"/>
    <w:rsid w:val="00F74334"/>
    <w:rsid w:val="00F74606"/>
    <w:rsid w:val="00F74637"/>
    <w:rsid w:val="00F74C22"/>
    <w:rsid w:val="00F74D29"/>
    <w:rsid w:val="00F74DFD"/>
    <w:rsid w:val="00F75700"/>
    <w:rsid w:val="00F7642C"/>
    <w:rsid w:val="00F76941"/>
    <w:rsid w:val="00F76A30"/>
    <w:rsid w:val="00F76E6E"/>
    <w:rsid w:val="00F7744D"/>
    <w:rsid w:val="00F77A9C"/>
    <w:rsid w:val="00F77FA1"/>
    <w:rsid w:val="00F80972"/>
    <w:rsid w:val="00F809F1"/>
    <w:rsid w:val="00F80F50"/>
    <w:rsid w:val="00F81148"/>
    <w:rsid w:val="00F81439"/>
    <w:rsid w:val="00F814C7"/>
    <w:rsid w:val="00F81C8E"/>
    <w:rsid w:val="00F82041"/>
    <w:rsid w:val="00F82215"/>
    <w:rsid w:val="00F823F5"/>
    <w:rsid w:val="00F8244B"/>
    <w:rsid w:val="00F82498"/>
    <w:rsid w:val="00F8268F"/>
    <w:rsid w:val="00F82979"/>
    <w:rsid w:val="00F83355"/>
    <w:rsid w:val="00F833FF"/>
    <w:rsid w:val="00F840EF"/>
    <w:rsid w:val="00F846E2"/>
    <w:rsid w:val="00F848B4"/>
    <w:rsid w:val="00F84C8C"/>
    <w:rsid w:val="00F858ED"/>
    <w:rsid w:val="00F85942"/>
    <w:rsid w:val="00F85A0B"/>
    <w:rsid w:val="00F85D7F"/>
    <w:rsid w:val="00F85EA2"/>
    <w:rsid w:val="00F86E59"/>
    <w:rsid w:val="00F86FE4"/>
    <w:rsid w:val="00F8794C"/>
    <w:rsid w:val="00F87E2D"/>
    <w:rsid w:val="00F90341"/>
    <w:rsid w:val="00F90585"/>
    <w:rsid w:val="00F90AEB"/>
    <w:rsid w:val="00F91252"/>
    <w:rsid w:val="00F918F1"/>
    <w:rsid w:val="00F91C02"/>
    <w:rsid w:val="00F91DE5"/>
    <w:rsid w:val="00F91F31"/>
    <w:rsid w:val="00F92041"/>
    <w:rsid w:val="00F923CD"/>
    <w:rsid w:val="00F92A7D"/>
    <w:rsid w:val="00F92C28"/>
    <w:rsid w:val="00F92E4E"/>
    <w:rsid w:val="00F930C8"/>
    <w:rsid w:val="00F93C3C"/>
    <w:rsid w:val="00F93C54"/>
    <w:rsid w:val="00F93FA9"/>
    <w:rsid w:val="00F94B02"/>
    <w:rsid w:val="00F9503C"/>
    <w:rsid w:val="00F9547F"/>
    <w:rsid w:val="00F95D1C"/>
    <w:rsid w:val="00F95EAC"/>
    <w:rsid w:val="00F95EF2"/>
    <w:rsid w:val="00F96575"/>
    <w:rsid w:val="00F96775"/>
    <w:rsid w:val="00F96A62"/>
    <w:rsid w:val="00F96A72"/>
    <w:rsid w:val="00F973EE"/>
    <w:rsid w:val="00F97871"/>
    <w:rsid w:val="00F978B4"/>
    <w:rsid w:val="00FA0167"/>
    <w:rsid w:val="00FA026A"/>
    <w:rsid w:val="00FA0968"/>
    <w:rsid w:val="00FA0A23"/>
    <w:rsid w:val="00FA1184"/>
    <w:rsid w:val="00FA143F"/>
    <w:rsid w:val="00FA19F9"/>
    <w:rsid w:val="00FA1A5E"/>
    <w:rsid w:val="00FA1A70"/>
    <w:rsid w:val="00FA1ADF"/>
    <w:rsid w:val="00FA1EC3"/>
    <w:rsid w:val="00FA275C"/>
    <w:rsid w:val="00FA2BE5"/>
    <w:rsid w:val="00FA2C7C"/>
    <w:rsid w:val="00FA2D3C"/>
    <w:rsid w:val="00FA2F10"/>
    <w:rsid w:val="00FA3276"/>
    <w:rsid w:val="00FA3F2C"/>
    <w:rsid w:val="00FA3F2F"/>
    <w:rsid w:val="00FA4438"/>
    <w:rsid w:val="00FA4A5B"/>
    <w:rsid w:val="00FA5461"/>
    <w:rsid w:val="00FA5606"/>
    <w:rsid w:val="00FA58BB"/>
    <w:rsid w:val="00FA5B79"/>
    <w:rsid w:val="00FA5BAC"/>
    <w:rsid w:val="00FA5C73"/>
    <w:rsid w:val="00FA5F67"/>
    <w:rsid w:val="00FA649D"/>
    <w:rsid w:val="00FA6CBA"/>
    <w:rsid w:val="00FA6E70"/>
    <w:rsid w:val="00FA6F32"/>
    <w:rsid w:val="00FA7428"/>
    <w:rsid w:val="00FA7E7C"/>
    <w:rsid w:val="00FB041D"/>
    <w:rsid w:val="00FB13C9"/>
    <w:rsid w:val="00FB1970"/>
    <w:rsid w:val="00FB1BD8"/>
    <w:rsid w:val="00FB1BF6"/>
    <w:rsid w:val="00FB1D5A"/>
    <w:rsid w:val="00FB1F5C"/>
    <w:rsid w:val="00FB200F"/>
    <w:rsid w:val="00FB2181"/>
    <w:rsid w:val="00FB285B"/>
    <w:rsid w:val="00FB2953"/>
    <w:rsid w:val="00FB2974"/>
    <w:rsid w:val="00FB2CDA"/>
    <w:rsid w:val="00FB3355"/>
    <w:rsid w:val="00FB35DD"/>
    <w:rsid w:val="00FB36C5"/>
    <w:rsid w:val="00FB3801"/>
    <w:rsid w:val="00FB3DCB"/>
    <w:rsid w:val="00FB41D7"/>
    <w:rsid w:val="00FB43EC"/>
    <w:rsid w:val="00FB463A"/>
    <w:rsid w:val="00FB4A03"/>
    <w:rsid w:val="00FB4A2A"/>
    <w:rsid w:val="00FB4CB0"/>
    <w:rsid w:val="00FB5628"/>
    <w:rsid w:val="00FB5E4C"/>
    <w:rsid w:val="00FB6207"/>
    <w:rsid w:val="00FB624A"/>
    <w:rsid w:val="00FB651D"/>
    <w:rsid w:val="00FB667E"/>
    <w:rsid w:val="00FB702D"/>
    <w:rsid w:val="00FB7137"/>
    <w:rsid w:val="00FB74D5"/>
    <w:rsid w:val="00FB7A62"/>
    <w:rsid w:val="00FB7EBC"/>
    <w:rsid w:val="00FC030B"/>
    <w:rsid w:val="00FC0356"/>
    <w:rsid w:val="00FC06F1"/>
    <w:rsid w:val="00FC0CA0"/>
    <w:rsid w:val="00FC10CD"/>
    <w:rsid w:val="00FC13F5"/>
    <w:rsid w:val="00FC1627"/>
    <w:rsid w:val="00FC1934"/>
    <w:rsid w:val="00FC1944"/>
    <w:rsid w:val="00FC1F1C"/>
    <w:rsid w:val="00FC2178"/>
    <w:rsid w:val="00FC2841"/>
    <w:rsid w:val="00FC29C5"/>
    <w:rsid w:val="00FC2C30"/>
    <w:rsid w:val="00FC30A5"/>
    <w:rsid w:val="00FC32C4"/>
    <w:rsid w:val="00FC365B"/>
    <w:rsid w:val="00FC3E04"/>
    <w:rsid w:val="00FC40DF"/>
    <w:rsid w:val="00FC4468"/>
    <w:rsid w:val="00FC503E"/>
    <w:rsid w:val="00FC52D9"/>
    <w:rsid w:val="00FC5426"/>
    <w:rsid w:val="00FC5660"/>
    <w:rsid w:val="00FC5D22"/>
    <w:rsid w:val="00FC61C9"/>
    <w:rsid w:val="00FC6245"/>
    <w:rsid w:val="00FC63E3"/>
    <w:rsid w:val="00FC6847"/>
    <w:rsid w:val="00FC69F1"/>
    <w:rsid w:val="00FC6A2B"/>
    <w:rsid w:val="00FC6B1A"/>
    <w:rsid w:val="00FC6E30"/>
    <w:rsid w:val="00FC73CF"/>
    <w:rsid w:val="00FC7A48"/>
    <w:rsid w:val="00FD010E"/>
    <w:rsid w:val="00FD07D3"/>
    <w:rsid w:val="00FD0981"/>
    <w:rsid w:val="00FD10E3"/>
    <w:rsid w:val="00FD111B"/>
    <w:rsid w:val="00FD198F"/>
    <w:rsid w:val="00FD1E12"/>
    <w:rsid w:val="00FD240D"/>
    <w:rsid w:val="00FD2B6C"/>
    <w:rsid w:val="00FD2DD5"/>
    <w:rsid w:val="00FD325C"/>
    <w:rsid w:val="00FD3264"/>
    <w:rsid w:val="00FD3722"/>
    <w:rsid w:val="00FD391E"/>
    <w:rsid w:val="00FD3A89"/>
    <w:rsid w:val="00FD46F1"/>
    <w:rsid w:val="00FD4FD7"/>
    <w:rsid w:val="00FD50E0"/>
    <w:rsid w:val="00FD5361"/>
    <w:rsid w:val="00FD5465"/>
    <w:rsid w:val="00FD546F"/>
    <w:rsid w:val="00FD5BEC"/>
    <w:rsid w:val="00FD6015"/>
    <w:rsid w:val="00FD697E"/>
    <w:rsid w:val="00FD6A9D"/>
    <w:rsid w:val="00FD6FAA"/>
    <w:rsid w:val="00FD71D9"/>
    <w:rsid w:val="00FD7223"/>
    <w:rsid w:val="00FD7291"/>
    <w:rsid w:val="00FD73CF"/>
    <w:rsid w:val="00FD7EE1"/>
    <w:rsid w:val="00FE0920"/>
    <w:rsid w:val="00FE11B0"/>
    <w:rsid w:val="00FE1595"/>
    <w:rsid w:val="00FE1A3B"/>
    <w:rsid w:val="00FE1E49"/>
    <w:rsid w:val="00FE2508"/>
    <w:rsid w:val="00FE256A"/>
    <w:rsid w:val="00FE2809"/>
    <w:rsid w:val="00FE2A79"/>
    <w:rsid w:val="00FE2B02"/>
    <w:rsid w:val="00FE325E"/>
    <w:rsid w:val="00FE32BE"/>
    <w:rsid w:val="00FE3922"/>
    <w:rsid w:val="00FE3B63"/>
    <w:rsid w:val="00FE3F75"/>
    <w:rsid w:val="00FE4256"/>
    <w:rsid w:val="00FE4342"/>
    <w:rsid w:val="00FE4B1B"/>
    <w:rsid w:val="00FE4BC2"/>
    <w:rsid w:val="00FE4BC7"/>
    <w:rsid w:val="00FE4C93"/>
    <w:rsid w:val="00FE51B4"/>
    <w:rsid w:val="00FE5258"/>
    <w:rsid w:val="00FE5645"/>
    <w:rsid w:val="00FE5723"/>
    <w:rsid w:val="00FE57B1"/>
    <w:rsid w:val="00FE58D1"/>
    <w:rsid w:val="00FE5E68"/>
    <w:rsid w:val="00FE65FF"/>
    <w:rsid w:val="00FE6E07"/>
    <w:rsid w:val="00FE7606"/>
    <w:rsid w:val="00FE7FE8"/>
    <w:rsid w:val="00FF04C1"/>
    <w:rsid w:val="00FF0DBE"/>
    <w:rsid w:val="00FF103F"/>
    <w:rsid w:val="00FF15D8"/>
    <w:rsid w:val="00FF1A33"/>
    <w:rsid w:val="00FF25F4"/>
    <w:rsid w:val="00FF28E2"/>
    <w:rsid w:val="00FF3AF9"/>
    <w:rsid w:val="00FF3C5C"/>
    <w:rsid w:val="00FF3F63"/>
    <w:rsid w:val="00FF4487"/>
    <w:rsid w:val="00FF4D0E"/>
    <w:rsid w:val="00FF576B"/>
    <w:rsid w:val="00FF5BA4"/>
    <w:rsid w:val="00FF6211"/>
    <w:rsid w:val="00FF714A"/>
    <w:rsid w:val="00FF75E6"/>
    <w:rsid w:val="00FF7A2F"/>
    <w:rsid w:val="00FF7AB5"/>
    <w:rsid w:val="056A5776"/>
    <w:rsid w:val="186A3F97"/>
    <w:rsid w:val="20FE0EDA"/>
    <w:rsid w:val="221D3185"/>
    <w:rsid w:val="22624AD2"/>
    <w:rsid w:val="287F2E40"/>
    <w:rsid w:val="296B329E"/>
    <w:rsid w:val="2A087294"/>
    <w:rsid w:val="2AED2910"/>
    <w:rsid w:val="44DC161C"/>
    <w:rsid w:val="48CE733E"/>
    <w:rsid w:val="4C584BE7"/>
    <w:rsid w:val="4DEE2055"/>
    <w:rsid w:val="5ACC2A6C"/>
    <w:rsid w:val="63FB3067"/>
    <w:rsid w:val="67891828"/>
    <w:rsid w:val="79163311"/>
    <w:rsid w:val="7A8A5223"/>
    <w:rsid w:val="7E3B25D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qFormat="1" w:uiPriority="99" w:name="index 8"/>
    <w:lsdException w:qFormat="1"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iPriority="99" w:semiHidden="0"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iPriority="99"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qFormat="1" w:uiPriority="99" w:semiHidden="0"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37"/>
    <w:qFormat/>
    <w:uiPriority w:val="9"/>
    <w:pPr>
      <w:keepNext/>
      <w:keepLines/>
      <w:spacing w:before="340" w:after="330" w:line="578" w:lineRule="auto"/>
      <w:outlineLvl w:val="0"/>
    </w:pPr>
    <w:rPr>
      <w:rFonts w:ascii="Times New Roman" w:hAnsi="Times New Roman"/>
      <w:b/>
      <w:bCs/>
      <w:kern w:val="44"/>
      <w:sz w:val="44"/>
      <w:szCs w:val="44"/>
    </w:rPr>
  </w:style>
  <w:style w:type="paragraph" w:styleId="3">
    <w:name w:val="heading 3"/>
    <w:basedOn w:val="1"/>
    <w:next w:val="1"/>
    <w:link w:val="38"/>
    <w:semiHidden/>
    <w:unhideWhenUsed/>
    <w:qFormat/>
    <w:uiPriority w:val="9"/>
    <w:pPr>
      <w:keepNext/>
      <w:keepLines/>
      <w:spacing w:before="260" w:after="260" w:line="416" w:lineRule="auto"/>
      <w:outlineLvl w:val="2"/>
    </w:pPr>
    <w:rPr>
      <w:b/>
      <w:bCs/>
      <w:sz w:val="32"/>
      <w:szCs w:val="32"/>
    </w:rPr>
  </w:style>
  <w:style w:type="paragraph" w:styleId="4">
    <w:name w:val="heading 4"/>
    <w:basedOn w:val="1"/>
    <w:next w:val="1"/>
    <w:link w:val="66"/>
    <w:semiHidden/>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31">
    <w:name w:val="Default Paragraph Font"/>
    <w:semiHidden/>
    <w:unhideWhenUsed/>
    <w:uiPriority w:val="1"/>
  </w:style>
  <w:style w:type="table" w:default="1" w:styleId="29">
    <w:name w:val="Normal Table"/>
    <w:semiHidden/>
    <w:unhideWhenUsed/>
    <w:uiPriority w:val="99"/>
    <w:tblPr>
      <w:tblCellMar>
        <w:top w:w="0" w:type="dxa"/>
        <w:left w:w="108" w:type="dxa"/>
        <w:bottom w:w="0" w:type="dxa"/>
        <w:right w:w="108" w:type="dxa"/>
      </w:tblCellMar>
    </w:tblPr>
  </w:style>
  <w:style w:type="paragraph" w:styleId="5">
    <w:name w:val="toc 7"/>
    <w:basedOn w:val="1"/>
    <w:next w:val="1"/>
    <w:unhideWhenUsed/>
    <w:qFormat/>
    <w:uiPriority w:val="39"/>
    <w:pPr>
      <w:ind w:left="2520" w:leftChars="1200"/>
    </w:pPr>
    <w:rPr>
      <w:rFonts w:asciiTheme="minorHAnsi" w:hAnsiTheme="minorHAnsi" w:eastAsiaTheme="minorEastAsia" w:cstheme="minorBidi"/>
      <w:szCs w:val="22"/>
    </w:rPr>
  </w:style>
  <w:style w:type="paragraph" w:styleId="6">
    <w:name w:val="index 8"/>
    <w:basedOn w:val="1"/>
    <w:next w:val="1"/>
    <w:semiHidden/>
    <w:unhideWhenUsed/>
    <w:qFormat/>
    <w:uiPriority w:val="99"/>
    <w:pPr>
      <w:ind w:left="1400" w:leftChars="1400"/>
    </w:pPr>
  </w:style>
  <w:style w:type="paragraph" w:styleId="7">
    <w:name w:val="Normal Indent"/>
    <w:basedOn w:val="1"/>
    <w:link w:val="57"/>
    <w:qFormat/>
    <w:uiPriority w:val="0"/>
    <w:pPr>
      <w:widowControl/>
      <w:adjustRightInd w:val="0"/>
      <w:snapToGrid w:val="0"/>
      <w:ind w:firstLine="420"/>
    </w:pPr>
    <w:rPr>
      <w:rFonts w:ascii="Plotter" w:hAnsi="Plotter"/>
      <w:sz w:val="28"/>
      <w:szCs w:val="20"/>
    </w:rPr>
  </w:style>
  <w:style w:type="paragraph" w:styleId="8">
    <w:name w:val="Document Map"/>
    <w:basedOn w:val="1"/>
    <w:link w:val="39"/>
    <w:unhideWhenUsed/>
    <w:qFormat/>
    <w:uiPriority w:val="99"/>
    <w:rPr>
      <w:rFonts w:ascii="宋体"/>
      <w:sz w:val="18"/>
      <w:szCs w:val="18"/>
    </w:rPr>
  </w:style>
  <w:style w:type="paragraph" w:styleId="9">
    <w:name w:val="annotation text"/>
    <w:basedOn w:val="1"/>
    <w:link w:val="40"/>
    <w:semiHidden/>
    <w:unhideWhenUsed/>
    <w:qFormat/>
    <w:uiPriority w:val="99"/>
    <w:pPr>
      <w:jc w:val="left"/>
    </w:pPr>
  </w:style>
  <w:style w:type="paragraph" w:styleId="10">
    <w:name w:val="Body Text"/>
    <w:basedOn w:val="1"/>
    <w:link w:val="62"/>
    <w:semiHidden/>
    <w:unhideWhenUsed/>
    <w:qFormat/>
    <w:uiPriority w:val="99"/>
    <w:pPr>
      <w:spacing w:after="120"/>
    </w:pPr>
  </w:style>
  <w:style w:type="paragraph" w:styleId="11">
    <w:name w:val="Body Text Indent"/>
    <w:basedOn w:val="1"/>
    <w:link w:val="73"/>
    <w:semiHidden/>
    <w:unhideWhenUsed/>
    <w:qFormat/>
    <w:uiPriority w:val="99"/>
    <w:pPr>
      <w:spacing w:after="120"/>
      <w:ind w:left="420" w:leftChars="200"/>
    </w:pPr>
  </w:style>
  <w:style w:type="paragraph" w:styleId="12">
    <w:name w:val="toc 5"/>
    <w:basedOn w:val="1"/>
    <w:next w:val="1"/>
    <w:unhideWhenUsed/>
    <w:qFormat/>
    <w:uiPriority w:val="39"/>
    <w:pPr>
      <w:ind w:left="1680" w:leftChars="800"/>
    </w:pPr>
    <w:rPr>
      <w:rFonts w:asciiTheme="minorHAnsi" w:hAnsiTheme="minorHAnsi" w:eastAsiaTheme="minorEastAsia" w:cstheme="minorBidi"/>
      <w:szCs w:val="22"/>
    </w:rPr>
  </w:style>
  <w:style w:type="paragraph" w:styleId="13">
    <w:name w:val="toc 3"/>
    <w:basedOn w:val="1"/>
    <w:next w:val="1"/>
    <w:unhideWhenUsed/>
    <w:qFormat/>
    <w:uiPriority w:val="39"/>
    <w:pPr>
      <w:ind w:left="840" w:leftChars="400"/>
    </w:pPr>
  </w:style>
  <w:style w:type="paragraph" w:styleId="14">
    <w:name w:val="toc 8"/>
    <w:basedOn w:val="1"/>
    <w:next w:val="1"/>
    <w:unhideWhenUsed/>
    <w:qFormat/>
    <w:uiPriority w:val="39"/>
    <w:pPr>
      <w:ind w:left="2940" w:leftChars="1400"/>
    </w:pPr>
    <w:rPr>
      <w:rFonts w:asciiTheme="minorHAnsi" w:hAnsiTheme="minorHAnsi" w:eastAsiaTheme="minorEastAsia" w:cstheme="minorBidi"/>
      <w:szCs w:val="22"/>
    </w:rPr>
  </w:style>
  <w:style w:type="paragraph" w:styleId="15">
    <w:name w:val="Balloon Text"/>
    <w:basedOn w:val="1"/>
    <w:link w:val="41"/>
    <w:semiHidden/>
    <w:unhideWhenUsed/>
    <w:qFormat/>
    <w:uiPriority w:val="99"/>
    <w:rPr>
      <w:sz w:val="18"/>
      <w:szCs w:val="18"/>
    </w:rPr>
  </w:style>
  <w:style w:type="paragraph" w:styleId="16">
    <w:name w:val="footer"/>
    <w:basedOn w:val="1"/>
    <w:link w:val="42"/>
    <w:unhideWhenUsed/>
    <w:qFormat/>
    <w:uiPriority w:val="99"/>
    <w:pPr>
      <w:tabs>
        <w:tab w:val="center" w:pos="4153"/>
        <w:tab w:val="right" w:pos="8306"/>
      </w:tabs>
      <w:snapToGrid w:val="0"/>
      <w:jc w:val="left"/>
    </w:pPr>
    <w:rPr>
      <w:sz w:val="18"/>
      <w:szCs w:val="18"/>
    </w:rPr>
  </w:style>
  <w:style w:type="paragraph" w:styleId="17">
    <w:name w:val="header"/>
    <w:basedOn w:val="1"/>
    <w:link w:val="43"/>
    <w:unhideWhenUsed/>
    <w:qFormat/>
    <w:uiPriority w:val="99"/>
    <w:pPr>
      <w:pBdr>
        <w:bottom w:val="single" w:color="auto" w:sz="6" w:space="1"/>
      </w:pBdr>
      <w:tabs>
        <w:tab w:val="center" w:pos="4153"/>
        <w:tab w:val="right" w:pos="8306"/>
      </w:tabs>
      <w:snapToGrid w:val="0"/>
      <w:jc w:val="center"/>
    </w:pPr>
    <w:rPr>
      <w:sz w:val="18"/>
      <w:szCs w:val="18"/>
    </w:rPr>
  </w:style>
  <w:style w:type="paragraph" w:styleId="18">
    <w:name w:val="toc 1"/>
    <w:basedOn w:val="1"/>
    <w:next w:val="1"/>
    <w:unhideWhenUsed/>
    <w:qFormat/>
    <w:uiPriority w:val="39"/>
  </w:style>
  <w:style w:type="paragraph" w:styleId="19">
    <w:name w:val="toc 4"/>
    <w:basedOn w:val="1"/>
    <w:next w:val="1"/>
    <w:unhideWhenUsed/>
    <w:qFormat/>
    <w:uiPriority w:val="39"/>
    <w:pPr>
      <w:ind w:left="1260" w:leftChars="600"/>
    </w:pPr>
    <w:rPr>
      <w:rFonts w:asciiTheme="minorHAnsi" w:hAnsiTheme="minorHAnsi" w:eastAsiaTheme="minorEastAsia" w:cstheme="minorBidi"/>
      <w:szCs w:val="22"/>
    </w:rPr>
  </w:style>
  <w:style w:type="paragraph" w:styleId="20">
    <w:name w:val="footnote text"/>
    <w:basedOn w:val="1"/>
    <w:link w:val="44"/>
    <w:unhideWhenUsed/>
    <w:qFormat/>
    <w:uiPriority w:val="99"/>
    <w:pPr>
      <w:snapToGrid w:val="0"/>
      <w:jc w:val="left"/>
    </w:pPr>
    <w:rPr>
      <w:rFonts w:cs="Calibri"/>
      <w:kern w:val="0"/>
      <w:sz w:val="18"/>
      <w:szCs w:val="18"/>
    </w:rPr>
  </w:style>
  <w:style w:type="paragraph" w:styleId="21">
    <w:name w:val="toc 6"/>
    <w:basedOn w:val="1"/>
    <w:next w:val="1"/>
    <w:unhideWhenUsed/>
    <w:qFormat/>
    <w:uiPriority w:val="39"/>
    <w:pPr>
      <w:ind w:left="2100" w:leftChars="1000"/>
    </w:pPr>
    <w:rPr>
      <w:rFonts w:asciiTheme="minorHAnsi" w:hAnsiTheme="minorHAnsi" w:eastAsiaTheme="minorEastAsia" w:cstheme="minorBidi"/>
      <w:szCs w:val="22"/>
    </w:rPr>
  </w:style>
  <w:style w:type="paragraph" w:styleId="22">
    <w:name w:val="index 9"/>
    <w:basedOn w:val="1"/>
    <w:next w:val="1"/>
    <w:semiHidden/>
    <w:unhideWhenUsed/>
    <w:qFormat/>
    <w:uiPriority w:val="99"/>
    <w:pPr>
      <w:ind w:left="1600" w:leftChars="1600"/>
    </w:pPr>
  </w:style>
  <w:style w:type="paragraph" w:styleId="23">
    <w:name w:val="toc 2"/>
    <w:basedOn w:val="1"/>
    <w:next w:val="1"/>
    <w:unhideWhenUsed/>
    <w:qFormat/>
    <w:uiPriority w:val="39"/>
    <w:pPr>
      <w:ind w:left="420" w:leftChars="200"/>
    </w:pPr>
  </w:style>
  <w:style w:type="paragraph" w:styleId="24">
    <w:name w:val="toc 9"/>
    <w:basedOn w:val="1"/>
    <w:next w:val="1"/>
    <w:unhideWhenUsed/>
    <w:qFormat/>
    <w:uiPriority w:val="39"/>
    <w:pPr>
      <w:ind w:left="3360" w:leftChars="1600"/>
    </w:pPr>
    <w:rPr>
      <w:rFonts w:asciiTheme="minorHAnsi" w:hAnsiTheme="minorHAnsi" w:eastAsiaTheme="minorEastAsia" w:cstheme="minorBidi"/>
      <w:szCs w:val="22"/>
    </w:rPr>
  </w:style>
  <w:style w:type="paragraph" w:styleId="25">
    <w:name w:val="Normal (Web)"/>
    <w:basedOn w:val="1"/>
    <w:qFormat/>
    <w:uiPriority w:val="99"/>
    <w:pPr>
      <w:spacing w:beforeAutospacing="1" w:afterAutospacing="1"/>
      <w:jc w:val="left"/>
    </w:pPr>
    <w:rPr>
      <w:rFonts w:cs="Calibri"/>
      <w:kern w:val="0"/>
      <w:sz w:val="24"/>
    </w:rPr>
  </w:style>
  <w:style w:type="paragraph" w:styleId="26">
    <w:name w:val="annotation subject"/>
    <w:basedOn w:val="9"/>
    <w:next w:val="9"/>
    <w:link w:val="45"/>
    <w:semiHidden/>
    <w:unhideWhenUsed/>
    <w:qFormat/>
    <w:uiPriority w:val="99"/>
    <w:rPr>
      <w:b/>
      <w:bCs/>
    </w:rPr>
  </w:style>
  <w:style w:type="paragraph" w:styleId="27">
    <w:name w:val="Body Text First Indent"/>
    <w:basedOn w:val="10"/>
    <w:link w:val="63"/>
    <w:qFormat/>
    <w:uiPriority w:val="0"/>
    <w:pPr>
      <w:widowControl/>
      <w:adjustRightInd w:val="0"/>
      <w:snapToGrid w:val="0"/>
      <w:spacing w:after="0" w:line="600" w:lineRule="exact"/>
      <w:ind w:firstLine="200" w:firstLineChars="200"/>
    </w:pPr>
    <w:rPr>
      <w:rFonts w:ascii="仿宋_GB2312" w:hAnsi="Times New Roman" w:eastAsia="仿宋_GB2312"/>
      <w:kern w:val="0"/>
      <w:sz w:val="30"/>
      <w:szCs w:val="20"/>
    </w:rPr>
  </w:style>
  <w:style w:type="paragraph" w:styleId="28">
    <w:name w:val="Body Text First Indent 2"/>
    <w:basedOn w:val="11"/>
    <w:link w:val="72"/>
    <w:unhideWhenUsed/>
    <w:qFormat/>
    <w:uiPriority w:val="99"/>
    <w:pPr>
      <w:ind w:firstLine="420" w:firstLineChars="200"/>
    </w:pPr>
    <w:rPr>
      <w:kern w:val="0"/>
      <w:sz w:val="20"/>
    </w:rPr>
  </w:style>
  <w:style w:type="table" w:styleId="30">
    <w:name w:val="Table Grid"/>
    <w:basedOn w:val="29"/>
    <w:qFormat/>
    <w:uiPriority w:val="59"/>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basedOn w:val="31"/>
    <w:qFormat/>
    <w:uiPriority w:val="22"/>
    <w:rPr>
      <w:b/>
      <w:bCs/>
    </w:rPr>
  </w:style>
  <w:style w:type="character" w:styleId="33">
    <w:name w:val="FollowedHyperlink"/>
    <w:basedOn w:val="31"/>
    <w:semiHidden/>
    <w:unhideWhenUsed/>
    <w:qFormat/>
    <w:uiPriority w:val="99"/>
    <w:rPr>
      <w:color w:val="954F72"/>
      <w:u w:val="single"/>
    </w:rPr>
  </w:style>
  <w:style w:type="character" w:styleId="34">
    <w:name w:val="Emphasis"/>
    <w:basedOn w:val="31"/>
    <w:qFormat/>
    <w:uiPriority w:val="20"/>
    <w:rPr>
      <w:i/>
      <w:iCs/>
    </w:rPr>
  </w:style>
  <w:style w:type="character" w:styleId="35">
    <w:name w:val="Hyperlink"/>
    <w:basedOn w:val="31"/>
    <w:unhideWhenUsed/>
    <w:qFormat/>
    <w:uiPriority w:val="99"/>
    <w:rPr>
      <w:color w:val="0000FF" w:themeColor="hyperlink"/>
      <w:u w:val="single"/>
    </w:rPr>
  </w:style>
  <w:style w:type="character" w:styleId="36">
    <w:name w:val="annotation reference"/>
    <w:basedOn w:val="31"/>
    <w:semiHidden/>
    <w:unhideWhenUsed/>
    <w:qFormat/>
    <w:uiPriority w:val="99"/>
    <w:rPr>
      <w:sz w:val="21"/>
      <w:szCs w:val="21"/>
    </w:rPr>
  </w:style>
  <w:style w:type="character" w:customStyle="1" w:styleId="37">
    <w:name w:val="标题 1 Char"/>
    <w:basedOn w:val="31"/>
    <w:link w:val="2"/>
    <w:qFormat/>
    <w:uiPriority w:val="9"/>
    <w:rPr>
      <w:rFonts w:ascii="Times New Roman" w:hAnsi="Times New Roman" w:eastAsia="宋体" w:cs="Times New Roman"/>
      <w:b/>
      <w:bCs/>
      <w:kern w:val="44"/>
      <w:sz w:val="44"/>
      <w:szCs w:val="44"/>
    </w:rPr>
  </w:style>
  <w:style w:type="character" w:customStyle="1" w:styleId="38">
    <w:name w:val="标题 3 Char"/>
    <w:basedOn w:val="31"/>
    <w:link w:val="3"/>
    <w:semiHidden/>
    <w:qFormat/>
    <w:uiPriority w:val="9"/>
    <w:rPr>
      <w:rFonts w:ascii="Calibri" w:hAnsi="Calibri" w:eastAsia="宋体" w:cs="Times New Roman"/>
      <w:b/>
      <w:bCs/>
      <w:kern w:val="2"/>
      <w:sz w:val="32"/>
      <w:szCs w:val="32"/>
    </w:rPr>
  </w:style>
  <w:style w:type="character" w:customStyle="1" w:styleId="39">
    <w:name w:val="文档结构图 Char"/>
    <w:basedOn w:val="31"/>
    <w:link w:val="8"/>
    <w:semiHidden/>
    <w:qFormat/>
    <w:uiPriority w:val="99"/>
    <w:rPr>
      <w:rFonts w:ascii="宋体" w:hAnsi="Calibri" w:eastAsia="宋体" w:cs="Times New Roman"/>
      <w:sz w:val="18"/>
      <w:szCs w:val="18"/>
    </w:rPr>
  </w:style>
  <w:style w:type="character" w:customStyle="1" w:styleId="40">
    <w:name w:val="批注文字 Char"/>
    <w:basedOn w:val="31"/>
    <w:link w:val="9"/>
    <w:semiHidden/>
    <w:qFormat/>
    <w:uiPriority w:val="99"/>
    <w:rPr>
      <w:rFonts w:ascii="Calibri" w:hAnsi="Calibri" w:eastAsia="宋体" w:cs="Times New Roman"/>
      <w:kern w:val="2"/>
      <w:sz w:val="21"/>
      <w:szCs w:val="24"/>
    </w:rPr>
  </w:style>
  <w:style w:type="character" w:customStyle="1" w:styleId="41">
    <w:name w:val="批注框文本 Char"/>
    <w:basedOn w:val="31"/>
    <w:link w:val="15"/>
    <w:semiHidden/>
    <w:qFormat/>
    <w:uiPriority w:val="99"/>
    <w:rPr>
      <w:rFonts w:ascii="Calibri" w:hAnsi="Calibri" w:eastAsia="宋体" w:cs="Times New Roman"/>
      <w:kern w:val="2"/>
      <w:sz w:val="18"/>
      <w:szCs w:val="18"/>
    </w:rPr>
  </w:style>
  <w:style w:type="character" w:customStyle="1" w:styleId="42">
    <w:name w:val="页脚 Char"/>
    <w:basedOn w:val="31"/>
    <w:link w:val="16"/>
    <w:qFormat/>
    <w:uiPriority w:val="99"/>
    <w:rPr>
      <w:rFonts w:ascii="Calibri" w:hAnsi="Calibri" w:eastAsia="宋体" w:cs="Times New Roman"/>
      <w:sz w:val="18"/>
      <w:szCs w:val="18"/>
    </w:rPr>
  </w:style>
  <w:style w:type="character" w:customStyle="1" w:styleId="43">
    <w:name w:val="页眉 Char"/>
    <w:basedOn w:val="31"/>
    <w:link w:val="17"/>
    <w:qFormat/>
    <w:uiPriority w:val="99"/>
    <w:rPr>
      <w:rFonts w:ascii="Calibri" w:hAnsi="Calibri" w:eastAsia="宋体" w:cs="Times New Roman"/>
      <w:sz w:val="18"/>
      <w:szCs w:val="18"/>
    </w:rPr>
  </w:style>
  <w:style w:type="character" w:customStyle="1" w:styleId="44">
    <w:name w:val="脚注文本 Char"/>
    <w:link w:val="20"/>
    <w:qFormat/>
    <w:locked/>
    <w:uiPriority w:val="99"/>
    <w:rPr>
      <w:rFonts w:ascii="Calibri" w:hAnsi="Calibri" w:eastAsia="宋体" w:cs="Calibri"/>
      <w:sz w:val="18"/>
      <w:szCs w:val="18"/>
    </w:rPr>
  </w:style>
  <w:style w:type="character" w:customStyle="1" w:styleId="45">
    <w:name w:val="批注主题 Char"/>
    <w:basedOn w:val="40"/>
    <w:link w:val="26"/>
    <w:semiHidden/>
    <w:qFormat/>
    <w:uiPriority w:val="99"/>
    <w:rPr>
      <w:rFonts w:ascii="Calibri" w:hAnsi="Calibri" w:eastAsia="宋体" w:cs="Times New Roman"/>
      <w:b/>
      <w:bCs/>
      <w:kern w:val="2"/>
      <w:sz w:val="21"/>
      <w:szCs w:val="24"/>
    </w:rPr>
  </w:style>
  <w:style w:type="paragraph" w:customStyle="1" w:styleId="46">
    <w:name w:val="列出段落1"/>
    <w:basedOn w:val="1"/>
    <w:qFormat/>
    <w:uiPriority w:val="0"/>
    <w:pPr>
      <w:ind w:firstLine="420" w:firstLineChars="200"/>
    </w:pPr>
  </w:style>
  <w:style w:type="paragraph" w:styleId="47">
    <w:name w:val="List Paragraph"/>
    <w:basedOn w:val="1"/>
    <w:qFormat/>
    <w:uiPriority w:val="34"/>
    <w:pPr>
      <w:ind w:firstLine="420" w:firstLineChars="200"/>
    </w:pPr>
  </w:style>
  <w:style w:type="character" w:customStyle="1" w:styleId="48">
    <w:name w:val="脚注文本 Char1"/>
    <w:basedOn w:val="31"/>
    <w:semiHidden/>
    <w:qFormat/>
    <w:uiPriority w:val="99"/>
    <w:rPr>
      <w:rFonts w:ascii="Calibri" w:hAnsi="Calibri" w:eastAsia="宋体" w:cs="Times New Roman"/>
      <w:kern w:val="2"/>
      <w:sz w:val="18"/>
      <w:szCs w:val="18"/>
    </w:rPr>
  </w:style>
  <w:style w:type="character" w:customStyle="1" w:styleId="49">
    <w:name w:val="正文样式 Char"/>
    <w:basedOn w:val="31"/>
    <w:link w:val="50"/>
    <w:qFormat/>
    <w:uiPriority w:val="0"/>
    <w:rPr>
      <w:rFonts w:ascii="Arial" w:hAnsi="Arial" w:cs="宋体"/>
      <w:kern w:val="2"/>
      <w:sz w:val="21"/>
      <w:szCs w:val="21"/>
    </w:rPr>
  </w:style>
  <w:style w:type="paragraph" w:customStyle="1" w:styleId="50">
    <w:name w:val="正文样式"/>
    <w:basedOn w:val="1"/>
    <w:link w:val="49"/>
    <w:qFormat/>
    <w:uiPriority w:val="0"/>
    <w:pPr>
      <w:spacing w:line="264" w:lineRule="auto"/>
      <w:ind w:firstLine="420" w:firstLineChars="200"/>
    </w:pPr>
    <w:rPr>
      <w:rFonts w:ascii="Arial" w:hAnsi="Arial" w:cs="宋体" w:eastAsiaTheme="minorEastAsia"/>
      <w:szCs w:val="21"/>
    </w:rPr>
  </w:style>
  <w:style w:type="character" w:customStyle="1" w:styleId="51">
    <w:name w:val="font61"/>
    <w:basedOn w:val="31"/>
    <w:qFormat/>
    <w:uiPriority w:val="0"/>
    <w:rPr>
      <w:rFonts w:hint="eastAsia" w:ascii="仿宋_GB2312" w:eastAsia="仿宋_GB2312" w:cs="仿宋_GB2312"/>
      <w:b/>
      <w:color w:val="FF0000"/>
      <w:sz w:val="30"/>
      <w:szCs w:val="30"/>
      <w:u w:val="none"/>
    </w:rPr>
  </w:style>
  <w:style w:type="character" w:customStyle="1" w:styleId="52">
    <w:name w:val="font31"/>
    <w:basedOn w:val="31"/>
    <w:qFormat/>
    <w:uiPriority w:val="0"/>
    <w:rPr>
      <w:rFonts w:hint="default" w:ascii="Times New Roman" w:hAnsi="Times New Roman" w:cs="Times New Roman"/>
      <w:b/>
      <w:color w:val="FF0000"/>
      <w:sz w:val="30"/>
      <w:szCs w:val="30"/>
      <w:u w:val="none"/>
    </w:rPr>
  </w:style>
  <w:style w:type="character" w:customStyle="1" w:styleId="53">
    <w:name w:val="font151"/>
    <w:basedOn w:val="31"/>
    <w:qFormat/>
    <w:uiPriority w:val="0"/>
    <w:rPr>
      <w:rFonts w:hint="eastAsia" w:ascii="仿宋_GB2312" w:eastAsia="仿宋_GB2312" w:cs="仿宋_GB2312"/>
      <w:color w:val="000000"/>
      <w:sz w:val="28"/>
      <w:szCs w:val="28"/>
      <w:u w:val="none"/>
    </w:rPr>
  </w:style>
  <w:style w:type="character" w:customStyle="1" w:styleId="54">
    <w:name w:val="font161"/>
    <w:basedOn w:val="31"/>
    <w:qFormat/>
    <w:uiPriority w:val="0"/>
    <w:rPr>
      <w:rFonts w:ascii="黑体" w:hAnsi="宋体" w:eastAsia="黑体" w:cs="黑体"/>
      <w:b/>
      <w:color w:val="000000"/>
      <w:sz w:val="32"/>
      <w:szCs w:val="32"/>
      <w:u w:val="none"/>
    </w:rPr>
  </w:style>
  <w:style w:type="character" w:customStyle="1" w:styleId="55">
    <w:name w:val="font81"/>
    <w:basedOn w:val="31"/>
    <w:qFormat/>
    <w:uiPriority w:val="0"/>
    <w:rPr>
      <w:rFonts w:hint="eastAsia" w:ascii="仿宋_GB2312" w:eastAsia="仿宋_GB2312" w:cs="仿宋_GB2312"/>
      <w:color w:val="000000"/>
      <w:sz w:val="32"/>
      <w:szCs w:val="32"/>
      <w:u w:val="none"/>
    </w:rPr>
  </w:style>
  <w:style w:type="character" w:customStyle="1" w:styleId="56">
    <w:name w:val="font91"/>
    <w:basedOn w:val="31"/>
    <w:qFormat/>
    <w:uiPriority w:val="0"/>
    <w:rPr>
      <w:rFonts w:hint="default" w:ascii="Times New Roman" w:hAnsi="Times New Roman" w:cs="Times New Roman"/>
      <w:color w:val="000000"/>
      <w:sz w:val="32"/>
      <w:szCs w:val="32"/>
      <w:u w:val="none"/>
    </w:rPr>
  </w:style>
  <w:style w:type="character" w:customStyle="1" w:styleId="57">
    <w:name w:val="正文缩进 Char"/>
    <w:link w:val="7"/>
    <w:qFormat/>
    <w:uiPriority w:val="0"/>
    <w:rPr>
      <w:rFonts w:ascii="Plotter" w:hAnsi="Plotter" w:eastAsia="宋体" w:cs="Times New Roman"/>
      <w:kern w:val="2"/>
      <w:sz w:val="28"/>
    </w:rPr>
  </w:style>
  <w:style w:type="paragraph" w:styleId="58">
    <w:name w:val="No Spacing"/>
    <w:qFormat/>
    <w:uiPriority w:val="1"/>
    <w:pPr>
      <w:widowControl w:val="0"/>
      <w:jc w:val="both"/>
    </w:pPr>
    <w:rPr>
      <w:rFonts w:ascii="Times New Roman" w:hAnsi="Times New Roman" w:eastAsia="宋体" w:cs="Times New Roman"/>
      <w:kern w:val="2"/>
      <w:lang w:val="en-US" w:eastAsia="zh-CN" w:bidi="ar-SA"/>
    </w:rPr>
  </w:style>
  <w:style w:type="paragraph" w:customStyle="1" w:styleId="59">
    <w:name w:val="_Style 0"/>
    <w:qFormat/>
    <w:uiPriority w:val="1"/>
    <w:pPr>
      <w:widowControl w:val="0"/>
      <w:spacing w:line="360" w:lineRule="auto"/>
      <w:jc w:val="both"/>
    </w:pPr>
    <w:rPr>
      <w:rFonts w:ascii="Times New Roman" w:hAnsi="Times New Roman" w:eastAsia="宋体" w:cs="Times New Roman"/>
      <w:kern w:val="2"/>
      <w:sz w:val="24"/>
      <w:szCs w:val="22"/>
      <w:lang w:val="en-US" w:eastAsia="zh-CN" w:bidi="ar-SA"/>
    </w:rPr>
  </w:style>
  <w:style w:type="paragraph" w:customStyle="1" w:styleId="60">
    <w:name w:val="_Style 1"/>
    <w:qFormat/>
    <w:uiPriority w:val="1"/>
    <w:pPr>
      <w:widowControl w:val="0"/>
      <w:spacing w:line="360" w:lineRule="auto"/>
      <w:jc w:val="both"/>
    </w:pPr>
    <w:rPr>
      <w:rFonts w:ascii="Times New Roman" w:hAnsi="Times New Roman" w:eastAsia="宋体" w:cs="Times New Roman"/>
      <w:kern w:val="2"/>
      <w:sz w:val="24"/>
      <w:szCs w:val="22"/>
      <w:lang w:val="en-US" w:eastAsia="zh-CN" w:bidi="ar-SA"/>
    </w:rPr>
  </w:style>
  <w:style w:type="paragraph" w:customStyle="1" w:styleId="61">
    <w:name w:val="Char"/>
    <w:basedOn w:val="1"/>
    <w:qFormat/>
    <w:uiPriority w:val="0"/>
    <w:pPr>
      <w:snapToGrid w:val="0"/>
      <w:spacing w:line="360" w:lineRule="auto"/>
      <w:ind w:firstLine="200" w:firstLineChars="200"/>
    </w:pPr>
    <w:rPr>
      <w:rFonts w:ascii="Times New Roman" w:hAnsi="Times New Roman"/>
    </w:rPr>
  </w:style>
  <w:style w:type="character" w:customStyle="1" w:styleId="62">
    <w:name w:val="正文文本 Char"/>
    <w:basedOn w:val="31"/>
    <w:link w:val="10"/>
    <w:semiHidden/>
    <w:qFormat/>
    <w:uiPriority w:val="99"/>
    <w:rPr>
      <w:rFonts w:ascii="Calibri" w:hAnsi="Calibri" w:eastAsia="宋体" w:cs="Times New Roman"/>
      <w:kern w:val="2"/>
      <w:sz w:val="21"/>
      <w:szCs w:val="24"/>
    </w:rPr>
  </w:style>
  <w:style w:type="character" w:customStyle="1" w:styleId="63">
    <w:name w:val="正文首行缩进 Char"/>
    <w:basedOn w:val="62"/>
    <w:link w:val="27"/>
    <w:qFormat/>
    <w:uiPriority w:val="0"/>
    <w:rPr>
      <w:rFonts w:ascii="仿宋_GB2312" w:hAnsi="Times New Roman" w:eastAsia="仿宋_GB2312" w:cs="Times New Roman"/>
      <w:kern w:val="2"/>
      <w:sz w:val="30"/>
      <w:szCs w:val="24"/>
    </w:rPr>
  </w:style>
  <w:style w:type="paragraph" w:customStyle="1" w:styleId="64">
    <w:name w:val="文本正文"/>
    <w:basedOn w:val="1"/>
    <w:qFormat/>
    <w:uiPriority w:val="0"/>
    <w:pPr>
      <w:adjustRightInd w:val="0"/>
      <w:snapToGrid w:val="0"/>
      <w:spacing w:line="600" w:lineRule="exact"/>
      <w:ind w:firstLine="600" w:firstLineChars="200"/>
    </w:pPr>
    <w:rPr>
      <w:rFonts w:ascii="Times New Roman" w:hAnsi="Times New Roman" w:eastAsia="仿宋_GB2312"/>
      <w:sz w:val="32"/>
      <w:szCs w:val="30"/>
    </w:rPr>
  </w:style>
  <w:style w:type="paragraph" w:customStyle="1" w:styleId="65">
    <w:name w:val="Char Char Char"/>
    <w:basedOn w:val="1"/>
    <w:qFormat/>
    <w:uiPriority w:val="0"/>
    <w:pPr>
      <w:widowControl/>
      <w:spacing w:after="20"/>
      <w:jc w:val="left"/>
    </w:pPr>
    <w:rPr>
      <w:rFonts w:ascii="Times New Roman" w:hAnsi="Times New Roman"/>
      <w:szCs w:val="20"/>
    </w:rPr>
  </w:style>
  <w:style w:type="character" w:customStyle="1" w:styleId="66">
    <w:name w:val="标题 4 Char"/>
    <w:basedOn w:val="31"/>
    <w:link w:val="4"/>
    <w:qFormat/>
    <w:uiPriority w:val="0"/>
    <w:rPr>
      <w:rFonts w:asciiTheme="majorHAnsi" w:hAnsiTheme="majorHAnsi" w:eastAsiaTheme="majorEastAsia" w:cstheme="majorBidi"/>
      <w:b/>
      <w:bCs/>
      <w:kern w:val="2"/>
      <w:sz w:val="28"/>
      <w:szCs w:val="28"/>
    </w:rPr>
  </w:style>
  <w:style w:type="paragraph" w:customStyle="1" w:styleId="67">
    <w:name w:val="Default"/>
    <w:qFormat/>
    <w:uiPriority w:val="0"/>
    <w:pPr>
      <w:widowControl w:val="0"/>
      <w:autoSpaceDE w:val="0"/>
      <w:autoSpaceDN w:val="0"/>
      <w:adjustRightInd w:val="0"/>
    </w:pPr>
    <w:rPr>
      <w:rFonts w:ascii="仿宋" w:hAnsi="Calibri" w:eastAsia="仿宋" w:cs="仿宋"/>
      <w:color w:val="000000"/>
      <w:sz w:val="24"/>
      <w:szCs w:val="24"/>
      <w:lang w:val="en-US" w:eastAsia="zh-CN" w:bidi="ar-SA"/>
    </w:rPr>
  </w:style>
  <w:style w:type="character" w:customStyle="1" w:styleId="68">
    <w:name w:val="NormalCharacter"/>
    <w:qFormat/>
    <w:uiPriority w:val="99"/>
  </w:style>
  <w:style w:type="paragraph" w:customStyle="1" w:styleId="69">
    <w:name w:val="Table Paragraph"/>
    <w:basedOn w:val="1"/>
    <w:qFormat/>
    <w:uiPriority w:val="1"/>
    <w:rPr>
      <w:rFonts w:ascii="仿宋" w:hAnsi="仿宋" w:eastAsia="仿宋" w:cs="仿宋"/>
      <w:sz w:val="30"/>
      <w:lang w:val="zh-CN" w:bidi="zh-CN"/>
    </w:rPr>
  </w:style>
  <w:style w:type="paragraph" w:customStyle="1" w:styleId="70">
    <w:name w:val="Body text|21"/>
    <w:basedOn w:val="1"/>
    <w:link w:val="71"/>
    <w:qFormat/>
    <w:uiPriority w:val="0"/>
    <w:pPr>
      <w:shd w:val="clear" w:color="auto" w:fill="FFFFFF"/>
      <w:spacing w:before="720" w:line="576" w:lineRule="exact"/>
      <w:jc w:val="distribute"/>
    </w:pPr>
    <w:rPr>
      <w:rFonts w:ascii="PMingLiU" w:hAnsi="PMingLiU" w:eastAsia="PMingLiU" w:cs="PMingLiU"/>
      <w:spacing w:val="30"/>
      <w:sz w:val="28"/>
      <w:szCs w:val="28"/>
    </w:rPr>
  </w:style>
  <w:style w:type="character" w:customStyle="1" w:styleId="71">
    <w:name w:val="Body text|2_"/>
    <w:basedOn w:val="31"/>
    <w:link w:val="70"/>
    <w:qFormat/>
    <w:uiPriority w:val="0"/>
    <w:rPr>
      <w:rFonts w:ascii="PMingLiU" w:hAnsi="PMingLiU" w:eastAsia="PMingLiU" w:cs="PMingLiU"/>
      <w:spacing w:val="30"/>
      <w:kern w:val="2"/>
      <w:sz w:val="28"/>
      <w:szCs w:val="28"/>
      <w:shd w:val="clear" w:color="auto" w:fill="FFFFFF"/>
    </w:rPr>
  </w:style>
  <w:style w:type="character" w:customStyle="1" w:styleId="72">
    <w:name w:val="正文首行缩进 2 Char"/>
    <w:link w:val="28"/>
    <w:qFormat/>
    <w:uiPriority w:val="99"/>
    <w:rPr>
      <w:szCs w:val="24"/>
    </w:rPr>
  </w:style>
  <w:style w:type="character" w:customStyle="1" w:styleId="73">
    <w:name w:val="正文文本缩进 Char"/>
    <w:basedOn w:val="31"/>
    <w:link w:val="11"/>
    <w:semiHidden/>
    <w:qFormat/>
    <w:uiPriority w:val="99"/>
    <w:rPr>
      <w:kern w:val="2"/>
      <w:sz w:val="21"/>
      <w:szCs w:val="24"/>
    </w:rPr>
  </w:style>
  <w:style w:type="character" w:customStyle="1" w:styleId="74">
    <w:name w:val="正文首行缩进 2 Char1"/>
    <w:basedOn w:val="73"/>
    <w:semiHidden/>
    <w:qFormat/>
    <w:uiPriority w:val="99"/>
    <w:rPr>
      <w:kern w:val="2"/>
      <w:sz w:val="21"/>
      <w:szCs w:val="24"/>
    </w:rPr>
  </w:style>
  <w:style w:type="paragraph" w:customStyle="1" w:styleId="75">
    <w:name w:val="font5"/>
    <w:basedOn w:val="1"/>
    <w:qFormat/>
    <w:uiPriority w:val="0"/>
    <w:pPr>
      <w:widowControl/>
      <w:spacing w:before="100" w:beforeAutospacing="1" w:after="100" w:afterAutospacing="1"/>
      <w:jc w:val="left"/>
    </w:pPr>
    <w:rPr>
      <w:rFonts w:ascii="Times New Roman" w:hAnsi="Times New Roman"/>
      <w:color w:val="000000"/>
      <w:kern w:val="0"/>
      <w:sz w:val="20"/>
      <w:szCs w:val="20"/>
    </w:rPr>
  </w:style>
  <w:style w:type="paragraph" w:customStyle="1" w:styleId="76">
    <w:name w:val="font6"/>
    <w:basedOn w:val="1"/>
    <w:qFormat/>
    <w:uiPriority w:val="0"/>
    <w:pPr>
      <w:widowControl/>
      <w:spacing w:before="100" w:beforeAutospacing="1" w:after="100" w:afterAutospacing="1"/>
      <w:jc w:val="left"/>
    </w:pPr>
    <w:rPr>
      <w:rFonts w:ascii="Times New Roman" w:hAnsi="Times New Roman"/>
      <w:kern w:val="0"/>
      <w:sz w:val="18"/>
      <w:szCs w:val="18"/>
    </w:rPr>
  </w:style>
  <w:style w:type="paragraph" w:customStyle="1" w:styleId="77">
    <w:name w:val="font7"/>
    <w:basedOn w:val="1"/>
    <w:qFormat/>
    <w:uiPriority w:val="0"/>
    <w:pPr>
      <w:widowControl/>
      <w:spacing w:before="100" w:beforeAutospacing="1" w:after="100" w:afterAutospacing="1"/>
      <w:jc w:val="left"/>
    </w:pPr>
    <w:rPr>
      <w:rFonts w:ascii="Times New Roman" w:hAnsi="Times New Roman"/>
      <w:kern w:val="0"/>
      <w:sz w:val="20"/>
      <w:szCs w:val="20"/>
    </w:rPr>
  </w:style>
  <w:style w:type="paragraph" w:customStyle="1" w:styleId="78">
    <w:name w:val="font8"/>
    <w:basedOn w:val="1"/>
    <w:qFormat/>
    <w:uiPriority w:val="0"/>
    <w:pPr>
      <w:widowControl/>
      <w:spacing w:before="100" w:beforeAutospacing="1" w:after="100" w:afterAutospacing="1"/>
      <w:jc w:val="left"/>
    </w:pPr>
    <w:rPr>
      <w:rFonts w:ascii="Times New Roman" w:hAnsi="Times New Roman"/>
      <w:color w:val="000000"/>
      <w:kern w:val="0"/>
      <w:sz w:val="18"/>
      <w:szCs w:val="18"/>
    </w:rPr>
  </w:style>
  <w:style w:type="paragraph" w:customStyle="1" w:styleId="79">
    <w:name w:val="font9"/>
    <w:basedOn w:val="1"/>
    <w:qFormat/>
    <w:uiPriority w:val="0"/>
    <w:pPr>
      <w:widowControl/>
      <w:spacing w:before="100" w:beforeAutospacing="1" w:after="100" w:afterAutospacing="1"/>
      <w:jc w:val="left"/>
    </w:pPr>
    <w:rPr>
      <w:rFonts w:ascii="Times New Roman" w:hAnsi="Times New Roman"/>
      <w:color w:val="000000"/>
      <w:kern w:val="0"/>
      <w:sz w:val="20"/>
      <w:szCs w:val="20"/>
    </w:rPr>
  </w:style>
  <w:style w:type="paragraph" w:customStyle="1" w:styleId="80">
    <w:name w:val="font10"/>
    <w:basedOn w:val="1"/>
    <w:qFormat/>
    <w:uiPriority w:val="0"/>
    <w:pPr>
      <w:widowControl/>
      <w:spacing w:before="100" w:beforeAutospacing="1" w:after="100" w:afterAutospacing="1"/>
      <w:jc w:val="left"/>
    </w:pPr>
    <w:rPr>
      <w:rFonts w:ascii="Times New Roman" w:hAnsi="Times New Roman"/>
      <w:color w:val="000000"/>
      <w:kern w:val="0"/>
      <w:sz w:val="20"/>
      <w:szCs w:val="20"/>
    </w:rPr>
  </w:style>
  <w:style w:type="paragraph" w:customStyle="1" w:styleId="81">
    <w:name w:val="font11"/>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82">
    <w:name w:val="font12"/>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83">
    <w:name w:val="font13"/>
    <w:basedOn w:val="1"/>
    <w:qFormat/>
    <w:uiPriority w:val="0"/>
    <w:pPr>
      <w:widowControl/>
      <w:spacing w:before="100" w:beforeAutospacing="1" w:after="100" w:afterAutospacing="1"/>
      <w:jc w:val="left"/>
    </w:pPr>
    <w:rPr>
      <w:rFonts w:ascii="宋体" w:hAnsi="宋体" w:cs="宋体"/>
      <w:color w:val="000000"/>
      <w:kern w:val="0"/>
      <w:sz w:val="18"/>
      <w:szCs w:val="18"/>
    </w:rPr>
  </w:style>
  <w:style w:type="paragraph" w:customStyle="1" w:styleId="84">
    <w:name w:val="font14"/>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5">
    <w:name w:val="font15"/>
    <w:basedOn w:val="1"/>
    <w:qFormat/>
    <w:uiPriority w:val="0"/>
    <w:pPr>
      <w:widowControl/>
      <w:spacing w:before="100" w:beforeAutospacing="1" w:after="100" w:afterAutospacing="1"/>
      <w:jc w:val="left"/>
    </w:pPr>
    <w:rPr>
      <w:rFonts w:ascii="宋体" w:hAnsi="宋体" w:cs="宋体"/>
      <w:b/>
      <w:bCs/>
      <w:color w:val="000000"/>
      <w:kern w:val="0"/>
      <w:sz w:val="20"/>
      <w:szCs w:val="20"/>
    </w:rPr>
  </w:style>
  <w:style w:type="paragraph" w:customStyle="1" w:styleId="86">
    <w:name w:val="font1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87">
    <w:name w:val="font17"/>
    <w:basedOn w:val="1"/>
    <w:qFormat/>
    <w:uiPriority w:val="0"/>
    <w:pPr>
      <w:widowControl/>
      <w:spacing w:before="100" w:beforeAutospacing="1" w:after="100" w:afterAutospacing="1"/>
      <w:jc w:val="left"/>
    </w:pPr>
    <w:rPr>
      <w:rFonts w:ascii="宋体" w:hAnsi="宋体" w:cs="宋体"/>
      <w:color w:val="000000"/>
      <w:kern w:val="0"/>
      <w:sz w:val="18"/>
      <w:szCs w:val="18"/>
    </w:rPr>
  </w:style>
  <w:style w:type="paragraph" w:customStyle="1" w:styleId="88">
    <w:name w:val="font18"/>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9">
    <w:name w:val="font19"/>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90">
    <w:name w:val="font20"/>
    <w:basedOn w:val="1"/>
    <w:qFormat/>
    <w:uiPriority w:val="0"/>
    <w:pPr>
      <w:widowControl/>
      <w:spacing w:before="100" w:beforeAutospacing="1" w:after="100" w:afterAutospacing="1"/>
      <w:jc w:val="left"/>
    </w:pPr>
    <w:rPr>
      <w:rFonts w:ascii="宋体" w:hAnsi="宋体" w:cs="宋体"/>
      <w:color w:val="000000"/>
      <w:kern w:val="0"/>
      <w:sz w:val="18"/>
      <w:szCs w:val="18"/>
    </w:rPr>
  </w:style>
  <w:style w:type="paragraph" w:customStyle="1" w:styleId="91">
    <w:name w:val="xl66"/>
    <w:basedOn w:val="1"/>
    <w:qFormat/>
    <w:uiPriority w:val="0"/>
    <w:pPr>
      <w:widowControl/>
      <w:spacing w:before="100" w:beforeAutospacing="1" w:after="100" w:afterAutospacing="1"/>
      <w:jc w:val="left"/>
    </w:pPr>
    <w:rPr>
      <w:rFonts w:ascii="Times New Roman" w:hAnsi="Times New Roman"/>
      <w:kern w:val="0"/>
      <w:sz w:val="24"/>
    </w:rPr>
  </w:style>
  <w:style w:type="paragraph" w:customStyle="1" w:styleId="92">
    <w:name w:val="xl67"/>
    <w:basedOn w:val="1"/>
    <w:qFormat/>
    <w:uiPriority w:val="0"/>
    <w:pPr>
      <w:widowControl/>
      <w:spacing w:before="100" w:beforeAutospacing="1" w:after="100" w:afterAutospacing="1"/>
      <w:jc w:val="left"/>
    </w:pPr>
    <w:rPr>
      <w:rFonts w:ascii="Times New Roman" w:hAnsi="Times New Roman"/>
      <w:b/>
      <w:bCs/>
      <w:kern w:val="0"/>
      <w:sz w:val="24"/>
    </w:rPr>
  </w:style>
  <w:style w:type="paragraph" w:customStyle="1" w:styleId="93">
    <w:name w:val="xl68"/>
    <w:basedOn w:val="1"/>
    <w:qFormat/>
    <w:uiPriority w:val="0"/>
    <w:pPr>
      <w:widowControl/>
      <w:spacing w:before="100" w:beforeAutospacing="1" w:after="100" w:afterAutospacing="1"/>
      <w:jc w:val="left"/>
    </w:pPr>
    <w:rPr>
      <w:rFonts w:ascii="Times New Roman" w:hAnsi="Times New Roman"/>
      <w:kern w:val="0"/>
      <w:sz w:val="20"/>
      <w:szCs w:val="20"/>
    </w:rPr>
  </w:style>
  <w:style w:type="paragraph" w:customStyle="1" w:styleId="94">
    <w:name w:val="xl69"/>
    <w:basedOn w:val="1"/>
    <w:qFormat/>
    <w:uiPriority w:val="0"/>
    <w:pPr>
      <w:widowControl/>
      <w:spacing w:before="100" w:beforeAutospacing="1" w:after="100" w:afterAutospacing="1"/>
      <w:jc w:val="left"/>
    </w:pPr>
    <w:rPr>
      <w:rFonts w:ascii="Times New Roman" w:hAnsi="Times New Roman"/>
      <w:kern w:val="0"/>
      <w:sz w:val="20"/>
      <w:szCs w:val="20"/>
    </w:rPr>
  </w:style>
  <w:style w:type="paragraph" w:customStyle="1" w:styleId="95">
    <w:name w:val="xl70"/>
    <w:basedOn w:val="1"/>
    <w:qFormat/>
    <w:uiPriority w:val="0"/>
    <w:pPr>
      <w:widowControl/>
      <w:spacing w:before="100" w:beforeAutospacing="1" w:after="100" w:afterAutospacing="1"/>
      <w:jc w:val="left"/>
    </w:pPr>
    <w:rPr>
      <w:rFonts w:ascii="Times New Roman" w:hAnsi="Times New Roman"/>
      <w:kern w:val="0"/>
      <w:sz w:val="20"/>
      <w:szCs w:val="20"/>
    </w:rPr>
  </w:style>
  <w:style w:type="paragraph" w:customStyle="1" w:styleId="96">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b/>
      <w:bCs/>
      <w:kern w:val="0"/>
      <w:sz w:val="20"/>
      <w:szCs w:val="20"/>
    </w:rPr>
  </w:style>
  <w:style w:type="paragraph" w:customStyle="1" w:styleId="97">
    <w:name w:val="xl72"/>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Times New Roman" w:hAnsi="Times New Roman"/>
      <w:kern w:val="0"/>
      <w:sz w:val="20"/>
      <w:szCs w:val="20"/>
    </w:rPr>
  </w:style>
  <w:style w:type="paragraph" w:customStyle="1" w:styleId="98">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kern w:val="0"/>
      <w:sz w:val="20"/>
      <w:szCs w:val="20"/>
    </w:rPr>
  </w:style>
  <w:style w:type="paragraph" w:customStyle="1" w:styleId="9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kern w:val="0"/>
      <w:sz w:val="20"/>
      <w:szCs w:val="20"/>
    </w:rPr>
  </w:style>
  <w:style w:type="paragraph" w:customStyle="1" w:styleId="100">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b/>
      <w:bCs/>
      <w:color w:val="000000"/>
      <w:kern w:val="0"/>
      <w:sz w:val="20"/>
      <w:szCs w:val="20"/>
    </w:rPr>
  </w:style>
  <w:style w:type="paragraph" w:customStyle="1" w:styleId="101">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kern w:val="0"/>
      <w:sz w:val="18"/>
      <w:szCs w:val="18"/>
    </w:rPr>
  </w:style>
  <w:style w:type="paragraph" w:customStyle="1" w:styleId="102">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kern w:val="0"/>
      <w:sz w:val="18"/>
      <w:szCs w:val="18"/>
    </w:rPr>
  </w:style>
  <w:style w:type="paragraph" w:customStyle="1" w:styleId="103">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kern w:val="0"/>
      <w:sz w:val="20"/>
      <w:szCs w:val="20"/>
    </w:rPr>
  </w:style>
  <w:style w:type="paragraph" w:customStyle="1" w:styleId="104">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kern w:val="0"/>
      <w:sz w:val="18"/>
      <w:szCs w:val="18"/>
    </w:rPr>
  </w:style>
  <w:style w:type="paragraph" w:customStyle="1" w:styleId="105">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kern w:val="0"/>
      <w:sz w:val="20"/>
      <w:szCs w:val="20"/>
    </w:rPr>
  </w:style>
  <w:style w:type="paragraph" w:customStyle="1" w:styleId="106">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kern w:val="0"/>
      <w:sz w:val="18"/>
      <w:szCs w:val="18"/>
    </w:rPr>
  </w:style>
  <w:style w:type="paragraph" w:customStyle="1" w:styleId="107">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kern w:val="0"/>
      <w:sz w:val="18"/>
      <w:szCs w:val="18"/>
    </w:rPr>
  </w:style>
  <w:style w:type="paragraph" w:customStyle="1" w:styleId="108">
    <w:name w:val="xl83"/>
    <w:basedOn w:val="1"/>
    <w:qFormat/>
    <w:uiPriority w:val="0"/>
    <w:pPr>
      <w:widowControl/>
      <w:pBdr>
        <w:top w:val="single" w:color="auto" w:sz="4" w:space="0"/>
        <w:bottom w:val="single" w:color="auto" w:sz="4" w:space="0"/>
      </w:pBdr>
      <w:spacing w:before="100" w:beforeAutospacing="1" w:after="100" w:afterAutospacing="1"/>
      <w:jc w:val="center"/>
    </w:pPr>
    <w:rPr>
      <w:rFonts w:ascii="Times New Roman" w:hAnsi="Times New Roman"/>
      <w:kern w:val="0"/>
      <w:sz w:val="20"/>
      <w:szCs w:val="20"/>
    </w:rPr>
  </w:style>
  <w:style w:type="paragraph" w:customStyle="1" w:styleId="109">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kern w:val="0"/>
      <w:sz w:val="20"/>
      <w:szCs w:val="20"/>
    </w:rPr>
  </w:style>
  <w:style w:type="paragraph" w:customStyle="1" w:styleId="110">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b/>
      <w:bCs/>
      <w:kern w:val="0"/>
      <w:sz w:val="20"/>
      <w:szCs w:val="20"/>
    </w:rPr>
  </w:style>
  <w:style w:type="paragraph" w:customStyle="1" w:styleId="111">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b/>
      <w:bCs/>
      <w:kern w:val="0"/>
      <w:sz w:val="20"/>
      <w:szCs w:val="20"/>
    </w:rPr>
  </w:style>
  <w:style w:type="paragraph" w:customStyle="1" w:styleId="112">
    <w:name w:val="xl87"/>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Times New Roman" w:hAnsi="Times New Roman"/>
      <w:b/>
      <w:bCs/>
      <w:kern w:val="0"/>
      <w:sz w:val="20"/>
      <w:szCs w:val="20"/>
    </w:rPr>
  </w:style>
  <w:style w:type="paragraph" w:customStyle="1" w:styleId="113">
    <w:name w:val="xl88"/>
    <w:basedOn w:val="1"/>
    <w:qFormat/>
    <w:uiPriority w:val="0"/>
    <w:pPr>
      <w:widowControl/>
      <w:pBdr>
        <w:top w:val="single" w:color="auto" w:sz="4" w:space="0"/>
        <w:bottom w:val="single" w:color="auto" w:sz="4" w:space="0"/>
      </w:pBdr>
      <w:spacing w:before="100" w:beforeAutospacing="1" w:after="100" w:afterAutospacing="1"/>
      <w:jc w:val="center"/>
    </w:pPr>
    <w:rPr>
      <w:rFonts w:ascii="Times New Roman" w:hAnsi="Times New Roman"/>
      <w:b/>
      <w:bCs/>
      <w:kern w:val="0"/>
      <w:sz w:val="20"/>
      <w:szCs w:val="20"/>
    </w:rPr>
  </w:style>
  <w:style w:type="paragraph" w:customStyle="1" w:styleId="114">
    <w:name w:val="xl89"/>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Times New Roman" w:hAnsi="Times New Roman"/>
      <w:b/>
      <w:bCs/>
      <w:kern w:val="0"/>
      <w:sz w:val="20"/>
      <w:szCs w:val="20"/>
    </w:rPr>
  </w:style>
  <w:style w:type="paragraph" w:customStyle="1" w:styleId="115">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16">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kern w:val="0"/>
      <w:sz w:val="18"/>
      <w:szCs w:val="18"/>
    </w:rPr>
  </w:style>
  <w:style w:type="paragraph" w:customStyle="1" w:styleId="117">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kern w:val="0"/>
      <w:sz w:val="18"/>
      <w:szCs w:val="18"/>
    </w:rPr>
  </w:style>
  <w:style w:type="paragraph" w:customStyle="1" w:styleId="118">
    <w:name w:val="xl93"/>
    <w:basedOn w:val="1"/>
    <w:qFormat/>
    <w:uiPriority w:val="0"/>
    <w:pPr>
      <w:widowControl/>
      <w:spacing w:before="100" w:beforeAutospacing="1" w:after="100" w:afterAutospacing="1"/>
      <w:jc w:val="left"/>
    </w:pPr>
    <w:rPr>
      <w:rFonts w:ascii="Times New Roman" w:hAnsi="Times New Roman"/>
      <w:kern w:val="0"/>
      <w:sz w:val="24"/>
    </w:rPr>
  </w:style>
  <w:style w:type="paragraph" w:customStyle="1" w:styleId="119">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kern w:val="0"/>
      <w:sz w:val="18"/>
      <w:szCs w:val="18"/>
    </w:rPr>
  </w:style>
  <w:style w:type="paragraph" w:customStyle="1" w:styleId="120">
    <w:name w:val="xl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color w:val="000000"/>
      <w:kern w:val="0"/>
      <w:sz w:val="18"/>
      <w:szCs w:val="18"/>
    </w:rPr>
  </w:style>
  <w:style w:type="paragraph" w:customStyle="1" w:styleId="121">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color w:val="000000"/>
      <w:kern w:val="0"/>
      <w:sz w:val="18"/>
      <w:szCs w:val="18"/>
    </w:rPr>
  </w:style>
  <w:style w:type="paragraph" w:customStyle="1" w:styleId="122">
    <w:name w:val="xl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color w:val="000000"/>
      <w:kern w:val="0"/>
      <w:sz w:val="18"/>
      <w:szCs w:val="18"/>
    </w:rPr>
  </w:style>
  <w:style w:type="paragraph" w:customStyle="1" w:styleId="123">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kern w:val="0"/>
      <w:sz w:val="20"/>
      <w:szCs w:val="20"/>
    </w:rPr>
  </w:style>
  <w:style w:type="paragraph" w:customStyle="1" w:styleId="124">
    <w:name w:val="xl99"/>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Times New Roman" w:hAnsi="Times New Roman"/>
      <w:kern w:val="0"/>
      <w:sz w:val="20"/>
      <w:szCs w:val="20"/>
    </w:rPr>
  </w:style>
  <w:style w:type="paragraph" w:customStyle="1" w:styleId="125">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kern w:val="0"/>
      <w:sz w:val="24"/>
    </w:rPr>
  </w:style>
  <w:style w:type="paragraph" w:customStyle="1" w:styleId="126">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27">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kern w:val="0"/>
      <w:sz w:val="20"/>
      <w:szCs w:val="20"/>
    </w:rPr>
  </w:style>
  <w:style w:type="paragraph" w:customStyle="1" w:styleId="128">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b/>
      <w:bCs/>
      <w:kern w:val="0"/>
      <w:sz w:val="20"/>
      <w:szCs w:val="20"/>
    </w:rPr>
  </w:style>
  <w:style w:type="paragraph" w:customStyle="1" w:styleId="129">
    <w:name w:val="A-正文"/>
    <w:basedOn w:val="1"/>
    <w:qFormat/>
    <w:uiPriority w:val="0"/>
    <w:pPr>
      <w:spacing w:line="360" w:lineRule="auto"/>
      <w:ind w:firstLine="560" w:firstLineChars="200"/>
      <w:jc w:val="left"/>
    </w:pPr>
    <w:rPr>
      <w:rFonts w:ascii="宋体" w:hAnsi="宋体"/>
      <w:kern w:val="0"/>
      <w:sz w:val="28"/>
      <w:szCs w:val="20"/>
    </w:rPr>
  </w:style>
  <w:style w:type="paragraph" w:customStyle="1" w:styleId="130">
    <w:name w:val="正文2"/>
    <w:basedOn w:val="1"/>
    <w:qFormat/>
    <w:uiPriority w:val="0"/>
    <w:pPr>
      <w:spacing w:line="500" w:lineRule="exact"/>
    </w:pPr>
    <w:rPr>
      <w:rFonts w:ascii="Times New Roman" w:hAnsi="Times New Roman" w:eastAsia="仿宋_GB2312"/>
      <w:sz w:val="30"/>
      <w:szCs w:val="30"/>
    </w:rPr>
  </w:style>
  <w:style w:type="paragraph" w:customStyle="1" w:styleId="131">
    <w:name w:val="p0"/>
    <w:next w:val="22"/>
    <w:qFormat/>
    <w:uiPriority w:val="0"/>
    <w:pPr>
      <w:jc w:val="both"/>
    </w:pPr>
    <w:rPr>
      <w:rFonts w:ascii="Times New Roman" w:hAnsi="Times New Roman" w:eastAsia="宋体" w:cs="Times New Roman"/>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AEBE60-D65A-4120-BFC1-9FD182CE9FF1}">
  <ds:schemaRefs/>
</ds:datastoreItem>
</file>

<file path=docProps/app.xml><?xml version="1.0" encoding="utf-8"?>
<Properties xmlns="http://schemas.openxmlformats.org/officeDocument/2006/extended-properties" xmlns:vt="http://schemas.openxmlformats.org/officeDocument/2006/docPropsVTypes">
  <Template>Normal</Template>
  <Company>aiyin</Company>
  <Pages>86</Pages>
  <Words>44962</Words>
  <Characters>47219</Characters>
  <Lines>380</Lines>
  <Paragraphs>106</Paragraphs>
  <TotalTime>625</TotalTime>
  <ScaleCrop>false</ScaleCrop>
  <LinksUpToDate>false</LinksUpToDate>
  <CharactersWithSpaces>47398</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2021-10-29T02:39:00Z</dcterms:created>
  <dc:creator>ztt</dc:creator>
  <cp:lastModifiedBy>陈木沐</cp:lastModifiedBy>
  <cp:lastPrinted>2020-11-25T02:41:00Z</cp:lastPrinted>
  <dcterms:modified xsi:type="dcterms:W3CDTF">2025-01-08T08:02:19Z</dcterms:modified>
  <cp:revision>84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467D8247112F43C2BA48431CA88A70AF_12</vt:lpwstr>
  </property>
</Properties>
</file>